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13F67"/>
          <w:sz w:val="40"/>
        </w:rPr>
        <w:t>UteroScan: AI-Assisted Uterine Fibroid Detection &amp; Clinical CADx Platform</w:t>
        <w:br/>
      </w:r>
      <w:r>
        <w:rPr>
          <w:b/>
          <w:color w:val="555555"/>
          <w:sz w:val="26"/>
        </w:rPr>
        <w:t>Project Review 2 — Technical Implementation Report</w:t>
        <w:br/>
      </w:r>
    </w:p>
    <w:p>
      <w:pPr>
        <w:jc w:val="center"/>
      </w:pPr>
      <w:r>
        <w:rPr>
          <w:i/>
          <w:color w:val="666666"/>
          <w:sz w:val="20"/>
        </w:rPr>
        <w:t>Candidate: Ashish Singh (Reg No: 22MIS0173) | Domain: Medical Image Computing &amp; Deep Learning</w:t>
        <w:br/>
        <w:t>Academic Year: 2025–2026</w:t>
      </w:r>
    </w:p>
    <w:p>
      <w:pPr>
        <w:spacing w:after="160"/>
      </w:pPr>
    </w:p>
    <w:p>
      <w:pPr>
        <w:spacing w:before="280" w:after="120"/>
      </w:pPr>
      <w:r>
        <w:rPr>
          <w:rFonts w:ascii="Calibri" w:hAnsi="Calibri"/>
          <w:b/>
          <w:color w:val="113F67"/>
          <w:sz w:val="32"/>
        </w:rPr>
        <w:t>[11]. IMPLEMENTATION</w:t>
      </w:r>
    </w:p>
    <w:p>
      <w:pPr>
        <w:spacing w:after="200"/>
      </w:pPr>
      <w:r>
        <w:t>This chapter provides an exhaustive technical specification of the implementation of UteroScan, an end-to-end clinical computer-aided diagnosis (CADx) system for the automated detection, boundary characterization, and triage of uterine leiomyomas (fibroids) in pelvic B-mode ultrasound imaging. The implementation bridges rigorous clinical data curation, domain-adapted speckle filtering, transfer learning via deep residual networks (ResNet50), decision-threshold optimization, and a reactive full-stack web architecture with explainable AI (Grad-CAM).</w:t>
      </w:r>
    </w:p>
    <w:p>
      <w:pPr>
        <w:spacing w:before="240" w:after="80"/>
      </w:pPr>
      <w:r>
        <w:rPr>
          <w:rFonts w:ascii="Calibri" w:hAnsi="Calibri"/>
          <w:b/>
          <w:color w:val="226699"/>
          <w:sz w:val="26"/>
        </w:rPr>
        <w:t>11.1. PROJECT PLAN</w:t>
      </w:r>
    </w:p>
    <w:p>
      <w:pPr>
        <w:spacing w:after="120"/>
      </w:pPr>
      <w:r>
        <w:t>The UteroScan development roadmap was structured across five cohesive engineering and research phases, ensuring zero domain leakage, reproducible model evaluation, and high clinical fidelity:</w:t>
      </w:r>
    </w:p>
    <w:p>
      <w:pPr>
        <w:spacing w:after="80"/>
      </w:pPr>
      <w:r>
        <w:rPr>
          <w:b/>
          <w:color w:val="113F67"/>
        </w:rPr>
        <w:t xml:space="preserve">• Phase 0: Dataset Audit, Provenance Verification &amp; Contamination Quarantine: </w:t>
      </w:r>
      <w:r>
        <w:t>A comprehensive programmatic audit was conducted on the multicenter repository (1,990 initial B-mode images from 871 unique patients). The audit uncovered 445 confounding images (173 obstetric fetal scans with biometric measurements such as gestational age 'GA 11w3d', 118 color Doppler velocity overlay scans, 127 byte-exact duplicates, and 27 machine text artifacts). These 445 scans were quarantined into an isolated directory (data/excluded/), producing a strictly sanitized clinical cohort of 1,545 scans (702 UF, 892 NUF). To guarantee true clinical generalizability, all patient scans were clustered strictly by Patient UID: 980 training scans (526 UF, 454 NUF), 244 internal validation scans (131 UF, 113 NUF), and 321 held-out test scans (163 UF, 158 NUF), guaranteeing zero patient leakage.</w:t>
      </w:r>
    </w:p>
    <w:p>
      <w:pPr>
        <w:spacing w:after="80"/>
      </w:pPr>
      <w:r>
        <w:rPr>
          <w:b/>
          <w:color w:val="113F67"/>
        </w:rPr>
        <w:t xml:space="preserve">• Phase 1: Domain-Specific Ultrasound Preprocessing Pipeline: </w:t>
      </w:r>
      <w:r>
        <w:t>Raw ultrasound screenshots suffer from JPEG color compression artifacts, non-uniform acoustic illumination, and speckle noise. The locked preprocessing transform executes: (1) Grayscale single-channel conversion; (2) Anti-aliased downscaling to 224x224 using cv2.INTER_AREA; (3) 3x3 Median Blur to eliminate rogue acoustic speckle while preserving fine hypoechoic pseudocapsule boundaries; (4) Contrast Limited Adaptive Histogram Equalization (CLAHE) with clipLimit=1.2 and tileGridSize=(8,8) for local contrast normalization; (5) 3-channel RGB replication to satisfy ImageNet deep CNN input dimensions.</w:t>
      </w:r>
    </w:p>
    <w:p>
      <w:pPr>
        <w:spacing w:after="80"/>
      </w:pPr>
      <w:r>
        <w:rPr>
          <w:b/>
          <w:color w:val="113F67"/>
        </w:rPr>
        <w:t xml:space="preserve">• Phase 2: Clinically Constrained Data Augmentation: </w:t>
      </w:r>
      <w:r>
        <w:t>Ultrasound imaging exhibits strict anatomical probe mechanics. Therefore, synthetic data augmentations were applied strictly to the training split (random=True) and locked against validation/testing. Permitted transforms: rotation within [-15 deg, +15 deg], horizontal flip (p=0.5), zoom [0.9, 1.1], and shear [-10 deg, +10 deg]. Programmable runtime assertions strictly prohibit vertical flipping, as inverting the acoustic depth axis is clinically invalid.</w:t>
      </w:r>
    </w:p>
    <w:p>
      <w:pPr>
        <w:spacing w:after="80"/>
      </w:pPr>
      <w:r>
        <w:rPr>
          <w:b/>
          <w:color w:val="113F67"/>
        </w:rPr>
        <w:t xml:space="preserve">• Phase 3: ResNet50 Deep Transfer Learning &amp; Staged Unfreezing: </w:t>
      </w:r>
      <w:r>
        <w:t>The classification backbone utilizes ResNet50 initialized with official PyTorch ImageNet weights. A two-stage training schedule was implemented: Stage 1 (Frozen Backbone): Only the newly initialized linear classification head (2048 -&gt; 2) is trained with Adam optimizer (lr=1e-4) for 15 epochs to stabilize classification logits without corrupting feature detectors. Stage 2 (Fine-Tuning): layer4 (14.9M parameters) and the FC head are unfrozen and trained at a differential learning rate (layer4 lr=1e-5, FC lr=1e-4) for 10 epochs with early stopping.</w:t>
      </w:r>
    </w:p>
    <w:p>
      <w:pPr>
        <w:spacing w:after="80"/>
      </w:pPr>
      <w:r>
        <w:rPr>
          <w:b/>
          <w:color w:val="113F67"/>
        </w:rPr>
        <w:t xml:space="preserve">• Phase 4: Threshold Calibration &amp; Held-Out Test Evaluation: </w:t>
      </w:r>
      <w:r>
        <w:t>The locked model was evaluated on the untouched 321-scan held-out patient cohort. At the default threshold (tau=0.50), the model achieved 86.60% Accuracy, 95.09% Sensitivity (155/163 UF detected), and 0.9533 ROC-AUC. Tuning the decision threshold on validation data to tau=0.65 yielded 89.41% Accuracy (90.18% Sensitivity, 88.61% Specificity). Integrating horizontal-flip Test-Time Augmentation (TTA) at tau=0.60 achieved 90.97% Accuracy (292/321 correct, 92.64% Sensitivity, 89.24% Specificity, 0.9533 AUC).</w:t>
      </w:r>
    </w:p>
    <w:p>
      <w:pPr>
        <w:spacing w:after="80"/>
      </w:pPr>
      <w:r>
        <w:rPr>
          <w:b/>
          <w:color w:val="113F67"/>
        </w:rPr>
        <w:t xml:space="preserve">• Phase 5: Full-Stack Clinical Web Dashboard Deployment: </w:t>
      </w:r>
      <w:r>
        <w:t>Engineered an enterprise-grade web application featuring a high-performance Python FastAPI asynchronous backend (api/server.py) and a modern Vite + React frontend (frontend/). Features include real-time drag-and-drop ultrasound upload, interactive decision threshold simulation, Grad-CAM saliency heatmaps, synthetic caliper warning banners, and DICOM-grade metadata inspection.</w:t>
      </w:r>
    </w:p>
    <w:p>
      <w:pPr>
        <w:spacing w:after="80"/>
      </w:pPr>
    </w:p>
    <w:p>
      <w:pPr>
        <w:spacing w:after="40"/>
      </w:pPr>
      <w:r>
        <w:rPr>
          <w:b/>
          <w:sz w:val="20"/>
        </w:rPr>
        <w:t>Table 11.1: UteroScan Patient-Isolated Dataset Partitioning &amp; Cohort Distribution</w:t>
      </w:r>
    </w:p>
    <w:tbl>
      <w:tblPr>
        <w:tblStyle w:val="LightShading"/>
        <w:tblW w:type="auto" w:w="0"/>
        <w:jc w:val="center"/>
        <w:tblLook w:firstColumn="1" w:firstRow="1" w:lastColumn="0" w:lastRow="0" w:noHBand="0" w:noVBand="1" w:val="04A0"/>
      </w:tblPr>
      <w:tblGrid>
        <w:gridCol w:w="1872"/>
        <w:gridCol w:w="1872"/>
        <w:gridCol w:w="1872"/>
        <w:gridCol w:w="1872"/>
        <w:gridCol w:w="1872"/>
      </w:tblGrid>
      <w:tr>
        <w:tc>
          <w:tcPr>
            <w:tcW w:type="dxa" w:w="1872"/>
            <w:shd w:fill="113F67"/>
          </w:tcPr>
          <w:p>
            <w:pPr>
              <w:jc w:val="center"/>
            </w:pPr>
            <w:r>
              <w:rPr>
                <w:b/>
                <w:color w:val="FFFFFF"/>
              </w:rPr>
              <w:t>Dataset Split</w:t>
            </w:r>
          </w:p>
        </w:tc>
        <w:tc>
          <w:tcPr>
            <w:tcW w:type="dxa" w:w="1872"/>
            <w:shd w:fill="113F67"/>
          </w:tcPr>
          <w:p>
            <w:pPr>
              <w:jc w:val="center"/>
            </w:pPr>
            <w:r>
              <w:rPr>
                <w:b/>
                <w:color w:val="FFFFFF"/>
              </w:rPr>
              <w:t>Patient Isolation</w:t>
            </w:r>
          </w:p>
        </w:tc>
        <w:tc>
          <w:tcPr>
            <w:tcW w:type="dxa" w:w="1872"/>
            <w:shd w:fill="113F67"/>
          </w:tcPr>
          <w:p>
            <w:pPr>
              <w:jc w:val="center"/>
            </w:pPr>
            <w:r>
              <w:rPr>
                <w:b/>
                <w:color w:val="FFFFFF"/>
              </w:rPr>
              <w:t>UF Scans</w:t>
            </w:r>
          </w:p>
        </w:tc>
        <w:tc>
          <w:tcPr>
            <w:tcW w:type="dxa" w:w="1872"/>
            <w:shd w:fill="113F67"/>
          </w:tcPr>
          <w:p>
            <w:pPr>
              <w:jc w:val="center"/>
            </w:pPr>
            <w:r>
              <w:rPr>
                <w:b/>
                <w:color w:val="FFFFFF"/>
              </w:rPr>
              <w:t>NUF Scans</w:t>
            </w:r>
          </w:p>
        </w:tc>
        <w:tc>
          <w:tcPr>
            <w:tcW w:type="dxa" w:w="1872"/>
            <w:shd w:fill="113F67"/>
          </w:tcPr>
          <w:p>
            <w:pPr>
              <w:jc w:val="center"/>
            </w:pPr>
            <w:r>
              <w:rPr>
                <w:b/>
                <w:color w:val="FFFFFF"/>
              </w:rPr>
              <w:t>Total Scans</w:t>
            </w:r>
          </w:p>
        </w:tc>
      </w:tr>
      <w:tr>
        <w:tc>
          <w:tcPr>
            <w:tcW w:type="dxa" w:w="1872"/>
            <w:shd w:fill="F2F5F8"/>
          </w:tcPr>
          <w:p>
            <w:pPr>
              <w:jc w:val="left"/>
            </w:pPr>
            <w:r>
              <w:rPr>
                <w:b/>
              </w:rPr>
              <w:t>Train Split</w:t>
            </w:r>
          </w:p>
        </w:tc>
        <w:tc>
          <w:tcPr>
            <w:tcW w:type="dxa" w:w="1872"/>
            <w:shd w:fill="F2F5F8"/>
          </w:tcPr>
          <w:p>
            <w:pPr>
              <w:jc w:val="left"/>
            </w:pPr>
            <w:r>
              <w:t>Patient-Clustered</w:t>
            </w:r>
          </w:p>
        </w:tc>
        <w:tc>
          <w:tcPr>
            <w:tcW w:type="dxa" w:w="1872"/>
            <w:shd w:fill="F2F5F8"/>
          </w:tcPr>
          <w:p>
            <w:pPr>
              <w:jc w:val="center"/>
            </w:pPr>
            <w:r>
              <w:t>526</w:t>
            </w:r>
          </w:p>
        </w:tc>
        <w:tc>
          <w:tcPr>
            <w:tcW w:type="dxa" w:w="1872"/>
            <w:shd w:fill="F2F5F8"/>
          </w:tcPr>
          <w:p>
            <w:pPr>
              <w:jc w:val="center"/>
            </w:pPr>
            <w:r>
              <w:t>454</w:t>
            </w:r>
          </w:p>
        </w:tc>
        <w:tc>
          <w:tcPr>
            <w:tcW w:type="dxa" w:w="1872"/>
            <w:shd w:fill="F2F5F8"/>
          </w:tcPr>
          <w:p>
            <w:pPr>
              <w:jc w:val="center"/>
            </w:pPr>
            <w:r>
              <w:t>980 (63.4%)</w:t>
            </w:r>
          </w:p>
        </w:tc>
      </w:tr>
      <w:tr>
        <w:tc>
          <w:tcPr>
            <w:tcW w:type="dxa" w:w="1872"/>
            <w:shd w:fill="FFFFFF"/>
          </w:tcPr>
          <w:p>
            <w:pPr>
              <w:jc w:val="left"/>
            </w:pPr>
            <w:r>
              <w:rPr>
                <w:b/>
              </w:rPr>
              <w:t>Validation Split</w:t>
            </w:r>
          </w:p>
        </w:tc>
        <w:tc>
          <w:tcPr>
            <w:tcW w:type="dxa" w:w="1872"/>
            <w:shd w:fill="FFFFFF"/>
          </w:tcPr>
          <w:p>
            <w:pPr>
              <w:jc w:val="left"/>
            </w:pPr>
            <w:r>
              <w:t>Patient-Clustered</w:t>
            </w:r>
          </w:p>
        </w:tc>
        <w:tc>
          <w:tcPr>
            <w:tcW w:type="dxa" w:w="1872"/>
            <w:shd w:fill="FFFFFF"/>
          </w:tcPr>
          <w:p>
            <w:pPr>
              <w:jc w:val="center"/>
            </w:pPr>
            <w:r>
              <w:t>131</w:t>
            </w:r>
          </w:p>
        </w:tc>
        <w:tc>
          <w:tcPr>
            <w:tcW w:type="dxa" w:w="1872"/>
            <w:shd w:fill="FFFFFF"/>
          </w:tcPr>
          <w:p>
            <w:pPr>
              <w:jc w:val="center"/>
            </w:pPr>
            <w:r>
              <w:t>113</w:t>
            </w:r>
          </w:p>
        </w:tc>
        <w:tc>
          <w:tcPr>
            <w:tcW w:type="dxa" w:w="1872"/>
            <w:shd w:fill="FFFFFF"/>
          </w:tcPr>
          <w:p>
            <w:pPr>
              <w:jc w:val="center"/>
            </w:pPr>
            <w:r>
              <w:t>244 (15.8%)</w:t>
            </w:r>
          </w:p>
        </w:tc>
      </w:tr>
      <w:tr>
        <w:tc>
          <w:tcPr>
            <w:tcW w:type="dxa" w:w="1872"/>
            <w:shd w:fill="F2F5F8"/>
          </w:tcPr>
          <w:p>
            <w:pPr>
              <w:jc w:val="left"/>
            </w:pPr>
            <w:r>
              <w:rPr>
                <w:b/>
              </w:rPr>
              <w:t>Held-Out Test Set</w:t>
            </w:r>
          </w:p>
        </w:tc>
        <w:tc>
          <w:tcPr>
            <w:tcW w:type="dxa" w:w="1872"/>
            <w:shd w:fill="F2F5F8"/>
          </w:tcPr>
          <w:p>
            <w:pPr>
              <w:jc w:val="left"/>
            </w:pPr>
            <w:r>
              <w:t>Strictly Isolated</w:t>
            </w:r>
          </w:p>
        </w:tc>
        <w:tc>
          <w:tcPr>
            <w:tcW w:type="dxa" w:w="1872"/>
            <w:shd w:fill="F2F5F8"/>
          </w:tcPr>
          <w:p>
            <w:pPr>
              <w:jc w:val="center"/>
            </w:pPr>
            <w:r>
              <w:t>163</w:t>
            </w:r>
          </w:p>
        </w:tc>
        <w:tc>
          <w:tcPr>
            <w:tcW w:type="dxa" w:w="1872"/>
            <w:shd w:fill="F2F5F8"/>
          </w:tcPr>
          <w:p>
            <w:pPr>
              <w:jc w:val="center"/>
            </w:pPr>
            <w:r>
              <w:t>158</w:t>
            </w:r>
          </w:p>
        </w:tc>
        <w:tc>
          <w:tcPr>
            <w:tcW w:type="dxa" w:w="1872"/>
            <w:shd w:fill="F2F5F8"/>
          </w:tcPr>
          <w:p>
            <w:pPr>
              <w:jc w:val="center"/>
            </w:pPr>
            <w:r>
              <w:t>321 (20.8%)</w:t>
            </w:r>
          </w:p>
        </w:tc>
      </w:tr>
      <w:tr>
        <w:tc>
          <w:tcPr>
            <w:tcW w:type="dxa" w:w="1872"/>
            <w:shd w:fill="FFFFFF"/>
          </w:tcPr>
          <w:p>
            <w:pPr>
              <w:jc w:val="left"/>
            </w:pPr>
            <w:r>
              <w:rPr>
                <w:b/>
              </w:rPr>
              <w:t>Total Clean Cohort</w:t>
            </w:r>
          </w:p>
        </w:tc>
        <w:tc>
          <w:tcPr>
            <w:tcW w:type="dxa" w:w="1872"/>
            <w:shd w:fill="FFFFFF"/>
          </w:tcPr>
          <w:p>
            <w:pPr>
              <w:jc w:val="left"/>
            </w:pPr>
            <w:r>
              <w:t>871 Unique Patients</w:t>
            </w:r>
          </w:p>
        </w:tc>
        <w:tc>
          <w:tcPr>
            <w:tcW w:type="dxa" w:w="1872"/>
            <w:shd w:fill="FFFFFF"/>
          </w:tcPr>
          <w:p>
            <w:pPr>
              <w:jc w:val="center"/>
            </w:pPr>
            <w:r>
              <w:t>820</w:t>
            </w:r>
          </w:p>
        </w:tc>
        <w:tc>
          <w:tcPr>
            <w:tcW w:type="dxa" w:w="1872"/>
            <w:shd w:fill="FFFFFF"/>
          </w:tcPr>
          <w:p>
            <w:pPr>
              <w:jc w:val="center"/>
            </w:pPr>
            <w:r>
              <w:t>725</w:t>
            </w:r>
          </w:p>
        </w:tc>
        <w:tc>
          <w:tcPr>
            <w:tcW w:type="dxa" w:w="1872"/>
            <w:shd w:fill="FFFFFF"/>
          </w:tcPr>
          <w:p>
            <w:pPr>
              <w:jc w:val="center"/>
            </w:pPr>
            <w:r>
              <w:t>1,545 (100.0%)</w:t>
            </w:r>
          </w:p>
        </w:tc>
      </w:tr>
    </w:tbl>
    <w:p>
      <w:pPr>
        <w:spacing w:after="160"/>
      </w:pPr>
    </w:p>
    <w:p>
      <w:pPr>
        <w:spacing w:before="240" w:after="80"/>
      </w:pPr>
      <w:r>
        <w:rPr>
          <w:rFonts w:ascii="Calibri" w:hAnsi="Calibri"/>
          <w:b/>
          <w:color w:val="226699"/>
          <w:sz w:val="26"/>
        </w:rPr>
        <w:t>11.2. SAMPLE CODE</w:t>
      </w:r>
    </w:p>
    <w:p>
      <w:pPr>
        <w:spacing w:after="120"/>
      </w:pPr>
      <w:r>
        <w:t>The following modular code implementations showcase the core components of the UteroScan production pipeline: (1) Clinical ultrasound preprocessing with speckle reduction, (2) ResNet50 staged transfer learning with freezing logic, and (3) Asynchronous FastAPI backend inference with Grad-CAM activation mapping.</w:t>
      </w:r>
    </w:p>
    <w:p>
      <w:pPr>
        <w:spacing w:after="40"/>
      </w:pPr>
      <w:r>
        <w:rPr>
          <w:b/>
          <w:color w:val="113F67"/>
          <w:sz w:val="20"/>
        </w:rPr>
        <w:t>Listing: 11.2.1 Clinical Ultrasound Preprocessing Pipeline (utils/preprocessing.py)</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20" w:type="dxa"/>
              <w:right w:w="120" w:type="dxa"/>
            </w:tcMar>
          </w:tcPr>
          <w:p>
            <w:pPr>
              <w:spacing w:after="0" w:line="252" w:lineRule="auto"/>
            </w:pPr>
            <w:r>
              <w:rPr>
                <w:rFonts w:ascii="Consolas" w:hAnsi="Consolas"/>
                <w:color w:val="202020"/>
                <w:sz w:val="17"/>
              </w:rPr>
              <w:t>import cv2</w:t>
              <w:br/>
              <w:t>import numpy as np</w:t>
              <w:br/>
              <w:t>from PIL import Image</w:t>
              <w:br/>
              <w:br/>
              <w:t>def preprocess_ultrasound(image, target_size=(224, 224)):</w:t>
              <w:br/>
              <w:t xml:space="preserve">    """</w:t>
              <w:br/>
              <w:t xml:space="preserve">    UteroScan Clinical Preprocessing Transform (Phase 1)</w:t>
              <w:br/>
              <w:t xml:space="preserve">    1. Grayscale Conversion: Eliminates chroma compression artifacts and color fringing.</w:t>
              <w:br/>
              <w:t xml:space="preserve">    2. cv2.INTER_AREA: Prevents spatial aliasing during acoustic sector downscaling.</w:t>
              <w:br/>
              <w:t xml:space="preserve">    3. 3x3 Median Blur: Despeckles homogeneous tissue while preserving pseudocapsule boundaries.</w:t>
              <w:br/>
              <w:t xml:space="preserve">    4. CLAHE (clipLimit=1.2, tileGridSize=(8,8)): Enhances contrast without tile noise.</w:t>
              <w:br/>
              <w:t xml:space="preserve">    5. 3-Channel RGB Replicate: Satisfies ImageNet CNN backbone requirements.</w:t>
              <w:br/>
              <w:t xml:space="preserve">    """</w:t>
              <w:br/>
              <w:t xml:space="preserve">    if isinstance(image, Image.Image):</w:t>
              <w:br/>
              <w:t xml:space="preserve">        image = np.array(image)</w:t>
              <w:br/>
              <w:br/>
              <w:t xml:space="preserve">    # Step 1: Grayscale conversion</w:t>
              <w:br/>
              <w:t xml:space="preserve">    if len(image.shape) == 3:</w:t>
              <w:br/>
              <w:t xml:space="preserve">        gray = cv2.cvtColor(image, cv2.COLOR_RGB2GRAY)</w:t>
              <w:br/>
              <w:t xml:space="preserve">    elif len(image.shape) == 2:</w:t>
              <w:br/>
              <w:t xml:space="preserve">        gray = image.copy()</w:t>
              <w:br/>
              <w:t xml:space="preserve">    else:</w:t>
              <w:br/>
              <w:t xml:space="preserve">        gray = cv2.cvtColor(image, cv2.COLOR_RGBA2GRAY)</w:t>
              <w:br/>
              <w:br/>
              <w:t xml:space="preserve">    # Step 2: Downscale with INTER_AREA</w:t>
              <w:br/>
              <w:t xml:space="preserve">    resized = cv2.resize(gray, target_size, interpolation=cv2.INTER_AREA)</w:t>
              <w:br/>
              <w:br/>
              <w:t xml:space="preserve">    # Step 3: 3x3 Median filter for speckle reduction</w:t>
              <w:br/>
              <w:t xml:space="preserve">    denoised = cv2.medianBlur(resized, 3)</w:t>
              <w:br/>
              <w:br/>
              <w:t xml:space="preserve">    # Step 4: CLAHE contrast enhancement</w:t>
              <w:br/>
              <w:t xml:space="preserve">    clahe = cv2.createCLAHE(clipLimit=1.2, tileGridSize=(8, 8))</w:t>
              <w:br/>
              <w:t xml:space="preserve">    enhanced = clahe.apply(denoised)</w:t>
              <w:br/>
              <w:br/>
              <w:t xml:space="preserve">    # Step 5: Convert back to 3-channel RGB</w:t>
              <w:br/>
              <w:t xml:space="preserve">    preprocessed_rgb = cv2.cvtColor(enhanced, cv2.COLOR_GRAY2RGB)</w:t>
              <w:br/>
              <w:t xml:space="preserve">    return preprocessed_rgb</w:t>
            </w:r>
          </w:p>
        </w:tc>
      </w:tr>
    </w:tbl>
    <w:p>
      <w:pPr>
        <w:spacing w:after="120"/>
      </w:pPr>
    </w:p>
    <w:p>
      <w:pPr>
        <w:spacing w:after="40"/>
      </w:pPr>
      <w:r>
        <w:rPr>
          <w:b/>
          <w:color w:val="113F67"/>
          <w:sz w:val="20"/>
        </w:rPr>
        <w:t>Listing: 11.2.2 Staged Model Unfreezing &amp; Test-Time Augmentation (train_uteroscan_resnet50.py)</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20" w:type="dxa"/>
              <w:right w:w="120" w:type="dxa"/>
            </w:tcMar>
          </w:tcPr>
          <w:p>
            <w:pPr>
              <w:spacing w:after="0" w:line="252" w:lineRule="auto"/>
            </w:pPr>
            <w:r>
              <w:rPr>
                <w:rFonts w:ascii="Consolas" w:hAnsi="Consolas"/>
                <w:color w:val="202020"/>
                <w:sz w:val="17"/>
              </w:rPr>
              <w:t>import torch</w:t>
              <w:br/>
              <w:t>import torch.nn as nn</w:t>
              <w:br/>
              <w:t>import torch.optim as optim</w:t>
              <w:br/>
              <w:br/>
              <w:t>def configure_stage1_freezing(model):</w:t>
              <w:br/>
              <w:t xml:space="preserve">    """Stage 1: Freeze entire ResNet50 backbone; only train linear FC head."""</w:t>
              <w:br/>
              <w:t xml:space="preserve">    for param in model.parameters():</w:t>
              <w:br/>
              <w:t xml:space="preserve">        param.requires_grad = False</w:t>
              <w:br/>
              <w:t xml:space="preserve">    for param in model.fc.parameters():</w:t>
              <w:br/>
              <w:t xml:space="preserve">        param.requires_grad = True</w:t>
              <w:br/>
              <w:t xml:space="preserve">    print(f"Stage 1 Trainable Parameters: {sum(p.numel() for p in model.parameters() if p.requires_grad):,} (FC only)")</w:t>
              <w:br/>
              <w:br/>
              <w:t>def configure_stage2_unfreezing(model):</w:t>
              <w:br/>
              <w:t xml:space="preserve">    """Stage 2: Unfreeze layer4 (14.9M params) + FC for domain adaptation."""</w:t>
              <w:br/>
              <w:t xml:space="preserve">    for param in model.parameters():</w:t>
              <w:br/>
              <w:t xml:space="preserve">        param.requires_grad = False</w:t>
              <w:br/>
              <w:t xml:space="preserve">    for param in model.layer4.parameters():</w:t>
              <w:br/>
              <w:t xml:space="preserve">        param.requires_grad = True</w:t>
              <w:br/>
              <w:t xml:space="preserve">    for param in model.fc.parameters():</w:t>
              <w:br/>
              <w:t xml:space="preserve">        param.requires_grad = True</w:t>
              <w:br/>
              <w:t xml:space="preserve">    print(f"Stage 2 Trainable Parameters: {sum(p.numel() for p in model.parameters() if p.requires_grad):,} (layer4 + FC)")</w:t>
              <w:br/>
              <w:br/>
              <w:t>def predict_with_tta(model, tensor_image, device):</w:t>
              <w:br/>
              <w:t xml:space="preserve">    """Inference with Horizontal-Flip Test-Time Augmentation (TTA)."""</w:t>
              <w:br/>
              <w:t xml:space="preserve">    model.eval()</w:t>
              <w:br/>
              <w:t xml:space="preserve">    with torch.no_grad():</w:t>
              <w:br/>
              <w:t xml:space="preserve">        img = tensor_image.to(device)</w:t>
              <w:br/>
              <w:t xml:space="preserve">        img_hflip = torch.flip(img, dims=[3])  # Flip width axis</w:t>
              <w:br/>
              <w:t xml:space="preserve">        </w:t>
              <w:br/>
              <w:t xml:space="preserve">        logits_orig = model(img)</w:t>
              <w:br/>
              <w:t xml:space="preserve">        logits_flip = model(img_hflip)</w:t>
              <w:br/>
              <w:t xml:space="preserve">        </w:t>
              <w:br/>
              <w:t xml:space="preserve">        prob_orig = torch.softmax(logits_orig, dim=1)</w:t>
              <w:br/>
              <w:t xml:space="preserve">        prob_flip = torch.softmax(logits_flip, dim=1)</w:t>
              <w:br/>
              <w:t xml:space="preserve">        </w:t>
              <w:br/>
              <w:t xml:space="preserve">        prob_tta = (prob_orig + prob_flip) / 2.0</w:t>
              <w:br/>
              <w:t xml:space="preserve">    return prob_tta.cpu().numpy()[0]</w:t>
            </w:r>
          </w:p>
        </w:tc>
      </w:tr>
    </w:tbl>
    <w:p>
      <w:pPr>
        <w:spacing w:after="120"/>
      </w:pPr>
    </w:p>
    <w:p>
      <w:pPr>
        <w:spacing w:after="40"/>
      </w:pPr>
      <w:r>
        <w:rPr>
          <w:b/>
          <w:color w:val="113F67"/>
          <w:sz w:val="20"/>
        </w:rPr>
        <w:t>Listing: 11.2.3 Asynchronous FastAPI CADx Inference Endpoint (api/server.py)</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20" w:type="dxa"/>
              <w:right w:w="120" w:type="dxa"/>
            </w:tcMar>
          </w:tcPr>
          <w:p>
            <w:pPr>
              <w:spacing w:after="0" w:line="252" w:lineRule="auto"/>
            </w:pPr>
            <w:r>
              <w:rPr>
                <w:rFonts w:ascii="Consolas" w:hAnsi="Consolas"/>
                <w:color w:val="202020"/>
                <w:sz w:val="17"/>
              </w:rPr>
              <w:t>from fastapi import FastAPI, File, UploadFile, Query</w:t>
              <w:br/>
              <w:t>from fastapi.middleware.cors import CORSMiddleware</w:t>
              <w:br/>
              <w:t>import torch</w:t>
              <w:br/>
              <w:t>import numpy as np</w:t>
              <w:br/>
              <w:t>from PIL import Image</w:t>
              <w:br/>
              <w:t>import io</w:t>
              <w:br/>
              <w:br/>
              <w:t>app = FastAPI(title="UteroScan CADx Inference Engine", version="2.0")</w:t>
              <w:br/>
              <w:br/>
              <w:t>@app.post("/predict")</w:t>
              <w:br/>
              <w:t>async def predict_scan(</w:t>
              <w:br/>
              <w:t xml:space="preserve">    file: UploadFile = File(...),</w:t>
              <w:br/>
              <w:t xml:space="preserve">    threshold: float = Query(0.65, ge=0.1, le=0.9)</w:t>
              <w:br/>
              <w:t>):</w:t>
              <w:br/>
              <w:t xml:space="preserve">    contents = await file.read()</w:t>
              <w:br/>
              <w:t xml:space="preserve">    image = Image.open(io.BytesIO(contents)).convert("RGB")</w:t>
              <w:br/>
              <w:t xml:space="preserve">    </w:t>
              <w:br/>
              <w:t xml:space="preserve">    # 1. Apply Clinical Preprocessing</w:t>
              <w:br/>
              <w:t xml:space="preserve">    preprocessed_np = preprocess_ultrasound(image, target_size=(224, 224))</w:t>
              <w:br/>
              <w:t xml:space="preserve">    </w:t>
              <w:br/>
              <w:t xml:space="preserve">    # 2. Tensor Normalization (ImageNet statistics)</w:t>
              <w:br/>
              <w:t xml:space="preserve">    tensor = torch.from_numpy(preprocessed_np.transpose(2, 0, 1)).float() / 255.0</w:t>
              <w:br/>
              <w:t xml:space="preserve">    tensor = (tensor - IMAGENET_MEAN) / IMAGENET_STD</w:t>
              <w:br/>
              <w:t xml:space="preserve">    tensor = tensor.unsqueeze(0).to(DEVICE)</w:t>
              <w:br/>
              <w:t xml:space="preserve">    </w:t>
              <w:br/>
              <w:t xml:space="preserve">    # 3. Model Forward Pass with TTA</w:t>
              <w:br/>
              <w:t xml:space="preserve">    probs = predict_with_tta(model, tensor, DEVICE)</w:t>
              <w:br/>
              <w:t xml:space="preserve">    prob_uf = float(probs[0])</w:t>
              <w:br/>
              <w:t xml:space="preserve">    prob_nuf = float(probs[1])</w:t>
              <w:br/>
              <w:t xml:space="preserve">    </w:t>
              <w:br/>
              <w:t xml:space="preserve">    # 4. Threshold Calibrated Decision</w:t>
              <w:br/>
              <w:t xml:space="preserve">    prediction = "UF" if prob_nuf &lt; threshold else "NUF"</w:t>
              <w:br/>
              <w:t xml:space="preserve">    confidence = prob_uf if prediction == "UF" else prob_nuf</w:t>
              <w:br/>
              <w:t xml:space="preserve">    </w:t>
              <w:br/>
              <w:t xml:space="preserve">    # 5. Generate Grad-CAM Heatmap</w:t>
              <w:br/>
              <w:t xml:space="preserve">    gradcam_b64 = generate_gradcam_overlay(model, tensor, original_image=image)</w:t>
              <w:br/>
              <w:t xml:space="preserve">    </w:t>
              <w:br/>
              <w:t xml:space="preserve">    return {</w:t>
              <w:br/>
              <w:t xml:space="preserve">        "prediction": prediction,</w:t>
              <w:br/>
              <w:t xml:space="preserve">        "label": "Uterine Fibroid Detected" if prediction == "UF" else "Normal / Non-Fibroid",</w:t>
              <w:br/>
              <w:t xml:space="preserve">        "confidence": confidence,</w:t>
              <w:br/>
              <w:t xml:space="preserve">        "probabilities": {"UF": prob_uf, "NUF": prob_nuf},</w:t>
              <w:br/>
              <w:t xml:space="preserve">        "threshold_applied": threshold,</w:t>
              <w:br/>
              <w:t xml:space="preserve">        "gradcam_overlay": gradcam_b64</w:t>
              <w:br/>
              <w:t xml:space="preserve">    }</w:t>
            </w:r>
          </w:p>
        </w:tc>
      </w:tr>
    </w:tbl>
    <w:p>
      <w:pPr>
        <w:spacing w:after="120"/>
      </w:pPr>
    </w:p>
    <w:p>
      <w:pPr>
        <w:spacing w:before="240" w:after="80"/>
      </w:pPr>
      <w:r>
        <w:rPr>
          <w:rFonts w:ascii="Calibri" w:hAnsi="Calibri"/>
          <w:b/>
          <w:color w:val="226699"/>
          <w:sz w:val="26"/>
        </w:rPr>
        <w:t>11.3. TESTING STRATEGIES</w:t>
      </w:r>
    </w:p>
    <w:p>
      <w:pPr>
        <w:spacing w:after="120"/>
      </w:pPr>
      <w:r>
        <w:t>To guarantee clinical safety, software robustness, and statistical defensibility, the UteroScan system underwent a multi-tiered testing and validation matrix encompassing unit tests, anatomical constraint assertions, patient-level isolation regression tests, and ROC-AUC clinical performance validation:</w:t>
      </w:r>
    </w:p>
    <w:p>
      <w:pPr>
        <w:spacing w:after="80"/>
      </w:pPr>
      <w:r>
        <w:rPr>
          <w:b/>
          <w:color w:val="113F67"/>
        </w:rPr>
        <w:t xml:space="preserve">• 1. Unit Testing of Preprocessing &amp; Image Transformers: </w:t>
      </w:r>
      <w:r>
        <w:t>Unit tests (test_phase1_preprocessing.py) verify that raw ultrasound inputs of arbitrary formats (JPEG, PNG, TIFF) and dimensions correctly conform to the required (224, 224, 3) tensor format. Range invariant checks ensure that processed pixel intensities span [0, 255] with non-zero standard deviation, verifying that contrast equalization operates across hypoechoic acoustic windows.</w:t>
      </w:r>
    </w:p>
    <w:p>
      <w:pPr>
        <w:spacing w:after="80"/>
      </w:pPr>
      <w:r>
        <w:rPr>
          <w:b/>
          <w:color w:val="113F67"/>
        </w:rPr>
        <w:t xml:space="preserve">• 2. Anatomical Safety &amp; Invariant Constraint Verification: </w:t>
      </w:r>
      <w:r>
        <w:t>Ultrasound diagnostic interpretation is strictly sensitive to probe orientation. Unit assertions in test_phase2_augmentation.py enforce that: (a) No vertical flipping is present in the pipeline (which would invert acoustic shadowing and near-field/far-field physics); (b) Rotations remain strictly bounded to [-15 deg, +15 deg]; (c) Validation and test dataloaders strictly operate deterministically (random=False).</w:t>
      </w:r>
    </w:p>
    <w:p>
      <w:pPr>
        <w:spacing w:after="80"/>
      </w:pPr>
      <w:r>
        <w:rPr>
          <w:b/>
          <w:color w:val="113F67"/>
        </w:rPr>
        <w:t xml:space="preserve">• 3. Patient-Clustered Isolation &amp; Contamination Audit Testing: </w:t>
      </w:r>
      <w:r>
        <w:t>Regression scripts (compute_patient_level_stats.py, check_diagnostic_overlap.py) verify that no patient's ultrasound volumes appear in both training and held-out test cohorts. A hash-based collision audit verified 0% patient leakage across splits. Furthermore, automated keyword sweeps verify that Doppler boxes ('COLOR GAIN') and obstetric gestational age tags are 100% excluded from the training distribution.</w:t>
      </w:r>
    </w:p>
    <w:p>
      <w:pPr>
        <w:spacing w:after="80"/>
      </w:pPr>
      <w:r>
        <w:rPr>
          <w:b/>
          <w:color w:val="113F67"/>
        </w:rPr>
        <w:t xml:space="preserve">• 4. Receiver Operating Characteristic (ROC) &amp; Sensitivity Optimization: </w:t>
      </w:r>
      <w:r>
        <w:t>In clinical oncology and benign gynecology screening, False Negatives (missed tumors) present severe diagnostic risks. Testing evaluates the entire ROC curve (AUC = 0.9533) across 100 threshold intervals. At the standard threshold (tau=0.50), the system demonstrated 95.09% sensitivity (155/163 lesions detected, only 8 missed). Testing confirmed that threshold calibration (tau=0.60 + TTA) maintains 92.64% sensitivity while reducing false positives from 41 down to 17, elevating overall accuracy to 90.97%.</w:t>
      </w:r>
    </w:p>
    <w:p>
      <w:pPr>
        <w:spacing w:after="80"/>
      </w:pPr>
      <w:r>
        <w:rPr>
          <w:b/>
          <w:color w:val="113F67"/>
        </w:rPr>
        <w:t xml:space="preserve">• 5. End-to-End API Integration &amp; Full-Stack System Testing: </w:t>
      </w:r>
      <w:r>
        <w:t>FastAPI endpoints were tested with synthetic stress loads, verifying average inference latency of 42ms on GPU and 185ms on CPU. Error-handling tests verify graceful handling of corrupt uploads, zero-byte payloads, and non-ultrasound input files with appropriate HTTP 422/400 validation error responses.</w:t>
      </w:r>
    </w:p>
    <w:p>
      <w:pPr>
        <w:spacing w:before="240" w:after="80"/>
      </w:pPr>
      <w:r>
        <w:rPr>
          <w:rFonts w:ascii="Calibri" w:hAnsi="Calibri"/>
          <w:b/>
          <w:color w:val="226699"/>
          <w:sz w:val="26"/>
        </w:rPr>
        <w:t>11.4. SAMPLE SCREEN SHOTS</w:t>
      </w:r>
    </w:p>
    <w:p>
      <w:pPr>
        <w:spacing w:after="160"/>
      </w:pPr>
      <w:r>
        <w:t>The following figures illustrate the active UteroScan production system, including the interactive clinical web dashboard, Grad-CAM explainability heatmaps, the clinical confusion matrix, and ROC-AUC diagnostic evaluation curves:</w:t>
      </w:r>
    </w:p>
    <w:p>
      <w:pPr>
        <w:spacing w:before="120" w:after="40"/>
        <w:jc w:val="center"/>
      </w:pPr>
      <w:r>
        <w:drawing>
          <wp:inline xmlns:a="http://schemas.openxmlformats.org/drawingml/2006/main" xmlns:pic="http://schemas.openxmlformats.org/drawingml/2006/picture">
            <wp:extent cx="5303520" cy="2610326"/>
            <wp:docPr id="1" name="Picture 1"/>
            <wp:cNvGraphicFramePr>
              <a:graphicFrameLocks noChangeAspect="1"/>
            </wp:cNvGraphicFramePr>
            <a:graphic>
              <a:graphicData uri="http://schemas.openxmlformats.org/drawingml/2006/picture">
                <pic:pic>
                  <pic:nvPicPr>
                    <pic:cNvPr id="0" name="case_a_fibroid_t50_1789936526941.png"/>
                    <pic:cNvPicPr/>
                  </pic:nvPicPr>
                  <pic:blipFill>
                    <a:blip r:embed="rId9"/>
                    <a:stretch>
                      <a:fillRect/>
                    </a:stretch>
                  </pic:blipFill>
                  <pic:spPr>
                    <a:xfrm>
                      <a:off x="0" y="0"/>
                      <a:ext cx="5303520" cy="2610326"/>
                    </a:xfrm>
                    <a:prstGeom prst="rect"/>
                  </pic:spPr>
                </pic:pic>
              </a:graphicData>
            </a:graphic>
          </wp:inline>
        </w:drawing>
      </w:r>
    </w:p>
    <w:p>
      <w:pPr>
        <w:spacing w:after="240"/>
        <w:jc w:val="center"/>
      </w:pPr>
      <w:r>
        <w:rPr>
          <w:b/>
          <w:color w:val="113F67"/>
          <w:sz w:val="19"/>
        </w:rPr>
        <w:t xml:space="preserve">Figure: Figure 11.1: UteroScan Production CADx Dashboard — Positive Fibroid Diagnosis — </w:t>
      </w:r>
      <w:r>
        <w:rPr>
          <w:color w:val="555555"/>
          <w:sz w:val="19"/>
        </w:rPr>
        <w:t>Clinical interface demonstrating positive uterine fibroid detection (P(UF)=98.4%) with real-time Grad-CAM saliency overlay highlighting the focal hypoechoic mass, calibrated threshold slider, and measurement warnings.</w:t>
      </w:r>
    </w:p>
    <w:p>
      <w:pPr>
        <w:spacing w:before="120" w:after="40"/>
        <w:jc w:val="center"/>
      </w:pPr>
      <w:r>
        <w:drawing>
          <wp:inline xmlns:a="http://schemas.openxmlformats.org/drawingml/2006/main" xmlns:pic="http://schemas.openxmlformats.org/drawingml/2006/picture">
            <wp:extent cx="5303520" cy="2610326"/>
            <wp:docPr id="2" name="Picture 2"/>
            <wp:cNvGraphicFramePr>
              <a:graphicFrameLocks noChangeAspect="1"/>
            </wp:cNvGraphicFramePr>
            <a:graphic>
              <a:graphicData uri="http://schemas.openxmlformats.org/drawingml/2006/picture">
                <pic:pic>
                  <pic:nvPicPr>
                    <pic:cNvPr id="0" name="case_c_nuf_1789936550941.png"/>
                    <pic:cNvPicPr/>
                  </pic:nvPicPr>
                  <pic:blipFill>
                    <a:blip r:embed="rId10"/>
                    <a:stretch>
                      <a:fillRect/>
                    </a:stretch>
                  </pic:blipFill>
                  <pic:spPr>
                    <a:xfrm>
                      <a:off x="0" y="0"/>
                      <a:ext cx="5303520" cy="2610326"/>
                    </a:xfrm>
                    <a:prstGeom prst="rect"/>
                  </pic:spPr>
                </pic:pic>
              </a:graphicData>
            </a:graphic>
          </wp:inline>
        </w:drawing>
      </w:r>
    </w:p>
    <w:p>
      <w:pPr>
        <w:spacing w:after="240"/>
        <w:jc w:val="center"/>
      </w:pPr>
      <w:r>
        <w:rPr>
          <w:b/>
          <w:color w:val="113F67"/>
          <w:sz w:val="19"/>
        </w:rPr>
        <w:t xml:space="preserve">Figure: Figure 11.2: UteroScan Production CADx Dashboard — Normal / Non-Fibroid Confirmation — </w:t>
      </w:r>
      <w:r>
        <w:rPr>
          <w:color w:val="555555"/>
          <w:sz w:val="19"/>
        </w:rPr>
        <w:t>Normal myometrium scan evaluated as Non-Fibroid (NUF Confirmed, P(NUF)=94.1%) displaying diffuse, uniform acoustic background attention and negative lesion confirmation.</w:t>
      </w:r>
    </w:p>
    <w:p>
      <w:pPr>
        <w:spacing w:before="120" w:after="40"/>
        <w:jc w:val="center"/>
      </w:pPr>
      <w:r>
        <w:drawing>
          <wp:inline xmlns:a="http://schemas.openxmlformats.org/drawingml/2006/main" xmlns:pic="http://schemas.openxmlformats.org/drawingml/2006/picture">
            <wp:extent cx="4389120" cy="36576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389120" cy="3657600"/>
                    </a:xfrm>
                    <a:prstGeom prst="rect"/>
                  </pic:spPr>
                </pic:pic>
              </a:graphicData>
            </a:graphic>
          </wp:inline>
        </w:drawing>
      </w:r>
    </w:p>
    <w:p>
      <w:pPr>
        <w:spacing w:after="240"/>
        <w:jc w:val="center"/>
      </w:pPr>
      <w:r>
        <w:rPr>
          <w:b/>
          <w:color w:val="113F67"/>
          <w:sz w:val="19"/>
        </w:rPr>
        <w:t xml:space="preserve">Figure: Figure 11.3: Confusion Matrix on 321 Held-Out Test Scans (90.97% Accuracy with TTA) — </w:t>
      </w:r>
      <w:r>
        <w:rPr>
          <w:color w:val="555555"/>
          <w:sz w:val="19"/>
        </w:rPr>
        <w:t>Held-out test set performance showing 151 True Positives, 141 True Negatives, 17 False Positives, and 12 False Negatives under calibrated horizontal-flip Test-Time Augmentation.</w:t>
      </w:r>
    </w:p>
    <w:p>
      <w:pPr>
        <w:spacing w:before="120" w:after="40"/>
        <w:jc w:val="center"/>
      </w:pPr>
      <w:r>
        <w:drawing>
          <wp:inline xmlns:a="http://schemas.openxmlformats.org/drawingml/2006/main" xmlns:pic="http://schemas.openxmlformats.org/drawingml/2006/picture">
            <wp:extent cx="4389120" cy="1856935"/>
            <wp:docPr id="4" name="Picture 4"/>
            <wp:cNvGraphicFramePr>
              <a:graphicFrameLocks noChangeAspect="1"/>
            </wp:cNvGraphicFramePr>
            <a:graphic>
              <a:graphicData uri="http://schemas.openxmlformats.org/drawingml/2006/picture">
                <pic:pic>
                  <pic:nvPicPr>
                    <pic:cNvPr id="0" name="roc_curve.png"/>
                    <pic:cNvPicPr/>
                  </pic:nvPicPr>
                  <pic:blipFill>
                    <a:blip r:embed="rId12"/>
                    <a:stretch>
                      <a:fillRect/>
                    </a:stretch>
                  </pic:blipFill>
                  <pic:spPr>
                    <a:xfrm>
                      <a:off x="0" y="0"/>
                      <a:ext cx="4389120" cy="1856935"/>
                    </a:xfrm>
                    <a:prstGeom prst="rect"/>
                  </pic:spPr>
                </pic:pic>
              </a:graphicData>
            </a:graphic>
          </wp:inline>
        </w:drawing>
      </w:r>
    </w:p>
    <w:p>
      <w:pPr>
        <w:spacing w:after="240"/>
        <w:jc w:val="center"/>
      </w:pPr>
      <w:r>
        <w:rPr>
          <w:b/>
          <w:color w:val="113F67"/>
          <w:sz w:val="19"/>
        </w:rPr>
        <w:t xml:space="preserve">Figure: Figure 11.4: Receiver Operating Characteristic (ROC) Trajectory (AUC = 0.9533) — </w:t>
      </w:r>
      <w:r>
        <w:rPr>
          <w:color w:val="555555"/>
          <w:sz w:val="19"/>
        </w:rPr>
        <w:t>Empirical ROC curve across 321 test scans demonstrating exceptional diagnostic discriminability (AUC = 0.9533), outperforming the uncleaned baseline.</w:t>
      </w:r>
    </w:p>
    <w:p>
      <w:pPr>
        <w:spacing w:before="120" w:after="40"/>
        <w:jc w:val="center"/>
      </w:pPr>
      <w:r>
        <w:drawing>
          <wp:inline xmlns:a="http://schemas.openxmlformats.org/drawingml/2006/main" xmlns:pic="http://schemas.openxmlformats.org/drawingml/2006/picture">
            <wp:extent cx="5303520" cy="6895251"/>
            <wp:docPr id="5" name="Picture 5"/>
            <wp:cNvGraphicFramePr>
              <a:graphicFrameLocks noChangeAspect="1"/>
            </wp:cNvGraphicFramePr>
            <a:graphic>
              <a:graphicData uri="http://schemas.openxmlformats.org/drawingml/2006/picture">
                <pic:pic>
                  <pic:nvPicPr>
                    <pic:cNvPr id="0" name="caliper_removal_before_after.png"/>
                    <pic:cNvPicPr/>
                  </pic:nvPicPr>
                  <pic:blipFill>
                    <a:blip r:embed="rId13"/>
                    <a:stretch>
                      <a:fillRect/>
                    </a:stretch>
                  </pic:blipFill>
                  <pic:spPr>
                    <a:xfrm>
                      <a:off x="0" y="0"/>
                      <a:ext cx="5303520" cy="6895251"/>
                    </a:xfrm>
                    <a:prstGeom prst="rect"/>
                  </pic:spPr>
                </pic:pic>
              </a:graphicData>
            </a:graphic>
          </wp:inline>
        </w:drawing>
      </w:r>
    </w:p>
    <w:p>
      <w:pPr>
        <w:spacing w:after="240"/>
        <w:jc w:val="center"/>
      </w:pPr>
      <w:r>
        <w:rPr>
          <w:b/>
          <w:color w:val="113F67"/>
          <w:sz w:val="19"/>
        </w:rPr>
        <w:t xml:space="preserve">Figure: Figure 11.5: Ultrasound Despeckling &amp; Caliper Artifact Inpainting Stages — </w:t>
      </w:r>
      <w:r>
        <w:rPr>
          <w:color w:val="555555"/>
          <w:sz w:val="19"/>
        </w:rPr>
        <w:t>Left: Raw ultrasound scan with high-intensity caliper overlay. Center: Morphological caliper segmentation mask. Right: Denoised and Navier-Stokes inpainted acoustic tissue window.</w:t>
      </w:r>
    </w:p>
    <w:p>
      <w:pPr>
        <w:spacing w:before="200" w:after="80"/>
      </w:pPr>
      <w:r>
        <w:rPr>
          <w:rFonts w:ascii="Calibri" w:hAnsi="Calibri"/>
          <w:b/>
          <w:color w:val="226699"/>
          <w:sz w:val="26"/>
        </w:rPr>
        <w:t>11.5. SUMMARY OF SYSTEM DELIVERABLES</w:t>
        <w:br/>
      </w:r>
    </w:p>
    <w:p>
      <w:pPr>
        <w:spacing w:after="240"/>
      </w:pPr>
      <w:r>
        <w:t>In summary, the implementation of UteroScan successfully delivers a robust, patient-audited, clinically aligned diagnostic system. By rejecting superficial shortcuts (calipers, Doppler boxes, and obstetric leakage), implementing rigorous domain preprocessing, optimizing decision thresholds (tau=0.60/0.65), and deploying a reactive web dashboard, the project establishes a reliable, peer-review-ready CADx benchmark achieving 90.97% accuracy, 95.09% peak sensitivity, and 0.9533 ROC-AUC.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