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4749A6C5" w14:textId="77777777" w:rsidR="00C00573" w:rsidRDefault="00C00573">
      <w:pPr>
        <w:rPr>
          <w:vanish/>
          <w:sz w:val="6"/>
        </w:rPr>
      </w:pPr>
    </w:p>
    <w:p w14:paraId="6F8FA66F" w14:textId="47DEAC65" w:rsidR="00C00573" w:rsidRDefault="00C00573"/>
    <w:p w14:paraId="43708079" w14:textId="77777777" w:rsidR="00634057" w:rsidRDefault="00634057"/>
    <w:p w14:paraId="74F0EC7A" w14:textId="77777777" w:rsidR="00C00573" w:rsidRDefault="00C00573"/>
    <w:p w14:paraId="59AD03C6" w14:textId="77777777" w:rsidR="00C00573" w:rsidRPr="00901011" w:rsidRDefault="00000000">
      <w:pPr>
        <w:rPr>
          <w:sz w:val="28"/>
          <w:szCs w:val="28"/>
        </w:rPr>
      </w:pPr>
      <w:r w:rsidRPr="00901011">
        <w:rPr>
          <w:b/>
          <w:bCs/>
          <w:sz w:val="28"/>
          <w:szCs w:val="28"/>
        </w:rPr>
        <w:t>Revision Verordnung über ausserordentliche Urnenabstimmungen (</w:t>
      </w:r>
      <w:proofErr w:type="spellStart"/>
      <w:r w:rsidRPr="00901011">
        <w:rPr>
          <w:b/>
          <w:bCs/>
          <w:sz w:val="28"/>
          <w:szCs w:val="28"/>
        </w:rPr>
        <w:t>VaU</w:t>
      </w:r>
      <w:proofErr w:type="spellEnd"/>
      <w:r w:rsidRPr="00901011">
        <w:rPr>
          <w:b/>
          <w:bCs/>
          <w:sz w:val="28"/>
          <w:szCs w:val="28"/>
        </w:rPr>
        <w:t>)</w:t>
      </w:r>
    </w:p>
    <w:p w14:paraId="5D769BB8" w14:textId="77777777" w:rsidR="00C00573" w:rsidRDefault="00C00573"/>
    <w:p w14:paraId="3D91C75D" w14:textId="57A85411" w:rsidR="00C00573" w:rsidRDefault="00901011">
      <w:pPr>
        <w:pStyle w:val="ZusammenfassungaufgehobeneErlasse"/>
        <w:rPr>
          <w:b/>
          <w:sz w:val="22"/>
        </w:rPr>
      </w:pPr>
      <w:r>
        <w:rPr>
          <w:b/>
          <w:sz w:val="22"/>
        </w:rPr>
        <w:t>Version: 16. September 2025</w:t>
      </w:r>
    </w:p>
    <w:tbl>
      <w:tblPr>
        <w:tblW w:w="100.0%" w:type="pct"/>
        <w:tblLayout w:type="fixed"/>
        <w:tblCellMar>
          <w:top w:w="5.40pt" w:type="dxa"/>
          <w:bottom w:w="5.40pt" w:type="dxa"/>
        </w:tblCellMar>
        <w:tblLook w:firstRow="0" w:lastRow="0" w:firstColumn="0" w:lastColumn="0" w:noHBand="0" w:noVBand="0"/>
      </w:tblPr>
      <w:tblGrid>
        <w:gridCol w:w="7421"/>
        <w:gridCol w:w="7423"/>
      </w:tblGrid>
      <w:tr w:rsidR="00C00573" w14:paraId="73B05FA4" w14:textId="77777777">
        <w:trPr>
          <w:tblHeader/>
        </w:trPr>
        <w:tc>
          <w:tcPr>
            <w:tcW w:w="371.30pt" w:type="dxa"/>
            <w:tcBorders>
              <w:top w:val="single" w:sz="4" w:space="0" w:color="000000"/>
              <w:start w:val="single" w:sz="4" w:space="0" w:color="000000"/>
              <w:bottom w:val="single" w:sz="4" w:space="0" w:color="000000"/>
            </w:tcBorders>
            <w:shd w:val="clear" w:color="auto" w:fill="E0E0E0"/>
            <w:vAlign w:val="center"/>
          </w:tcPr>
          <w:p w14:paraId="1C9A1AB2" w14:textId="77777777" w:rsidR="00C00573" w:rsidRDefault="00000000">
            <w:pPr>
              <w:pStyle w:val="TableContents"/>
            </w:pPr>
            <w:r>
              <w:rPr>
                <w:b/>
                <w:sz w:val="22"/>
              </w:rPr>
              <w:t>Geltendes Recht</w:t>
            </w:r>
          </w:p>
        </w:tc>
        <w:tc>
          <w:tcPr>
            <w:tcW w:w="371.40pt" w:type="dxa"/>
            <w:tcBorders>
              <w:top w:val="single" w:sz="4" w:space="0" w:color="000000"/>
              <w:start w:val="single" w:sz="4" w:space="0" w:color="000000"/>
              <w:bottom w:val="single" w:sz="4" w:space="0" w:color="000000"/>
              <w:end w:val="single" w:sz="4" w:space="0" w:color="000000"/>
            </w:tcBorders>
            <w:shd w:val="clear" w:color="auto" w:fill="E0E0E0"/>
            <w:vAlign w:val="center"/>
          </w:tcPr>
          <w:p w14:paraId="5EFEE552" w14:textId="77777777" w:rsidR="00C00573" w:rsidRDefault="00000000">
            <w:pPr>
              <w:pStyle w:val="TableContents"/>
            </w:pPr>
            <w:r>
              <w:rPr>
                <w:b/>
                <w:sz w:val="22"/>
              </w:rPr>
              <w:t>Arbeitsversion</w:t>
            </w:r>
          </w:p>
        </w:tc>
      </w:tr>
      <w:tr w:rsidR="00C00573" w14:paraId="0C44986D" w14:textId="77777777">
        <w:tc>
          <w:tcPr>
            <w:tcW w:w="371.30pt" w:type="dxa"/>
            <w:tcBorders>
              <w:top w:val="single" w:sz="4" w:space="0" w:color="000000"/>
              <w:start w:val="single" w:sz="4" w:space="0" w:color="000000"/>
            </w:tcBorders>
            <w:shd w:val="clear" w:color="auto" w:fill="AAFFAA"/>
          </w:tcPr>
          <w:p w14:paraId="50520326" w14:textId="77777777" w:rsidR="00C00573" w:rsidRDefault="00C00573"/>
        </w:tc>
        <w:tc>
          <w:tcPr>
            <w:tcW w:w="371.40pt" w:type="dxa"/>
            <w:tcBorders>
              <w:top w:val="single" w:sz="4" w:space="0" w:color="000000"/>
              <w:start w:val="single" w:sz="4" w:space="0" w:color="000000"/>
              <w:end w:val="single" w:sz="4" w:space="0" w:color="000000"/>
            </w:tcBorders>
            <w:shd w:val="clear" w:color="auto" w:fill="AAFFAA"/>
          </w:tcPr>
          <w:p w14:paraId="754FAA49" w14:textId="77777777" w:rsidR="00C00573" w:rsidRDefault="00000000">
            <w:pPr>
              <w:pStyle w:val="Abschnittstitel"/>
            </w:pPr>
            <w:r>
              <w:t>I.</w:t>
            </w:r>
          </w:p>
        </w:tc>
      </w:tr>
      <w:tr w:rsidR="00C00573" w14:paraId="33FE4A0B" w14:textId="77777777">
        <w:tc>
          <w:tcPr>
            <w:tcW w:w="371.30pt" w:type="dxa"/>
            <w:tcBorders>
              <w:top w:val="single" w:sz="4" w:space="0" w:color="000000"/>
              <w:start w:val="single" w:sz="4" w:space="0" w:color="000000"/>
            </w:tcBorders>
            <w:shd w:val="clear" w:color="auto" w:fill="FFFFAA"/>
          </w:tcPr>
          <w:p w14:paraId="3E984246" w14:textId="77777777" w:rsidR="00C00573" w:rsidRDefault="00C00573"/>
        </w:tc>
        <w:tc>
          <w:tcPr>
            <w:tcW w:w="371.40pt" w:type="dxa"/>
            <w:tcBorders>
              <w:top w:val="single" w:sz="4" w:space="0" w:color="000000"/>
              <w:start w:val="single" w:sz="4" w:space="0" w:color="000000"/>
              <w:end w:val="single" w:sz="4" w:space="0" w:color="000000"/>
            </w:tcBorders>
            <w:shd w:val="clear" w:color="auto" w:fill="FFFFAA"/>
          </w:tcPr>
          <w:p w14:paraId="72334581" w14:textId="77777777" w:rsidR="00C00573" w:rsidRDefault="00000000">
            <w:pPr>
              <w:pStyle w:val="Nebenzitat"/>
            </w:pPr>
            <w:r>
              <w:t>Änderung Verordnung über ausserordentliche Urnenabstimmungen (</w:t>
            </w:r>
            <w:proofErr w:type="spellStart"/>
            <w:r>
              <w:t>VaU</w:t>
            </w:r>
            <w:proofErr w:type="spellEnd"/>
            <w:r>
              <w:t>) vom 8. Februar 2021:</w:t>
            </w:r>
          </w:p>
        </w:tc>
      </w:tr>
      <w:tr w:rsidR="00C00573" w14:paraId="22AEBFFE" w14:textId="77777777">
        <w:tc>
          <w:tcPr>
            <w:tcW w:w="371.30pt" w:type="dxa"/>
            <w:tcBorders>
              <w:top w:val="single" w:sz="4" w:space="0" w:color="000000"/>
              <w:start w:val="single" w:sz="4" w:space="0" w:color="000000"/>
            </w:tcBorders>
            <w:shd w:val="clear" w:color="auto" w:fill="auto"/>
          </w:tcPr>
          <w:p w14:paraId="3D6B5C4A" w14:textId="77777777" w:rsidR="00C00573" w:rsidRDefault="00000000">
            <w:pPr>
              <w:pStyle w:val="TableContents"/>
            </w:pPr>
            <w:r>
              <w:rPr>
                <w:b/>
                <w:bCs/>
                <w:sz w:val="22"/>
              </w:rPr>
              <w:t>Verordnung über ausserordentliche Urnenabstimmungen</w:t>
            </w:r>
          </w:p>
        </w:tc>
        <w:tc>
          <w:tcPr>
            <w:tcW w:w="371.40pt" w:type="dxa"/>
            <w:tcBorders>
              <w:top w:val="single" w:sz="4" w:space="0" w:color="000000"/>
              <w:start w:val="single" w:sz="4" w:space="0" w:color="000000"/>
              <w:end w:val="single" w:sz="4" w:space="0" w:color="000000"/>
            </w:tcBorders>
            <w:shd w:val="clear" w:color="auto" w:fill="auto"/>
          </w:tcPr>
          <w:p w14:paraId="5AC069FC" w14:textId="77777777" w:rsidR="00C00573" w:rsidRDefault="00000000">
            <w:pPr>
              <w:pStyle w:val="TableContents"/>
            </w:pPr>
            <w:r>
              <w:rPr>
                <w:b/>
                <w:bCs/>
                <w:sz w:val="22"/>
              </w:rPr>
              <w:t>Verordnung über ausserordentliche Urnenabstimmungen</w:t>
            </w:r>
          </w:p>
        </w:tc>
      </w:tr>
      <w:tr w:rsidR="00C00573" w14:paraId="7D83590B" w14:textId="77777777">
        <w:tc>
          <w:tcPr>
            <w:tcW w:w="371.30pt" w:type="dxa"/>
            <w:tcBorders>
              <w:start w:val="single" w:sz="4" w:space="0" w:color="000000"/>
            </w:tcBorders>
            <w:shd w:val="clear" w:color="auto" w:fill="auto"/>
          </w:tcPr>
          <w:p w14:paraId="250825C7" w14:textId="77777777" w:rsidR="00C00573" w:rsidRDefault="00000000">
            <w:pPr>
              <w:pStyle w:val="TableContents"/>
            </w:pPr>
            <w:r>
              <w:rPr>
                <w:b/>
                <w:bCs/>
                <w:sz w:val="22"/>
              </w:rPr>
              <w:t>(</w:t>
            </w:r>
            <w:proofErr w:type="spellStart"/>
            <w:r>
              <w:rPr>
                <w:b/>
                <w:bCs/>
                <w:sz w:val="22"/>
              </w:rPr>
              <w:t>VaU</w:t>
            </w:r>
            <w:proofErr w:type="spellEnd"/>
            <w:r>
              <w:rPr>
                <w:b/>
                <w:bCs/>
                <w:sz w:val="22"/>
              </w:rPr>
              <w:t>)</w:t>
            </w:r>
          </w:p>
        </w:tc>
        <w:tc>
          <w:tcPr>
            <w:tcW w:w="371.40pt" w:type="dxa"/>
            <w:tcBorders>
              <w:start w:val="single" w:sz="4" w:space="0" w:color="000000"/>
              <w:end w:val="single" w:sz="4" w:space="0" w:color="000000"/>
            </w:tcBorders>
            <w:shd w:val="clear" w:color="auto" w:fill="auto"/>
          </w:tcPr>
          <w:p w14:paraId="449E071A" w14:textId="77777777" w:rsidR="00C00573" w:rsidRDefault="00000000">
            <w:pPr>
              <w:pStyle w:val="TableContents"/>
            </w:pPr>
            <w:r>
              <w:rPr>
                <w:b/>
                <w:bCs/>
                <w:sz w:val="22"/>
              </w:rPr>
              <w:t>(VAU)</w:t>
            </w:r>
          </w:p>
        </w:tc>
      </w:tr>
      <w:tr w:rsidR="00C00573" w14:paraId="0BAE4ED8" w14:textId="77777777">
        <w:tc>
          <w:tcPr>
            <w:tcW w:w="371.30pt" w:type="dxa"/>
            <w:tcBorders>
              <w:top w:val="single" w:sz="4" w:space="0" w:color="000000"/>
              <w:start w:val="single" w:sz="4" w:space="0" w:color="000000"/>
            </w:tcBorders>
            <w:shd w:val="clear" w:color="auto" w:fill="auto"/>
          </w:tcPr>
          <w:p w14:paraId="32FBEAB7" w14:textId="77777777" w:rsidR="00C00573" w:rsidRDefault="00000000">
            <w:pPr>
              <w:pStyle w:val="TableContents"/>
            </w:pPr>
            <w:r>
              <w:t>vom 8. Februar 2021</w:t>
            </w:r>
          </w:p>
        </w:tc>
        <w:tc>
          <w:tcPr>
            <w:tcW w:w="371.40pt" w:type="dxa"/>
            <w:tcBorders>
              <w:top w:val="single" w:sz="4" w:space="0" w:color="000000"/>
              <w:start w:val="single" w:sz="4" w:space="0" w:color="000000"/>
              <w:end w:val="single" w:sz="4" w:space="0" w:color="000000"/>
            </w:tcBorders>
            <w:shd w:val="clear" w:color="auto" w:fill="auto"/>
          </w:tcPr>
          <w:p w14:paraId="056841BB" w14:textId="77777777" w:rsidR="00C00573" w:rsidRDefault="00C00573">
            <w:pPr>
              <w:pStyle w:val="TableContents"/>
            </w:pPr>
          </w:p>
        </w:tc>
      </w:tr>
      <w:tr w:rsidR="00C00573" w14:paraId="1B864F2D" w14:textId="77777777">
        <w:tc>
          <w:tcPr>
            <w:tcW w:w="371.30pt" w:type="dxa"/>
            <w:tcBorders>
              <w:top w:val="single" w:sz="4" w:space="0" w:color="000000"/>
              <w:start w:val="single" w:sz="4" w:space="0" w:color="000000"/>
            </w:tcBorders>
            <w:shd w:val="clear" w:color="auto" w:fill="auto"/>
          </w:tcPr>
          <w:p w14:paraId="391378E1" w14:textId="77777777" w:rsidR="00C00573" w:rsidRDefault="00000000">
            <w:pPr>
              <w:pStyle w:val="Autor"/>
            </w:pPr>
            <w:r>
              <w:t>Der Grosse Rat des Kantons Appenzell I.Rh.,</w:t>
            </w:r>
          </w:p>
        </w:tc>
        <w:tc>
          <w:tcPr>
            <w:tcW w:w="371.40pt" w:type="dxa"/>
            <w:tcBorders>
              <w:top w:val="single" w:sz="4" w:space="0" w:color="000000"/>
              <w:start w:val="single" w:sz="4" w:space="0" w:color="000000"/>
              <w:end w:val="single" w:sz="4" w:space="0" w:color="000000"/>
            </w:tcBorders>
            <w:shd w:val="clear" w:color="auto" w:fill="auto"/>
          </w:tcPr>
          <w:p w14:paraId="3B11235C" w14:textId="77777777" w:rsidR="00C00573" w:rsidRDefault="00000000">
            <w:pPr>
              <w:pStyle w:val="Autor"/>
            </w:pPr>
            <w:r>
              <w:t>     </w:t>
            </w:r>
          </w:p>
        </w:tc>
      </w:tr>
      <w:tr w:rsidR="00C00573" w14:paraId="776BF8E5" w14:textId="77777777">
        <w:tc>
          <w:tcPr>
            <w:tcW w:w="371.30pt" w:type="dxa"/>
            <w:tcBorders>
              <w:top w:val="single" w:sz="4" w:space="0" w:color="000000"/>
              <w:start w:val="single" w:sz="4" w:space="0" w:color="000000"/>
            </w:tcBorders>
            <w:shd w:val="clear" w:color="auto" w:fill="auto"/>
          </w:tcPr>
          <w:p w14:paraId="0A982128" w14:textId="77777777" w:rsidR="00C00573" w:rsidRDefault="00000000">
            <w:pPr>
              <w:pStyle w:val="TableContents"/>
            </w:pPr>
            <w:r>
              <w:t>gestützt auf Art. 1 Abs. 3 der Kantonsverfassung vom 24. Wintermonat 1872,</w:t>
            </w:r>
          </w:p>
        </w:tc>
        <w:tc>
          <w:tcPr>
            <w:tcW w:w="371.40pt" w:type="dxa"/>
            <w:tcBorders>
              <w:top w:val="single" w:sz="4" w:space="0" w:color="000000"/>
              <w:start w:val="single" w:sz="4" w:space="0" w:color="000000"/>
              <w:end w:val="single" w:sz="4" w:space="0" w:color="000000"/>
            </w:tcBorders>
            <w:shd w:val="clear" w:color="auto" w:fill="auto"/>
          </w:tcPr>
          <w:p w14:paraId="093CAAAA" w14:textId="77777777" w:rsidR="00C00573" w:rsidRDefault="00000000">
            <w:pPr>
              <w:pStyle w:val="TableContents"/>
            </w:pPr>
            <w:r>
              <w:t>     </w:t>
            </w:r>
          </w:p>
        </w:tc>
      </w:tr>
      <w:tr w:rsidR="00C00573" w14:paraId="261B11CD" w14:textId="77777777">
        <w:tc>
          <w:tcPr>
            <w:tcW w:w="371.30pt" w:type="dxa"/>
            <w:tcBorders>
              <w:top w:val="single" w:sz="4" w:space="0" w:color="000000"/>
              <w:start w:val="single" w:sz="4" w:space="0" w:color="000000"/>
            </w:tcBorders>
            <w:shd w:val="clear" w:color="auto" w:fill="auto"/>
          </w:tcPr>
          <w:p w14:paraId="043871CA" w14:textId="77777777" w:rsidR="00C00573" w:rsidRDefault="00000000">
            <w:pPr>
              <w:pStyle w:val="Aktion"/>
            </w:pPr>
            <w:r>
              <w:t>beschliesst:</w:t>
            </w:r>
          </w:p>
        </w:tc>
        <w:tc>
          <w:tcPr>
            <w:tcW w:w="371.40pt" w:type="dxa"/>
            <w:tcBorders>
              <w:top w:val="single" w:sz="4" w:space="0" w:color="000000"/>
              <w:start w:val="single" w:sz="4" w:space="0" w:color="000000"/>
              <w:end w:val="single" w:sz="4" w:space="0" w:color="000000"/>
            </w:tcBorders>
            <w:shd w:val="clear" w:color="auto" w:fill="auto"/>
          </w:tcPr>
          <w:p w14:paraId="04720AF5" w14:textId="77777777" w:rsidR="00C00573" w:rsidRDefault="00000000">
            <w:pPr>
              <w:pStyle w:val="Aktion"/>
            </w:pPr>
            <w:r>
              <w:t>     </w:t>
            </w:r>
          </w:p>
        </w:tc>
      </w:tr>
      <w:tr w:rsidR="00C00573" w14:paraId="2DFFD066" w14:textId="77777777">
        <w:trPr>
          <w:cantSplit/>
        </w:trPr>
        <w:tc>
          <w:tcPr>
            <w:tcW w:w="371.30pt" w:type="dxa"/>
            <w:tcBorders>
              <w:top w:val="single" w:sz="4" w:space="0" w:color="000000"/>
              <w:start w:val="single" w:sz="4" w:space="0" w:color="000000"/>
            </w:tcBorders>
            <w:shd w:val="clear" w:color="auto" w:fill="auto"/>
          </w:tcPr>
          <w:p w14:paraId="7786B32C" w14:textId="77777777" w:rsidR="00C00573" w:rsidRDefault="00000000">
            <w:pPr>
              <w:pStyle w:val="TableContents"/>
            </w:pPr>
            <w:r>
              <w:rPr>
                <w:b/>
                <w:bCs/>
              </w:rPr>
              <w:t>Art.  1</w:t>
            </w:r>
            <w:r>
              <w:br/>
            </w:r>
            <w:r>
              <w:rPr>
                <w:sz w:val="14"/>
              </w:rPr>
              <w:t>Zweck und Geltungsbereich</w:t>
            </w:r>
          </w:p>
        </w:tc>
        <w:tc>
          <w:tcPr>
            <w:tcW w:w="371.40pt" w:type="dxa"/>
            <w:tcBorders>
              <w:top w:val="single" w:sz="4" w:space="0" w:color="000000"/>
              <w:start w:val="single" w:sz="4" w:space="0" w:color="000000"/>
              <w:end w:val="single" w:sz="4" w:space="0" w:color="000000"/>
            </w:tcBorders>
            <w:shd w:val="clear" w:color="auto" w:fill="auto"/>
          </w:tcPr>
          <w:p w14:paraId="059486B0" w14:textId="77777777" w:rsidR="00C00573" w:rsidRDefault="00C00573">
            <w:pPr>
              <w:pStyle w:val="TableContents"/>
            </w:pPr>
          </w:p>
        </w:tc>
      </w:tr>
      <w:tr w:rsidR="00C00573" w14:paraId="01437B3A" w14:textId="77777777">
        <w:trPr>
          <w:cantSplit/>
        </w:trPr>
        <w:tc>
          <w:tcPr>
            <w:tcW w:w="371.30pt" w:type="dxa"/>
            <w:tcBorders>
              <w:start w:val="single" w:sz="4" w:space="0" w:color="000000"/>
            </w:tcBorders>
            <w:shd w:val="clear" w:color="auto" w:fill="auto"/>
          </w:tcPr>
          <w:p w14:paraId="49EAB750" w14:textId="77777777" w:rsidR="00C00573" w:rsidRDefault="00000000">
            <w:pPr>
              <w:pStyle w:val="TableContents"/>
            </w:pPr>
            <w:r>
              <w:rPr>
                <w:vertAlign w:val="superscript"/>
              </w:rPr>
              <w:t>1</w:t>
            </w:r>
            <w:r>
              <w:t xml:space="preserve"> Diese Verordnung regelt das Erforderliche für Urnenabstimmungen, die als Ersatz für </w:t>
            </w:r>
            <w:proofErr w:type="spellStart"/>
            <w:r>
              <w:t>ausserordentlicherweise</w:t>
            </w:r>
            <w:proofErr w:type="spellEnd"/>
            <w:r>
              <w:t xml:space="preserve"> ausfallende Gemeindeversammlungen durchgeführt werden.</w:t>
            </w:r>
          </w:p>
        </w:tc>
        <w:tc>
          <w:tcPr>
            <w:tcW w:w="371.40pt" w:type="dxa"/>
            <w:tcBorders>
              <w:start w:val="single" w:sz="4" w:space="0" w:color="000000"/>
              <w:end w:val="single" w:sz="4" w:space="0" w:color="000000"/>
            </w:tcBorders>
            <w:shd w:val="clear" w:color="auto" w:fill="auto"/>
          </w:tcPr>
          <w:p w14:paraId="4C87653C" w14:textId="77777777" w:rsidR="00C00573" w:rsidRDefault="00000000">
            <w:pPr>
              <w:pStyle w:val="TableContents"/>
            </w:pPr>
            <w:r>
              <w:rPr>
                <w:vertAlign w:val="superscript"/>
              </w:rPr>
              <w:t>1</w:t>
            </w:r>
            <w:r>
              <w:t xml:space="preserve"> Diese Verordnung regelt das Erforderliche für Urnenabstimmungen, die als Ersatz für </w:t>
            </w:r>
            <w:proofErr w:type="spellStart"/>
            <w:r>
              <w:t>ausserordentlicherweise</w:t>
            </w:r>
            <w:proofErr w:type="spellEnd"/>
            <w:r>
              <w:t xml:space="preserve"> ausfallende Landsgemeinden, Bezirksgemeinden oder Gemeindeversammlungen durchgeführt werden.</w:t>
            </w:r>
          </w:p>
        </w:tc>
      </w:tr>
      <w:tr w:rsidR="00C00573" w14:paraId="133B35FE" w14:textId="77777777" w:rsidTr="00901011">
        <w:trPr>
          <w:cantSplit/>
        </w:trPr>
        <w:tc>
          <w:tcPr>
            <w:tcW w:w="371.30pt" w:type="dxa"/>
            <w:tcBorders>
              <w:start w:val="single" w:sz="4" w:space="0" w:color="000000"/>
            </w:tcBorders>
            <w:shd w:val="clear" w:color="auto" w:fill="auto"/>
          </w:tcPr>
          <w:p w14:paraId="14DB1E0A" w14:textId="77777777" w:rsidR="00C00573" w:rsidRDefault="00000000">
            <w:pPr>
              <w:pStyle w:val="TableContents"/>
            </w:pPr>
            <w:r>
              <w:rPr>
                <w:vertAlign w:val="superscript"/>
              </w:rPr>
              <w:t>2</w:t>
            </w:r>
            <w:r>
              <w:t> Sie gilt für ausserordentliche Wahlen und Sachabstimmungen des Kantons, der Bezirke, der Feuerschaugemeinde sowie der Schul- und Kirchgemeinden.</w:t>
            </w:r>
          </w:p>
        </w:tc>
        <w:tc>
          <w:tcPr>
            <w:tcW w:w="371.40pt" w:type="dxa"/>
            <w:tcBorders>
              <w:start w:val="single" w:sz="4" w:space="0" w:color="000000"/>
              <w:end w:val="single" w:sz="4" w:space="0" w:color="000000"/>
            </w:tcBorders>
            <w:shd w:val="clear" w:color="auto" w:fill="auto"/>
          </w:tcPr>
          <w:p w14:paraId="351C216E" w14:textId="77777777" w:rsidR="00C00573" w:rsidRDefault="00000000">
            <w:pPr>
              <w:pStyle w:val="TableContents"/>
            </w:pPr>
            <w:r>
              <w:rPr>
                <w:vertAlign w:val="superscript"/>
              </w:rPr>
              <w:t>2</w:t>
            </w:r>
            <w:r>
              <w:t> Sie gilt für ausserordentliche Wahlen und Sachabstimmungen des Kantons, der Bezirke und der Gemeinden.</w:t>
            </w:r>
          </w:p>
        </w:tc>
      </w:tr>
      <w:tr w:rsidR="00C00573" w14:paraId="35DE8BAE" w14:textId="77777777" w:rsidTr="00901011">
        <w:trPr>
          <w:cantSplit/>
        </w:trPr>
        <w:tc>
          <w:tcPr>
            <w:tcW w:w="371.30pt" w:type="dxa"/>
            <w:tcBorders>
              <w:start w:val="single" w:sz="4" w:space="0" w:color="auto"/>
              <w:bottom w:val="single" w:sz="4" w:space="0" w:color="auto"/>
              <w:end w:val="single" w:sz="4" w:space="0" w:color="auto"/>
            </w:tcBorders>
            <w:shd w:val="clear" w:color="auto" w:fill="auto"/>
          </w:tcPr>
          <w:p w14:paraId="619315DE" w14:textId="77777777" w:rsidR="00C00573" w:rsidRDefault="00C00573">
            <w:pPr>
              <w:pStyle w:val="TableContents"/>
            </w:pPr>
          </w:p>
        </w:tc>
        <w:tc>
          <w:tcPr>
            <w:tcW w:w="371.40pt" w:type="dxa"/>
            <w:tcBorders>
              <w:start w:val="single" w:sz="4" w:space="0" w:color="auto"/>
              <w:bottom w:val="single" w:sz="4" w:space="0" w:color="auto"/>
              <w:end w:val="single" w:sz="4" w:space="0" w:color="auto"/>
            </w:tcBorders>
            <w:shd w:val="clear" w:color="auto" w:fill="auto"/>
          </w:tcPr>
          <w:p w14:paraId="2494481F" w14:textId="77777777" w:rsidR="00C00573" w:rsidRDefault="00000000">
            <w:pPr>
              <w:pStyle w:val="TableContents"/>
            </w:pPr>
            <w:r>
              <w:rPr>
                <w:vertAlign w:val="superscript"/>
              </w:rPr>
              <w:t>3</w:t>
            </w:r>
            <w:r>
              <w:t> Als Gemeinden gelten die Schul- und Kirchgemeinden sowie die Feuerschaugemeinde.</w:t>
            </w:r>
          </w:p>
          <w:p w14:paraId="6E625596" w14:textId="77777777" w:rsidR="00901011" w:rsidRDefault="00901011">
            <w:pPr>
              <w:pStyle w:val="TableContents"/>
            </w:pPr>
          </w:p>
          <w:p w14:paraId="62BADDDE" w14:textId="77777777" w:rsidR="00901011" w:rsidRDefault="00901011">
            <w:pPr>
              <w:pStyle w:val="TableContents"/>
            </w:pPr>
          </w:p>
        </w:tc>
      </w:tr>
      <w:tr w:rsidR="00C00573" w14:paraId="05613AFB" w14:textId="77777777" w:rsidTr="00901011">
        <w:trPr>
          <w:cantSplit/>
        </w:trPr>
        <w:tc>
          <w:tcPr>
            <w:tcW w:w="371.30pt" w:type="dxa"/>
            <w:tcBorders>
              <w:top w:val="single" w:sz="4" w:space="0" w:color="auto"/>
              <w:start w:val="single" w:sz="4" w:space="0" w:color="000000"/>
            </w:tcBorders>
            <w:shd w:val="clear" w:color="auto" w:fill="auto"/>
          </w:tcPr>
          <w:p w14:paraId="35A1599E" w14:textId="77777777" w:rsidR="00C00573" w:rsidRDefault="00000000">
            <w:pPr>
              <w:pStyle w:val="TableContents"/>
            </w:pPr>
            <w:r>
              <w:rPr>
                <w:b/>
                <w:bCs/>
              </w:rPr>
              <w:lastRenderedPageBreak/>
              <w:t>Art.  2</w:t>
            </w:r>
            <w:r>
              <w:br/>
            </w:r>
            <w:r>
              <w:rPr>
                <w:sz w:val="14"/>
              </w:rPr>
              <w:t>Zuständigkeit</w:t>
            </w:r>
          </w:p>
        </w:tc>
        <w:tc>
          <w:tcPr>
            <w:tcW w:w="371.40pt" w:type="dxa"/>
            <w:tcBorders>
              <w:top w:val="single" w:sz="4" w:space="0" w:color="auto"/>
              <w:start w:val="single" w:sz="4" w:space="0" w:color="000000"/>
              <w:end w:val="single" w:sz="4" w:space="0" w:color="000000"/>
            </w:tcBorders>
            <w:shd w:val="clear" w:color="auto" w:fill="auto"/>
          </w:tcPr>
          <w:p w14:paraId="09F7E036" w14:textId="77777777" w:rsidR="00C00573" w:rsidRDefault="00000000">
            <w:pPr>
              <w:pStyle w:val="TableContents"/>
            </w:pPr>
            <w:r>
              <w:rPr>
                <w:b/>
                <w:bCs/>
              </w:rPr>
              <w:t>Art.  2</w:t>
            </w:r>
            <w:r>
              <w:br/>
            </w:r>
            <w:r>
              <w:rPr>
                <w:sz w:val="14"/>
              </w:rPr>
              <w:t>Anhörungs- und Antragsrecht</w:t>
            </w:r>
          </w:p>
        </w:tc>
      </w:tr>
      <w:tr w:rsidR="00C00573" w14:paraId="3AB83E22" w14:textId="77777777">
        <w:trPr>
          <w:cantSplit/>
        </w:trPr>
        <w:tc>
          <w:tcPr>
            <w:tcW w:w="371.30pt" w:type="dxa"/>
            <w:tcBorders>
              <w:start w:val="single" w:sz="4" w:space="0" w:color="000000"/>
            </w:tcBorders>
            <w:shd w:val="clear" w:color="auto" w:fill="auto"/>
          </w:tcPr>
          <w:p w14:paraId="7E206DF8" w14:textId="77777777" w:rsidR="00C00573" w:rsidRDefault="00000000">
            <w:pPr>
              <w:pStyle w:val="TableContents"/>
            </w:pPr>
            <w:r>
              <w:rPr>
                <w:vertAlign w:val="superscript"/>
              </w:rPr>
              <w:t>1</w:t>
            </w:r>
            <w:r>
              <w:t> Für die Verschiebung oder Absage von Gemeindeversammlungen und die ersatzweise Anordnung von ausserordentlichen Urnenabstimmungen ist, soweit keine anderweitige Regelung besteht, die Standeskommission zuständig.</w:t>
            </w:r>
          </w:p>
        </w:tc>
        <w:tc>
          <w:tcPr>
            <w:tcW w:w="371.40pt" w:type="dxa"/>
            <w:tcBorders>
              <w:start w:val="single" w:sz="4" w:space="0" w:color="000000"/>
              <w:end w:val="single" w:sz="4" w:space="0" w:color="000000"/>
            </w:tcBorders>
            <w:shd w:val="clear" w:color="auto" w:fill="auto"/>
          </w:tcPr>
          <w:p w14:paraId="3D27CB8A" w14:textId="77777777" w:rsidR="00C00573" w:rsidRDefault="00000000">
            <w:pPr>
              <w:pStyle w:val="TableContents"/>
            </w:pPr>
            <w:r>
              <w:rPr>
                <w:vertAlign w:val="superscript"/>
              </w:rPr>
              <w:t>1</w:t>
            </w:r>
            <w:r>
              <w:t> </w:t>
            </w:r>
            <w:r>
              <w:rPr>
                <w:i/>
                <w:iCs/>
              </w:rPr>
              <w:t>Aufgehoben.</w:t>
            </w:r>
          </w:p>
        </w:tc>
      </w:tr>
      <w:tr w:rsidR="00C00573" w14:paraId="19472E8A" w14:textId="77777777">
        <w:trPr>
          <w:cantSplit/>
        </w:trPr>
        <w:tc>
          <w:tcPr>
            <w:tcW w:w="371.30pt" w:type="dxa"/>
            <w:tcBorders>
              <w:start w:val="single" w:sz="4" w:space="0" w:color="000000"/>
            </w:tcBorders>
            <w:shd w:val="clear" w:color="auto" w:fill="auto"/>
          </w:tcPr>
          <w:p w14:paraId="49345F64" w14:textId="77777777" w:rsidR="00C00573" w:rsidRDefault="00000000">
            <w:pPr>
              <w:pStyle w:val="TableContents"/>
            </w:pPr>
            <w:r>
              <w:rPr>
                <w:vertAlign w:val="superscript"/>
              </w:rPr>
              <w:t>2</w:t>
            </w:r>
            <w:r>
              <w:t> Diese Entscheide sind nur im Rahmen des Notrechts möglich, insbesondere wenn die Durchführung der Versammlungen mit hohen Gefahren für die öffentliche Gesundheit, Sicherheit oder Ordnung verbunden wäre.</w:t>
            </w:r>
          </w:p>
        </w:tc>
        <w:tc>
          <w:tcPr>
            <w:tcW w:w="371.40pt" w:type="dxa"/>
            <w:tcBorders>
              <w:start w:val="single" w:sz="4" w:space="0" w:color="000000"/>
              <w:end w:val="single" w:sz="4" w:space="0" w:color="000000"/>
            </w:tcBorders>
            <w:shd w:val="clear" w:color="auto" w:fill="auto"/>
          </w:tcPr>
          <w:p w14:paraId="793C4C47" w14:textId="77777777" w:rsidR="00C00573" w:rsidRDefault="00000000">
            <w:pPr>
              <w:pStyle w:val="TableContents"/>
            </w:pPr>
            <w:r>
              <w:rPr>
                <w:vertAlign w:val="superscript"/>
              </w:rPr>
              <w:t>2</w:t>
            </w:r>
            <w:r>
              <w:t> </w:t>
            </w:r>
            <w:r>
              <w:rPr>
                <w:i/>
                <w:iCs/>
              </w:rPr>
              <w:t>Aufgehoben.</w:t>
            </w:r>
          </w:p>
        </w:tc>
      </w:tr>
      <w:tr w:rsidR="00C00573" w14:paraId="0DD5881F" w14:textId="77777777">
        <w:trPr>
          <w:cantSplit/>
        </w:trPr>
        <w:tc>
          <w:tcPr>
            <w:tcW w:w="371.30pt" w:type="dxa"/>
            <w:tcBorders>
              <w:start w:val="single" w:sz="4" w:space="0" w:color="000000"/>
            </w:tcBorders>
            <w:shd w:val="clear" w:color="auto" w:fill="auto"/>
          </w:tcPr>
          <w:p w14:paraId="5AD12997" w14:textId="77777777" w:rsidR="00C00573" w:rsidRDefault="00000000">
            <w:pPr>
              <w:pStyle w:val="TableContents"/>
            </w:pPr>
            <w:r>
              <w:rPr>
                <w:vertAlign w:val="superscript"/>
              </w:rPr>
              <w:t>3</w:t>
            </w:r>
            <w:r>
              <w:t> Die Exekutivbehörden der von den Entscheiden betroffenen Körperschaften haben ein Anhörungs- und Antragsrecht. Bei Dringlichkeit kann auf eine Anhörung verzichtet werden.</w:t>
            </w:r>
          </w:p>
        </w:tc>
        <w:tc>
          <w:tcPr>
            <w:tcW w:w="371.40pt" w:type="dxa"/>
            <w:tcBorders>
              <w:start w:val="single" w:sz="4" w:space="0" w:color="000000"/>
              <w:end w:val="single" w:sz="4" w:space="0" w:color="000000"/>
            </w:tcBorders>
            <w:shd w:val="clear" w:color="auto" w:fill="auto"/>
          </w:tcPr>
          <w:p w14:paraId="25356E4F" w14:textId="77777777" w:rsidR="00C00573" w:rsidRDefault="00000000">
            <w:pPr>
              <w:pStyle w:val="TableContents"/>
            </w:pPr>
            <w:r>
              <w:rPr>
                <w:vertAlign w:val="superscript"/>
              </w:rPr>
              <w:t>3</w:t>
            </w:r>
            <w:r>
              <w:t> Ordnet die Standeskommission für Bezirksgemeinden oder Gemeindeversammlungen Notmassnahmen an, haben die betroffenen Körperschaften ein Anhörungs- und Antragsrecht; bei Dringlichkeit kann auf eine Anhörung verzichtet werden.</w:t>
            </w:r>
          </w:p>
        </w:tc>
      </w:tr>
      <w:tr w:rsidR="00C00573" w14:paraId="062C19FA" w14:textId="77777777">
        <w:trPr>
          <w:cantSplit/>
        </w:trPr>
        <w:tc>
          <w:tcPr>
            <w:tcW w:w="371.30pt" w:type="dxa"/>
            <w:tcBorders>
              <w:top w:val="single" w:sz="4" w:space="0" w:color="000000"/>
              <w:start w:val="single" w:sz="4" w:space="0" w:color="000000"/>
            </w:tcBorders>
            <w:shd w:val="clear" w:color="auto" w:fill="auto"/>
          </w:tcPr>
          <w:p w14:paraId="53D3C24F" w14:textId="77777777" w:rsidR="00C00573" w:rsidRDefault="00000000">
            <w:pPr>
              <w:pStyle w:val="TableContents"/>
            </w:pPr>
            <w:r>
              <w:rPr>
                <w:b/>
                <w:bCs/>
              </w:rPr>
              <w:t>Art.  3</w:t>
            </w:r>
            <w:r>
              <w:br/>
            </w:r>
            <w:r>
              <w:rPr>
                <w:sz w:val="14"/>
              </w:rPr>
              <w:t>Regelungsbefugnisse</w:t>
            </w:r>
          </w:p>
        </w:tc>
        <w:tc>
          <w:tcPr>
            <w:tcW w:w="371.40pt" w:type="dxa"/>
            <w:tcBorders>
              <w:top w:val="single" w:sz="4" w:space="0" w:color="000000"/>
              <w:start w:val="single" w:sz="4" w:space="0" w:color="000000"/>
              <w:end w:val="single" w:sz="4" w:space="0" w:color="000000"/>
            </w:tcBorders>
            <w:shd w:val="clear" w:color="auto" w:fill="auto"/>
          </w:tcPr>
          <w:p w14:paraId="7DD2419D" w14:textId="77777777" w:rsidR="00C00573" w:rsidRDefault="00000000">
            <w:pPr>
              <w:pStyle w:val="TableContents"/>
            </w:pPr>
            <w:r>
              <w:rPr>
                <w:b/>
                <w:bCs/>
              </w:rPr>
              <w:t>Art.  3</w:t>
            </w:r>
            <w:r>
              <w:t> </w:t>
            </w:r>
            <w:r>
              <w:rPr>
                <w:i/>
                <w:iCs/>
              </w:rPr>
              <w:t>Aufgehoben.</w:t>
            </w:r>
          </w:p>
        </w:tc>
      </w:tr>
      <w:tr w:rsidR="00C00573" w14:paraId="445680CB" w14:textId="77777777">
        <w:trPr>
          <w:cantSplit/>
        </w:trPr>
        <w:tc>
          <w:tcPr>
            <w:tcW w:w="371.30pt" w:type="dxa"/>
            <w:tcBorders>
              <w:start w:val="single" w:sz="4" w:space="0" w:color="000000"/>
            </w:tcBorders>
            <w:shd w:val="clear" w:color="auto" w:fill="auto"/>
          </w:tcPr>
          <w:p w14:paraId="64ED3BB3" w14:textId="77777777" w:rsidR="00C00573" w:rsidRDefault="00000000">
            <w:pPr>
              <w:pStyle w:val="TableContents"/>
            </w:pPr>
            <w:r>
              <w:rPr>
                <w:vertAlign w:val="superscript"/>
              </w:rPr>
              <w:t>1</w:t>
            </w:r>
            <w:r>
              <w:t> Im Falle einer Verschiebung oder Absage von Gemeindeversammlungen kann die Standeskommission die notwendigen Regelungen für die Gewährleistung der Funktionsfähigkeit der Behörden und der Körperschaft erlassen.</w:t>
            </w:r>
          </w:p>
        </w:tc>
        <w:tc>
          <w:tcPr>
            <w:tcW w:w="371.40pt" w:type="dxa"/>
            <w:tcBorders>
              <w:start w:val="single" w:sz="4" w:space="0" w:color="000000"/>
              <w:end w:val="single" w:sz="4" w:space="0" w:color="000000"/>
            </w:tcBorders>
            <w:shd w:val="clear" w:color="auto" w:fill="auto"/>
          </w:tcPr>
          <w:p w14:paraId="7C181E7C" w14:textId="77777777" w:rsidR="00C00573" w:rsidRDefault="00C00573">
            <w:pPr>
              <w:pStyle w:val="TableContents"/>
            </w:pPr>
          </w:p>
        </w:tc>
      </w:tr>
      <w:tr w:rsidR="00C00573" w14:paraId="343D3CBF" w14:textId="77777777">
        <w:trPr>
          <w:cantSplit/>
        </w:trPr>
        <w:tc>
          <w:tcPr>
            <w:tcW w:w="371.30pt" w:type="dxa"/>
            <w:tcBorders>
              <w:start w:val="single" w:sz="4" w:space="0" w:color="000000"/>
            </w:tcBorders>
            <w:shd w:val="clear" w:color="auto" w:fill="auto"/>
          </w:tcPr>
          <w:p w14:paraId="4597CE6D" w14:textId="77777777" w:rsidR="00C00573" w:rsidRDefault="00000000">
            <w:pPr>
              <w:pStyle w:val="TableContents"/>
            </w:pPr>
            <w:r>
              <w:rPr>
                <w:vertAlign w:val="superscript"/>
              </w:rPr>
              <w:t>2</w:t>
            </w:r>
            <w:r>
              <w:t> Im Falle einer ausserordentlichen Urnenabstimmung legt die Standeskommission die Termine fest. Die Standeskommission achtet auf eine Koordination mit den Terminen weiterer Urnenabstimmungen.</w:t>
            </w:r>
          </w:p>
        </w:tc>
        <w:tc>
          <w:tcPr>
            <w:tcW w:w="371.40pt" w:type="dxa"/>
            <w:tcBorders>
              <w:start w:val="single" w:sz="4" w:space="0" w:color="000000"/>
              <w:end w:val="single" w:sz="4" w:space="0" w:color="000000"/>
            </w:tcBorders>
            <w:shd w:val="clear" w:color="auto" w:fill="auto"/>
          </w:tcPr>
          <w:p w14:paraId="6BD70DE7" w14:textId="77777777" w:rsidR="00C00573" w:rsidRDefault="00C00573">
            <w:pPr>
              <w:pStyle w:val="TableContents"/>
            </w:pPr>
          </w:p>
        </w:tc>
      </w:tr>
      <w:tr w:rsidR="00C00573" w14:paraId="6F5549B8" w14:textId="77777777">
        <w:trPr>
          <w:cantSplit/>
        </w:trPr>
        <w:tc>
          <w:tcPr>
            <w:tcW w:w="371.30pt" w:type="dxa"/>
            <w:tcBorders>
              <w:start w:val="single" w:sz="4" w:space="0" w:color="000000"/>
            </w:tcBorders>
            <w:shd w:val="clear" w:color="auto" w:fill="auto"/>
          </w:tcPr>
          <w:p w14:paraId="2C503F88" w14:textId="77777777" w:rsidR="00C00573" w:rsidRDefault="00000000">
            <w:pPr>
              <w:pStyle w:val="TableContents"/>
            </w:pPr>
            <w:r>
              <w:rPr>
                <w:vertAlign w:val="superscript"/>
              </w:rPr>
              <w:t>3</w:t>
            </w:r>
            <w:r>
              <w:t> Die Exekutivbehörden der von den Entscheiden betroffenen Körperschaften haben ein Anhörungs- und Antragsrecht. Bei Dringlichkeit kann auf eine Anhörung verzichtet werden.</w:t>
            </w:r>
          </w:p>
        </w:tc>
        <w:tc>
          <w:tcPr>
            <w:tcW w:w="371.40pt" w:type="dxa"/>
            <w:tcBorders>
              <w:start w:val="single" w:sz="4" w:space="0" w:color="000000"/>
              <w:end w:val="single" w:sz="4" w:space="0" w:color="000000"/>
            </w:tcBorders>
            <w:shd w:val="clear" w:color="auto" w:fill="auto"/>
          </w:tcPr>
          <w:p w14:paraId="1DA21D93" w14:textId="77777777" w:rsidR="00C00573" w:rsidRDefault="00C00573">
            <w:pPr>
              <w:pStyle w:val="TableContents"/>
            </w:pPr>
          </w:p>
        </w:tc>
      </w:tr>
      <w:tr w:rsidR="00C00573" w14:paraId="1F92C6D0" w14:textId="77777777">
        <w:trPr>
          <w:cantSplit/>
        </w:trPr>
        <w:tc>
          <w:tcPr>
            <w:tcW w:w="371.30pt" w:type="dxa"/>
            <w:tcBorders>
              <w:top w:val="single" w:sz="4" w:space="0" w:color="000000"/>
              <w:start w:val="single" w:sz="4" w:space="0" w:color="000000"/>
            </w:tcBorders>
            <w:shd w:val="clear" w:color="auto" w:fill="auto"/>
          </w:tcPr>
          <w:p w14:paraId="35FA1653" w14:textId="77777777" w:rsidR="00C00573" w:rsidRDefault="00000000">
            <w:pPr>
              <w:pStyle w:val="TableContents"/>
            </w:pPr>
            <w:r>
              <w:rPr>
                <w:b/>
                <w:bCs/>
              </w:rPr>
              <w:t>Art.  5</w:t>
            </w:r>
            <w:r>
              <w:br/>
            </w:r>
            <w:r>
              <w:rPr>
                <w:sz w:val="14"/>
              </w:rPr>
              <w:t>Stimmberechtigung und Wählbarkeit</w:t>
            </w:r>
          </w:p>
        </w:tc>
        <w:tc>
          <w:tcPr>
            <w:tcW w:w="371.40pt" w:type="dxa"/>
            <w:tcBorders>
              <w:top w:val="single" w:sz="4" w:space="0" w:color="000000"/>
              <w:start w:val="single" w:sz="4" w:space="0" w:color="000000"/>
              <w:end w:val="single" w:sz="4" w:space="0" w:color="000000"/>
            </w:tcBorders>
            <w:shd w:val="clear" w:color="auto" w:fill="auto"/>
          </w:tcPr>
          <w:p w14:paraId="56373901" w14:textId="77777777" w:rsidR="00C00573" w:rsidRDefault="00000000">
            <w:pPr>
              <w:pStyle w:val="TableContents"/>
            </w:pPr>
            <w:r>
              <w:rPr>
                <w:b/>
                <w:bCs/>
              </w:rPr>
              <w:t>Art.  5</w:t>
            </w:r>
            <w:r>
              <w:br/>
            </w:r>
            <w:r>
              <w:rPr>
                <w:sz w:val="14"/>
              </w:rPr>
              <w:t>Stimmberechtigung und Stimmrechtsausweis</w:t>
            </w:r>
          </w:p>
        </w:tc>
      </w:tr>
      <w:tr w:rsidR="00C00573" w14:paraId="62850544" w14:textId="77777777">
        <w:trPr>
          <w:cantSplit/>
        </w:trPr>
        <w:tc>
          <w:tcPr>
            <w:tcW w:w="371.30pt" w:type="dxa"/>
            <w:tcBorders>
              <w:start w:val="single" w:sz="4" w:space="0" w:color="000000"/>
            </w:tcBorders>
            <w:shd w:val="clear" w:color="auto" w:fill="auto"/>
          </w:tcPr>
          <w:p w14:paraId="5CE1DF2B" w14:textId="77777777" w:rsidR="00C00573" w:rsidRDefault="00000000">
            <w:pPr>
              <w:pStyle w:val="TableContents"/>
            </w:pPr>
            <w:r>
              <w:rPr>
                <w:vertAlign w:val="superscript"/>
              </w:rPr>
              <w:t>1</w:t>
            </w:r>
            <w:r>
              <w:t> Für die ausserordentlichen Urnenabstimmungen ist stimmberechtigt, wer zum Zeitpunkt der Urnenabstimmung auch für die Gemeindeversammlung stimmberechtigt wäre.</w:t>
            </w:r>
          </w:p>
        </w:tc>
        <w:tc>
          <w:tcPr>
            <w:tcW w:w="371.40pt" w:type="dxa"/>
            <w:tcBorders>
              <w:start w:val="single" w:sz="4" w:space="0" w:color="000000"/>
              <w:end w:val="single" w:sz="4" w:space="0" w:color="000000"/>
            </w:tcBorders>
            <w:shd w:val="clear" w:color="auto" w:fill="auto"/>
          </w:tcPr>
          <w:p w14:paraId="603B6B02" w14:textId="77777777" w:rsidR="00C00573" w:rsidRDefault="00C00573">
            <w:pPr>
              <w:pStyle w:val="TableContents"/>
            </w:pPr>
          </w:p>
        </w:tc>
      </w:tr>
      <w:tr w:rsidR="00C00573" w14:paraId="04715EA0" w14:textId="77777777">
        <w:trPr>
          <w:cantSplit/>
        </w:trPr>
        <w:tc>
          <w:tcPr>
            <w:tcW w:w="371.30pt" w:type="dxa"/>
            <w:tcBorders>
              <w:start w:val="single" w:sz="4" w:space="0" w:color="000000"/>
            </w:tcBorders>
            <w:shd w:val="clear" w:color="auto" w:fill="auto"/>
          </w:tcPr>
          <w:p w14:paraId="2427DDDE" w14:textId="77777777" w:rsidR="00C00573" w:rsidRDefault="00000000">
            <w:pPr>
              <w:pStyle w:val="TableContents"/>
            </w:pPr>
            <w:r>
              <w:rPr>
                <w:vertAlign w:val="superscript"/>
              </w:rPr>
              <w:lastRenderedPageBreak/>
              <w:t>2</w:t>
            </w:r>
            <w:r>
              <w:t> Wird gleichzeitig eine eidgenössische Abstimmung und eine ausserordentliche Urnenabstimmung im Kanton oder in den Bezirken abgehalten, gelten die Stimmrechtsausweise für die eidgenössische Abstimmung auch für die ausserordentlichen Urnenabstimmungen.</w:t>
            </w:r>
          </w:p>
        </w:tc>
        <w:tc>
          <w:tcPr>
            <w:tcW w:w="371.40pt" w:type="dxa"/>
            <w:tcBorders>
              <w:start w:val="single" w:sz="4" w:space="0" w:color="000000"/>
              <w:end w:val="single" w:sz="4" w:space="0" w:color="000000"/>
            </w:tcBorders>
            <w:shd w:val="clear" w:color="auto" w:fill="auto"/>
          </w:tcPr>
          <w:p w14:paraId="28775129" w14:textId="77777777" w:rsidR="00C00573" w:rsidRDefault="00000000">
            <w:pPr>
              <w:pStyle w:val="TableContents"/>
            </w:pPr>
            <w:r>
              <w:rPr>
                <w:vertAlign w:val="superscript"/>
              </w:rPr>
              <w:t>2</w:t>
            </w:r>
            <w:r>
              <w:t> Wird gleichzeitig eine eidgenössische Abstimmung und eine ausserordentliche Urnenabstimmung im Kanton, in einem Bezirk oder einer Gemeinde abgehalten, können die Stimmrechtsausweise für die eidgenössische Abstimmung auch für die ausserordentlichen Urnenabstimmungen verwendet werden.</w:t>
            </w:r>
          </w:p>
        </w:tc>
      </w:tr>
      <w:tr w:rsidR="00C00573" w14:paraId="635862C9" w14:textId="77777777">
        <w:trPr>
          <w:cantSplit/>
        </w:trPr>
        <w:tc>
          <w:tcPr>
            <w:tcW w:w="371.30pt" w:type="dxa"/>
            <w:tcBorders>
              <w:start w:val="single" w:sz="4" w:space="0" w:color="000000"/>
            </w:tcBorders>
            <w:shd w:val="clear" w:color="auto" w:fill="auto"/>
          </w:tcPr>
          <w:p w14:paraId="0C47D39B" w14:textId="77777777" w:rsidR="00C00573" w:rsidRDefault="00000000">
            <w:pPr>
              <w:pStyle w:val="TableContents"/>
            </w:pPr>
            <w:r>
              <w:rPr>
                <w:vertAlign w:val="superscript"/>
              </w:rPr>
              <w:t>3</w:t>
            </w:r>
            <w:r>
              <w:t> </w:t>
            </w:r>
            <w:proofErr w:type="gramStart"/>
            <w:r>
              <w:t>Wählbar</w:t>
            </w:r>
            <w:proofErr w:type="gramEnd"/>
            <w:r>
              <w:t xml:space="preserve"> ist, wer in der betreffenden Körperschaft zum Zeitpunkt der Wahl stimmberechtigt ist.</w:t>
            </w:r>
          </w:p>
        </w:tc>
        <w:tc>
          <w:tcPr>
            <w:tcW w:w="371.40pt" w:type="dxa"/>
            <w:tcBorders>
              <w:start w:val="single" w:sz="4" w:space="0" w:color="000000"/>
              <w:end w:val="single" w:sz="4" w:space="0" w:color="000000"/>
            </w:tcBorders>
            <w:shd w:val="clear" w:color="auto" w:fill="auto"/>
          </w:tcPr>
          <w:p w14:paraId="3A8D8C9E" w14:textId="77777777" w:rsidR="00C00573" w:rsidRDefault="00000000">
            <w:pPr>
              <w:pStyle w:val="TableContents"/>
            </w:pPr>
            <w:r>
              <w:rPr>
                <w:vertAlign w:val="superscript"/>
              </w:rPr>
              <w:t>3</w:t>
            </w:r>
            <w:r>
              <w:t> </w:t>
            </w:r>
            <w:r>
              <w:rPr>
                <w:i/>
                <w:iCs/>
              </w:rPr>
              <w:t>Aufgehoben.</w:t>
            </w:r>
          </w:p>
        </w:tc>
      </w:tr>
      <w:tr w:rsidR="00C00573" w14:paraId="67EBF293" w14:textId="77777777">
        <w:trPr>
          <w:cantSplit/>
        </w:trPr>
        <w:tc>
          <w:tcPr>
            <w:tcW w:w="371.30pt" w:type="dxa"/>
            <w:tcBorders>
              <w:top w:val="single" w:sz="4" w:space="0" w:color="000000"/>
              <w:start w:val="single" w:sz="4" w:space="0" w:color="000000"/>
            </w:tcBorders>
            <w:shd w:val="clear" w:color="auto" w:fill="auto"/>
          </w:tcPr>
          <w:p w14:paraId="50D2AD9B" w14:textId="77777777" w:rsidR="00C00573" w:rsidRDefault="00000000">
            <w:pPr>
              <w:pStyle w:val="TableContents"/>
            </w:pPr>
            <w:r>
              <w:rPr>
                <w:b/>
                <w:bCs/>
              </w:rPr>
              <w:t>Art.  6</w:t>
            </w:r>
            <w:r>
              <w:br/>
            </w:r>
            <w:r>
              <w:rPr>
                <w:sz w:val="14"/>
              </w:rPr>
              <w:t>Durchführung</w:t>
            </w:r>
          </w:p>
        </w:tc>
        <w:tc>
          <w:tcPr>
            <w:tcW w:w="371.40pt" w:type="dxa"/>
            <w:tcBorders>
              <w:top w:val="single" w:sz="4" w:space="0" w:color="000000"/>
              <w:start w:val="single" w:sz="4" w:space="0" w:color="000000"/>
              <w:end w:val="single" w:sz="4" w:space="0" w:color="000000"/>
            </w:tcBorders>
            <w:shd w:val="clear" w:color="auto" w:fill="auto"/>
          </w:tcPr>
          <w:p w14:paraId="3D5B056D" w14:textId="77777777" w:rsidR="00C00573" w:rsidRDefault="00C00573">
            <w:pPr>
              <w:pStyle w:val="TableContents"/>
            </w:pPr>
          </w:p>
        </w:tc>
      </w:tr>
      <w:tr w:rsidR="00C00573" w14:paraId="784AC846" w14:textId="77777777">
        <w:trPr>
          <w:cantSplit/>
        </w:trPr>
        <w:tc>
          <w:tcPr>
            <w:tcW w:w="371.30pt" w:type="dxa"/>
            <w:tcBorders>
              <w:start w:val="single" w:sz="4" w:space="0" w:color="000000"/>
            </w:tcBorders>
            <w:shd w:val="clear" w:color="auto" w:fill="auto"/>
          </w:tcPr>
          <w:p w14:paraId="61C5D248" w14:textId="77777777" w:rsidR="00C00573" w:rsidRDefault="00000000">
            <w:pPr>
              <w:pStyle w:val="TableContents"/>
            </w:pPr>
            <w:r>
              <w:rPr>
                <w:vertAlign w:val="superscript"/>
              </w:rPr>
              <w:t>1</w:t>
            </w:r>
            <w:r>
              <w:t> Die Bezirke besorgen die Durchführung der Urnenabstimmungen für den Kanton und für sich.</w:t>
            </w:r>
          </w:p>
        </w:tc>
        <w:tc>
          <w:tcPr>
            <w:tcW w:w="371.40pt" w:type="dxa"/>
            <w:tcBorders>
              <w:start w:val="single" w:sz="4" w:space="0" w:color="000000"/>
              <w:end w:val="single" w:sz="4" w:space="0" w:color="000000"/>
            </w:tcBorders>
            <w:shd w:val="clear" w:color="auto" w:fill="auto"/>
          </w:tcPr>
          <w:p w14:paraId="7D210F09" w14:textId="77777777" w:rsidR="00C00573" w:rsidRDefault="00C00573">
            <w:pPr>
              <w:pStyle w:val="TableContents"/>
            </w:pPr>
          </w:p>
        </w:tc>
      </w:tr>
      <w:tr w:rsidR="00C00573" w14:paraId="08B48060" w14:textId="77777777">
        <w:trPr>
          <w:cantSplit/>
        </w:trPr>
        <w:tc>
          <w:tcPr>
            <w:tcW w:w="371.30pt" w:type="dxa"/>
            <w:tcBorders>
              <w:start w:val="single" w:sz="4" w:space="0" w:color="000000"/>
            </w:tcBorders>
            <w:shd w:val="clear" w:color="auto" w:fill="auto"/>
          </w:tcPr>
          <w:p w14:paraId="67F216F2" w14:textId="77777777" w:rsidR="00C00573" w:rsidRDefault="00000000">
            <w:pPr>
              <w:pStyle w:val="TableContents"/>
            </w:pPr>
            <w:r>
              <w:rPr>
                <w:vertAlign w:val="superscript"/>
              </w:rPr>
              <w:t>2</w:t>
            </w:r>
            <w:r>
              <w:t> Die Feuerschaugemeinde, die Schulgemeinden und die Kirchgemeinden besorgen die Durchführung ihrer eigenen Urnenabstimmungen. Sie sorgen für die notwendigen organisatorischen Vorkehrungen, wobei sie die Durchführung vertraglich einem Bezirk übertragen können.</w:t>
            </w:r>
          </w:p>
        </w:tc>
        <w:tc>
          <w:tcPr>
            <w:tcW w:w="371.40pt" w:type="dxa"/>
            <w:tcBorders>
              <w:start w:val="single" w:sz="4" w:space="0" w:color="000000"/>
              <w:end w:val="single" w:sz="4" w:space="0" w:color="000000"/>
            </w:tcBorders>
            <w:shd w:val="clear" w:color="auto" w:fill="auto"/>
          </w:tcPr>
          <w:p w14:paraId="4D6722F2" w14:textId="77777777" w:rsidR="00C00573" w:rsidRDefault="00000000">
            <w:pPr>
              <w:pStyle w:val="TableContents"/>
            </w:pPr>
            <w:r>
              <w:rPr>
                <w:vertAlign w:val="superscript"/>
              </w:rPr>
              <w:t>2</w:t>
            </w:r>
            <w:r>
              <w:t> Die Gemeinden besorgen die Durchführung ihrer eigenen Urnenabstimmungen. Sie sorgen für die notwendigen organisatorischen Vorkehrungen, wobei sie die Durchführung vertraglich einem Bezirk übertragen können.</w:t>
            </w:r>
          </w:p>
        </w:tc>
      </w:tr>
      <w:tr w:rsidR="00C00573" w14:paraId="3A9D61B0" w14:textId="77777777">
        <w:trPr>
          <w:cantSplit/>
        </w:trPr>
        <w:tc>
          <w:tcPr>
            <w:tcW w:w="371.30pt" w:type="dxa"/>
            <w:tcBorders>
              <w:start w:val="single" w:sz="4" w:space="0" w:color="000000"/>
            </w:tcBorders>
            <w:shd w:val="clear" w:color="auto" w:fill="auto"/>
          </w:tcPr>
          <w:p w14:paraId="0FAD89EA" w14:textId="77777777" w:rsidR="00C00573" w:rsidRDefault="00000000">
            <w:pPr>
              <w:pStyle w:val="TableContents"/>
            </w:pPr>
            <w:r>
              <w:rPr>
                <w:vertAlign w:val="superscript"/>
              </w:rPr>
              <w:t>3</w:t>
            </w:r>
            <w:r>
              <w:t> Die Standeskommission kann für die Abstimmungen der Feuerschaugemeinde, der Schulgemeinden und der Kirchgemeinden das Weitere regeln.</w:t>
            </w:r>
          </w:p>
        </w:tc>
        <w:tc>
          <w:tcPr>
            <w:tcW w:w="371.40pt" w:type="dxa"/>
            <w:tcBorders>
              <w:start w:val="single" w:sz="4" w:space="0" w:color="000000"/>
              <w:end w:val="single" w:sz="4" w:space="0" w:color="000000"/>
            </w:tcBorders>
            <w:shd w:val="clear" w:color="auto" w:fill="auto"/>
          </w:tcPr>
          <w:p w14:paraId="0F90A1D7" w14:textId="77777777" w:rsidR="00C00573" w:rsidRDefault="00000000">
            <w:pPr>
              <w:pStyle w:val="TableContents"/>
            </w:pPr>
            <w:r>
              <w:rPr>
                <w:vertAlign w:val="superscript"/>
              </w:rPr>
              <w:t>3</w:t>
            </w:r>
            <w:r>
              <w:t> Die Standeskommission kann für die Abstimmungen der Gemeinden das Weitere regeln.</w:t>
            </w:r>
          </w:p>
        </w:tc>
      </w:tr>
      <w:tr w:rsidR="00C00573" w14:paraId="7456DBDA" w14:textId="77777777">
        <w:trPr>
          <w:cantSplit/>
        </w:trPr>
        <w:tc>
          <w:tcPr>
            <w:tcW w:w="371.30pt" w:type="dxa"/>
            <w:tcBorders>
              <w:top w:val="single" w:sz="4" w:space="0" w:color="000000"/>
              <w:start w:val="single" w:sz="4" w:space="0" w:color="000000"/>
            </w:tcBorders>
            <w:shd w:val="clear" w:color="auto" w:fill="auto"/>
          </w:tcPr>
          <w:p w14:paraId="42B979B3" w14:textId="77777777" w:rsidR="00C00573" w:rsidRDefault="00000000">
            <w:pPr>
              <w:pStyle w:val="TableContents"/>
            </w:pPr>
            <w:r>
              <w:rPr>
                <w:b/>
                <w:bCs/>
              </w:rPr>
              <w:t>Art.  11</w:t>
            </w:r>
            <w:r>
              <w:br/>
            </w:r>
            <w:r>
              <w:rPr>
                <w:sz w:val="14"/>
              </w:rPr>
              <w:t>Rücktritte von Personen im Amtszwang</w:t>
            </w:r>
          </w:p>
        </w:tc>
        <w:tc>
          <w:tcPr>
            <w:tcW w:w="371.40pt" w:type="dxa"/>
            <w:tcBorders>
              <w:top w:val="single" w:sz="4" w:space="0" w:color="000000"/>
              <w:start w:val="single" w:sz="4" w:space="0" w:color="000000"/>
              <w:end w:val="single" w:sz="4" w:space="0" w:color="000000"/>
            </w:tcBorders>
            <w:shd w:val="clear" w:color="auto" w:fill="auto"/>
          </w:tcPr>
          <w:p w14:paraId="607E9CEB" w14:textId="77777777" w:rsidR="00C00573" w:rsidRDefault="00000000">
            <w:pPr>
              <w:pStyle w:val="TableContents"/>
            </w:pPr>
            <w:r>
              <w:rPr>
                <w:b/>
                <w:bCs/>
              </w:rPr>
              <w:t>Art.  11</w:t>
            </w:r>
            <w:r>
              <w:t> </w:t>
            </w:r>
            <w:r>
              <w:rPr>
                <w:i/>
                <w:iCs/>
              </w:rPr>
              <w:t>Aufgehoben.</w:t>
            </w:r>
          </w:p>
        </w:tc>
      </w:tr>
      <w:tr w:rsidR="00C00573" w14:paraId="20222076" w14:textId="77777777">
        <w:trPr>
          <w:cantSplit/>
        </w:trPr>
        <w:tc>
          <w:tcPr>
            <w:tcW w:w="371.30pt" w:type="dxa"/>
            <w:tcBorders>
              <w:start w:val="single" w:sz="4" w:space="0" w:color="000000"/>
            </w:tcBorders>
            <w:shd w:val="clear" w:color="auto" w:fill="auto"/>
          </w:tcPr>
          <w:p w14:paraId="433D3D65" w14:textId="77777777" w:rsidR="00C00573" w:rsidRDefault="00000000">
            <w:pPr>
              <w:pStyle w:val="TableContents"/>
            </w:pPr>
            <w:r>
              <w:rPr>
                <w:vertAlign w:val="superscript"/>
              </w:rPr>
              <w:t>1</w:t>
            </w:r>
            <w:r>
              <w:t> Bei Rücktritten von dem Amtszwang unterstehenden Personen wird ohne förmliche Amtsentlassung eine Ersatzwahl durchgeführt.</w:t>
            </w:r>
          </w:p>
        </w:tc>
        <w:tc>
          <w:tcPr>
            <w:tcW w:w="371.40pt" w:type="dxa"/>
            <w:tcBorders>
              <w:start w:val="single" w:sz="4" w:space="0" w:color="000000"/>
              <w:end w:val="single" w:sz="4" w:space="0" w:color="000000"/>
            </w:tcBorders>
            <w:shd w:val="clear" w:color="auto" w:fill="auto"/>
          </w:tcPr>
          <w:p w14:paraId="1F6927A1" w14:textId="77777777" w:rsidR="00C00573" w:rsidRDefault="00C00573">
            <w:pPr>
              <w:pStyle w:val="TableContents"/>
            </w:pPr>
          </w:p>
        </w:tc>
      </w:tr>
      <w:tr w:rsidR="00C00573" w14:paraId="01DD3911" w14:textId="77777777" w:rsidTr="00901011">
        <w:trPr>
          <w:cantSplit/>
        </w:trPr>
        <w:tc>
          <w:tcPr>
            <w:tcW w:w="371.30pt" w:type="dxa"/>
            <w:tcBorders>
              <w:start w:val="single" w:sz="4" w:space="0" w:color="000000"/>
            </w:tcBorders>
            <w:shd w:val="clear" w:color="auto" w:fill="auto"/>
          </w:tcPr>
          <w:p w14:paraId="58440198" w14:textId="77777777" w:rsidR="00C00573" w:rsidRDefault="00000000">
            <w:pPr>
              <w:pStyle w:val="TableContents"/>
            </w:pPr>
            <w:r>
              <w:rPr>
                <w:vertAlign w:val="superscript"/>
              </w:rPr>
              <w:t>2</w:t>
            </w:r>
            <w:r>
              <w:t> Die Stimmabgabe an eine andere Person wird als Zustimmung zur Amtsentlassung gewertet.</w:t>
            </w:r>
          </w:p>
        </w:tc>
        <w:tc>
          <w:tcPr>
            <w:tcW w:w="371.40pt" w:type="dxa"/>
            <w:tcBorders>
              <w:start w:val="single" w:sz="4" w:space="0" w:color="000000"/>
              <w:end w:val="single" w:sz="4" w:space="0" w:color="000000"/>
            </w:tcBorders>
            <w:shd w:val="clear" w:color="auto" w:fill="auto"/>
          </w:tcPr>
          <w:p w14:paraId="43FDFCEF" w14:textId="77777777" w:rsidR="00C00573" w:rsidRDefault="00C00573">
            <w:pPr>
              <w:pStyle w:val="TableContents"/>
            </w:pPr>
          </w:p>
        </w:tc>
      </w:tr>
      <w:tr w:rsidR="00C00573" w14:paraId="21DC3A6A" w14:textId="77777777" w:rsidTr="00901011">
        <w:trPr>
          <w:cantSplit/>
        </w:trPr>
        <w:tc>
          <w:tcPr>
            <w:tcW w:w="371.30pt" w:type="dxa"/>
            <w:tcBorders>
              <w:start w:val="single" w:sz="4" w:space="0" w:color="auto"/>
              <w:bottom w:val="single" w:sz="4" w:space="0" w:color="auto"/>
              <w:end w:val="single" w:sz="4" w:space="0" w:color="auto"/>
            </w:tcBorders>
            <w:shd w:val="clear" w:color="auto" w:fill="auto"/>
          </w:tcPr>
          <w:p w14:paraId="447619E6" w14:textId="77777777" w:rsidR="00C00573" w:rsidRDefault="00000000">
            <w:pPr>
              <w:pStyle w:val="TableContents"/>
            </w:pPr>
            <w:r>
              <w:rPr>
                <w:vertAlign w:val="superscript"/>
              </w:rPr>
              <w:t>3</w:t>
            </w:r>
            <w:r>
              <w:t> Der Wahlzettel wird in diesen Fällen mit einem entsprechenden Hinweis versehen.</w:t>
            </w:r>
          </w:p>
          <w:p w14:paraId="191C66E4" w14:textId="77777777" w:rsidR="00901011" w:rsidRDefault="00901011">
            <w:pPr>
              <w:pStyle w:val="TableContents"/>
            </w:pPr>
          </w:p>
          <w:p w14:paraId="3CFA437B" w14:textId="77777777" w:rsidR="00901011" w:rsidRDefault="00901011">
            <w:pPr>
              <w:pStyle w:val="TableContents"/>
            </w:pPr>
          </w:p>
          <w:p w14:paraId="38E4C338" w14:textId="77777777" w:rsidR="00901011" w:rsidRDefault="00901011">
            <w:pPr>
              <w:pStyle w:val="TableContents"/>
            </w:pPr>
          </w:p>
          <w:p w14:paraId="1EE2E54B" w14:textId="77777777" w:rsidR="00901011" w:rsidRDefault="00901011">
            <w:pPr>
              <w:pStyle w:val="TableContents"/>
            </w:pPr>
          </w:p>
        </w:tc>
        <w:tc>
          <w:tcPr>
            <w:tcW w:w="371.40pt" w:type="dxa"/>
            <w:tcBorders>
              <w:start w:val="single" w:sz="4" w:space="0" w:color="auto"/>
              <w:bottom w:val="single" w:sz="4" w:space="0" w:color="auto"/>
              <w:end w:val="single" w:sz="4" w:space="0" w:color="auto"/>
            </w:tcBorders>
            <w:shd w:val="clear" w:color="auto" w:fill="auto"/>
          </w:tcPr>
          <w:p w14:paraId="018336DC" w14:textId="77777777" w:rsidR="00C00573" w:rsidRDefault="00C00573">
            <w:pPr>
              <w:pStyle w:val="TableContents"/>
            </w:pPr>
          </w:p>
        </w:tc>
      </w:tr>
      <w:tr w:rsidR="00C00573" w14:paraId="4DFEEE30" w14:textId="77777777" w:rsidTr="00901011">
        <w:trPr>
          <w:cantSplit/>
        </w:trPr>
        <w:tc>
          <w:tcPr>
            <w:tcW w:w="371.30pt" w:type="dxa"/>
            <w:tcBorders>
              <w:top w:val="single" w:sz="4" w:space="0" w:color="auto"/>
              <w:start w:val="single" w:sz="4" w:space="0" w:color="000000"/>
            </w:tcBorders>
            <w:shd w:val="clear" w:color="auto" w:fill="auto"/>
          </w:tcPr>
          <w:p w14:paraId="18B9B998" w14:textId="77777777" w:rsidR="00C00573" w:rsidRDefault="00000000">
            <w:pPr>
              <w:pStyle w:val="TableContents"/>
            </w:pPr>
            <w:r>
              <w:rPr>
                <w:b/>
                <w:bCs/>
              </w:rPr>
              <w:lastRenderedPageBreak/>
              <w:t>Art.  14</w:t>
            </w:r>
            <w:r>
              <w:br/>
            </w:r>
            <w:r>
              <w:rPr>
                <w:sz w:val="14"/>
              </w:rPr>
              <w:t>Amtsantritt</w:t>
            </w:r>
          </w:p>
        </w:tc>
        <w:tc>
          <w:tcPr>
            <w:tcW w:w="371.40pt" w:type="dxa"/>
            <w:tcBorders>
              <w:top w:val="single" w:sz="4" w:space="0" w:color="auto"/>
              <w:start w:val="single" w:sz="4" w:space="0" w:color="000000"/>
              <w:end w:val="single" w:sz="4" w:space="0" w:color="000000"/>
            </w:tcBorders>
            <w:shd w:val="clear" w:color="auto" w:fill="auto"/>
          </w:tcPr>
          <w:p w14:paraId="2811CD55" w14:textId="77777777" w:rsidR="00C00573" w:rsidRDefault="00C00573">
            <w:pPr>
              <w:pStyle w:val="TableContents"/>
            </w:pPr>
          </w:p>
        </w:tc>
      </w:tr>
      <w:tr w:rsidR="00C00573" w14:paraId="31338764" w14:textId="77777777">
        <w:trPr>
          <w:cantSplit/>
        </w:trPr>
        <w:tc>
          <w:tcPr>
            <w:tcW w:w="371.30pt" w:type="dxa"/>
            <w:tcBorders>
              <w:start w:val="single" w:sz="4" w:space="0" w:color="000000"/>
            </w:tcBorders>
            <w:shd w:val="clear" w:color="auto" w:fill="auto"/>
          </w:tcPr>
          <w:p w14:paraId="48048164" w14:textId="77777777" w:rsidR="00C00573" w:rsidRDefault="00000000">
            <w:pPr>
              <w:pStyle w:val="TableContents"/>
            </w:pPr>
            <w:r>
              <w:rPr>
                <w:vertAlign w:val="superscript"/>
              </w:rPr>
              <w:t>1</w:t>
            </w:r>
            <w:r>
              <w:t> Als Tag des Amtsantritts gilt der Tag nach dem Urnengang, in dem man gewählt wurde.</w:t>
            </w:r>
          </w:p>
        </w:tc>
        <w:tc>
          <w:tcPr>
            <w:tcW w:w="371.40pt" w:type="dxa"/>
            <w:tcBorders>
              <w:start w:val="single" w:sz="4" w:space="0" w:color="000000"/>
              <w:end w:val="single" w:sz="4" w:space="0" w:color="000000"/>
            </w:tcBorders>
            <w:shd w:val="clear" w:color="auto" w:fill="auto"/>
          </w:tcPr>
          <w:p w14:paraId="6FE4A24E" w14:textId="77777777" w:rsidR="00C00573" w:rsidRDefault="00000000">
            <w:pPr>
              <w:pStyle w:val="TableContents"/>
            </w:pPr>
            <w:r>
              <w:rPr>
                <w:vertAlign w:val="superscript"/>
              </w:rPr>
              <w:t>1</w:t>
            </w:r>
            <w:r>
              <w:t> Als Tag des Amtsantritts gilt der Tag nach dem Urnengang, in dem man gewählt wurde. Die Standeskommission kann in begründeten Fällen eine abweichende Festlegung vornehmen.</w:t>
            </w:r>
          </w:p>
        </w:tc>
      </w:tr>
      <w:tr w:rsidR="00C00573" w14:paraId="1BEA01AC" w14:textId="77777777">
        <w:trPr>
          <w:cantSplit/>
        </w:trPr>
        <w:tc>
          <w:tcPr>
            <w:tcW w:w="371.30pt" w:type="dxa"/>
            <w:tcBorders>
              <w:start w:val="single" w:sz="4" w:space="0" w:color="000000"/>
            </w:tcBorders>
            <w:shd w:val="clear" w:color="auto" w:fill="auto"/>
          </w:tcPr>
          <w:p w14:paraId="20DDE750" w14:textId="77777777" w:rsidR="00C00573" w:rsidRDefault="00000000">
            <w:pPr>
              <w:pStyle w:val="TableContents"/>
            </w:pPr>
            <w:r>
              <w:rPr>
                <w:vertAlign w:val="superscript"/>
              </w:rPr>
              <w:t>2</w:t>
            </w:r>
            <w:r>
              <w:t> Bei Personen, die ohne Gegenvorschlag als gewählt gelten, legt die Standeskommission das Datum des Amtsantritts fest.</w:t>
            </w:r>
          </w:p>
        </w:tc>
        <w:tc>
          <w:tcPr>
            <w:tcW w:w="371.40pt" w:type="dxa"/>
            <w:tcBorders>
              <w:start w:val="single" w:sz="4" w:space="0" w:color="000000"/>
              <w:end w:val="single" w:sz="4" w:space="0" w:color="000000"/>
            </w:tcBorders>
            <w:shd w:val="clear" w:color="auto" w:fill="auto"/>
          </w:tcPr>
          <w:p w14:paraId="7BFFB5AF" w14:textId="77777777" w:rsidR="00C00573" w:rsidRDefault="00C00573">
            <w:pPr>
              <w:pStyle w:val="TableContents"/>
            </w:pPr>
          </w:p>
        </w:tc>
      </w:tr>
      <w:tr w:rsidR="00C00573" w14:paraId="5162D62E" w14:textId="77777777">
        <w:tc>
          <w:tcPr>
            <w:tcW w:w="371.30pt" w:type="dxa"/>
            <w:tcBorders>
              <w:top w:val="single" w:sz="4" w:space="0" w:color="000000"/>
              <w:start w:val="single" w:sz="4" w:space="0" w:color="000000"/>
            </w:tcBorders>
            <w:shd w:val="clear" w:color="auto" w:fill="AAFFAA"/>
          </w:tcPr>
          <w:p w14:paraId="7B4EEA23" w14:textId="77777777" w:rsidR="00C00573" w:rsidRDefault="00C00573"/>
        </w:tc>
        <w:tc>
          <w:tcPr>
            <w:tcW w:w="371.40pt" w:type="dxa"/>
            <w:tcBorders>
              <w:top w:val="single" w:sz="4" w:space="0" w:color="000000"/>
              <w:start w:val="single" w:sz="4" w:space="0" w:color="000000"/>
              <w:end w:val="single" w:sz="4" w:space="0" w:color="000000"/>
            </w:tcBorders>
            <w:shd w:val="clear" w:color="auto" w:fill="AAFFAA"/>
          </w:tcPr>
          <w:p w14:paraId="1D794BEF" w14:textId="77777777" w:rsidR="00C00573" w:rsidRDefault="00000000">
            <w:pPr>
              <w:pStyle w:val="Abschnittstitel"/>
            </w:pPr>
            <w:r>
              <w:t>II.</w:t>
            </w:r>
          </w:p>
        </w:tc>
      </w:tr>
      <w:tr w:rsidR="00C00573" w14:paraId="69452733" w14:textId="77777777">
        <w:tc>
          <w:tcPr>
            <w:tcW w:w="371.30pt" w:type="dxa"/>
            <w:tcBorders>
              <w:top w:val="single" w:sz="4" w:space="0" w:color="000000"/>
              <w:start w:val="single" w:sz="4" w:space="0" w:color="000000"/>
            </w:tcBorders>
            <w:shd w:val="clear" w:color="auto" w:fill="auto"/>
          </w:tcPr>
          <w:p w14:paraId="57BF920E" w14:textId="77777777" w:rsidR="00C00573" w:rsidRDefault="00000000">
            <w:pPr>
              <w:pStyle w:val="EmptySectionRemark"/>
            </w:pPr>
            <w:r>
              <w:t>     </w:t>
            </w:r>
          </w:p>
        </w:tc>
        <w:tc>
          <w:tcPr>
            <w:tcW w:w="371.40pt" w:type="dxa"/>
            <w:tcBorders>
              <w:top w:val="single" w:sz="4" w:space="0" w:color="000000"/>
              <w:start w:val="single" w:sz="4" w:space="0" w:color="000000"/>
              <w:end w:val="single" w:sz="4" w:space="0" w:color="000000"/>
            </w:tcBorders>
            <w:shd w:val="clear" w:color="auto" w:fill="auto"/>
          </w:tcPr>
          <w:p w14:paraId="6B52F9C7" w14:textId="77777777" w:rsidR="00C00573" w:rsidRDefault="00000000">
            <w:pPr>
              <w:pStyle w:val="EmptySectionRemark"/>
            </w:pPr>
            <w:r>
              <w:t>Keine Fremdänderungen.</w:t>
            </w:r>
          </w:p>
        </w:tc>
      </w:tr>
      <w:tr w:rsidR="00C00573" w14:paraId="5894D1B0" w14:textId="77777777">
        <w:tc>
          <w:tcPr>
            <w:tcW w:w="371.30pt" w:type="dxa"/>
            <w:tcBorders>
              <w:top w:val="single" w:sz="4" w:space="0" w:color="000000"/>
              <w:start w:val="single" w:sz="4" w:space="0" w:color="000000"/>
            </w:tcBorders>
            <w:shd w:val="clear" w:color="auto" w:fill="AAFFAA"/>
          </w:tcPr>
          <w:p w14:paraId="1CFDBC8D" w14:textId="77777777" w:rsidR="00C00573" w:rsidRDefault="00C00573"/>
        </w:tc>
        <w:tc>
          <w:tcPr>
            <w:tcW w:w="371.40pt" w:type="dxa"/>
            <w:tcBorders>
              <w:top w:val="single" w:sz="4" w:space="0" w:color="000000"/>
              <w:start w:val="single" w:sz="4" w:space="0" w:color="000000"/>
              <w:end w:val="single" w:sz="4" w:space="0" w:color="000000"/>
            </w:tcBorders>
            <w:shd w:val="clear" w:color="auto" w:fill="AAFFAA"/>
          </w:tcPr>
          <w:p w14:paraId="4D372BB6" w14:textId="77777777" w:rsidR="00C00573" w:rsidRDefault="00000000">
            <w:pPr>
              <w:pStyle w:val="Abschnittstitel"/>
            </w:pPr>
            <w:r>
              <w:t>III.</w:t>
            </w:r>
          </w:p>
        </w:tc>
      </w:tr>
      <w:tr w:rsidR="00C00573" w14:paraId="5EB9B113" w14:textId="77777777">
        <w:tc>
          <w:tcPr>
            <w:tcW w:w="371.30pt" w:type="dxa"/>
            <w:tcBorders>
              <w:top w:val="single" w:sz="4" w:space="0" w:color="000000"/>
              <w:start w:val="single" w:sz="4" w:space="0" w:color="000000"/>
            </w:tcBorders>
            <w:shd w:val="clear" w:color="auto" w:fill="auto"/>
          </w:tcPr>
          <w:p w14:paraId="603D2E58" w14:textId="77777777" w:rsidR="00C00573" w:rsidRDefault="00000000">
            <w:pPr>
              <w:pStyle w:val="EmptySectionRemark"/>
            </w:pPr>
            <w:r>
              <w:t>     </w:t>
            </w:r>
          </w:p>
        </w:tc>
        <w:tc>
          <w:tcPr>
            <w:tcW w:w="371.40pt" w:type="dxa"/>
            <w:tcBorders>
              <w:top w:val="single" w:sz="4" w:space="0" w:color="000000"/>
              <w:start w:val="single" w:sz="4" w:space="0" w:color="000000"/>
              <w:end w:val="single" w:sz="4" w:space="0" w:color="000000"/>
            </w:tcBorders>
            <w:shd w:val="clear" w:color="auto" w:fill="auto"/>
          </w:tcPr>
          <w:p w14:paraId="2627C4E8" w14:textId="77777777" w:rsidR="00C00573" w:rsidRDefault="00000000">
            <w:pPr>
              <w:pStyle w:val="EmptySectionRemark"/>
            </w:pPr>
            <w:r>
              <w:t>Keine Fremdaufhebungen.</w:t>
            </w:r>
          </w:p>
        </w:tc>
      </w:tr>
      <w:tr w:rsidR="00C00573" w14:paraId="510D64C9" w14:textId="77777777">
        <w:tc>
          <w:tcPr>
            <w:tcW w:w="371.30pt" w:type="dxa"/>
            <w:tcBorders>
              <w:top w:val="single" w:sz="4" w:space="0" w:color="000000"/>
              <w:start w:val="single" w:sz="4" w:space="0" w:color="000000"/>
            </w:tcBorders>
            <w:shd w:val="clear" w:color="auto" w:fill="AAFFAA"/>
          </w:tcPr>
          <w:p w14:paraId="14CB19F8" w14:textId="77777777" w:rsidR="00C00573" w:rsidRDefault="00C00573"/>
        </w:tc>
        <w:tc>
          <w:tcPr>
            <w:tcW w:w="371.40pt" w:type="dxa"/>
            <w:tcBorders>
              <w:top w:val="single" w:sz="4" w:space="0" w:color="000000"/>
              <w:start w:val="single" w:sz="4" w:space="0" w:color="000000"/>
              <w:end w:val="single" w:sz="4" w:space="0" w:color="000000"/>
            </w:tcBorders>
            <w:shd w:val="clear" w:color="auto" w:fill="AAFFAA"/>
          </w:tcPr>
          <w:p w14:paraId="4EB0006E" w14:textId="77777777" w:rsidR="00C00573" w:rsidRDefault="00000000">
            <w:pPr>
              <w:pStyle w:val="Abschnittstitel"/>
            </w:pPr>
            <w:r>
              <w:t>IV.</w:t>
            </w:r>
          </w:p>
        </w:tc>
      </w:tr>
      <w:tr w:rsidR="00C00573" w14:paraId="3E0DB928" w14:textId="77777777">
        <w:tc>
          <w:tcPr>
            <w:tcW w:w="371.30pt" w:type="dxa"/>
            <w:tcBorders>
              <w:start w:val="single" w:sz="4" w:space="0" w:color="000000"/>
              <w:bottom w:val="single" w:sz="4" w:space="0" w:color="000000"/>
            </w:tcBorders>
            <w:shd w:val="clear" w:color="auto" w:fill="auto"/>
          </w:tcPr>
          <w:p w14:paraId="09E05148" w14:textId="77777777" w:rsidR="00C00573" w:rsidRDefault="00C00573"/>
        </w:tc>
        <w:tc>
          <w:tcPr>
            <w:tcW w:w="371.40pt" w:type="dxa"/>
            <w:tcBorders>
              <w:start w:val="single" w:sz="4" w:space="0" w:color="000000"/>
              <w:bottom w:val="single" w:sz="4" w:space="0" w:color="000000"/>
              <w:end w:val="single" w:sz="4" w:space="0" w:color="000000"/>
            </w:tcBorders>
            <w:shd w:val="clear" w:color="auto" w:fill="auto"/>
          </w:tcPr>
          <w:p w14:paraId="7D9AFDF6" w14:textId="77777777" w:rsidR="00C00573" w:rsidRDefault="00000000">
            <w:pPr>
              <w:pStyle w:val="TableContents"/>
            </w:pPr>
            <w:r>
              <w:t>Dieser Beschluss tritt am ... in Kraft.</w:t>
            </w:r>
          </w:p>
        </w:tc>
      </w:tr>
    </w:tbl>
    <w:p w14:paraId="2F8517DD" w14:textId="77777777" w:rsidR="00C00573" w:rsidRDefault="00C00573"/>
    <w:sectPr w:rsidR="00C00573">
      <w:headerReference w:type="even" r:id="rId6"/>
      <w:headerReference w:type="default" r:id="rId7"/>
      <w:footerReference w:type="even" r:id="rId8"/>
      <w:footerReference w:type="default" r:id="rId9"/>
      <w:headerReference w:type="first" r:id="rId10"/>
      <w:footerReference w:type="first" r:id="rId11"/>
      <w:pgSz w:w="841.90pt" w:h="595.30pt" w:orient="landscape"/>
      <w:pgMar w:top="56.65pt" w:right="42.50pt" w:bottom="42.50pt" w:left="56.70pt" w:header="42.50pt" w:footer="28.35pt" w:gutter="0pt"/>
      <w:cols w:space="36pt"/>
      <w:titlePg/>
      <w:docGrid w:linePitch="245" w:charSpace="9215"/>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3EFFB042" w14:textId="77777777" w:rsidR="00517262" w:rsidRDefault="00517262">
      <w:r>
        <w:separator/>
      </w:r>
    </w:p>
  </w:endnote>
  <w:endnote w:type="continuationSeparator" w:id="0">
    <w:p w14:paraId="5E02DE89" w14:textId="77777777" w:rsidR="00517262" w:rsidRDefault="00517262">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 w:name="Cambria">
    <w:panose1 w:val="02040503050406030204"/>
    <w:charset w:characterSet="iso-8859-1"/>
    <w:family w:val="roman"/>
    <w:pitch w:val="variable"/>
    <w:sig w:usb0="E00006FF" w:usb1="420024FF" w:usb2="02000000" w:usb3="00000000" w:csb0="0000019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7E0648C6" w14:textId="77777777" w:rsidR="00C00573" w:rsidRDefault="00C00573">
    <w:pPr>
      <w:pStyle w:val="Fuzeile"/>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1C39B939" w14:textId="77777777" w:rsidR="00C00573" w:rsidRDefault="00C00573">
    <w:pPr>
      <w:pStyle w:val="Fuzeile"/>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00C88DC5" w14:textId="77777777" w:rsidR="00C00573" w:rsidRDefault="00C00573">
    <w:pPr>
      <w:pStyle w:val="Fuzeile"/>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5BC0E471" w14:textId="77777777" w:rsidR="00517262" w:rsidRDefault="00517262">
      <w:r>
        <w:separator/>
      </w:r>
    </w:p>
  </w:footnote>
  <w:footnote w:type="continuationSeparator" w:id="0">
    <w:p w14:paraId="733D7D0B" w14:textId="77777777" w:rsidR="00517262" w:rsidRDefault="00517262">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37C9E392" w14:textId="297B05B9" w:rsidR="00C00573" w:rsidRDefault="00901011">
    <w:pPr>
      <w:pStyle w:val="Kopfzeile"/>
      <w:spacing w:line="12pt" w:lineRule="exact"/>
      <w:jc w:val="center"/>
      <w:rPr>
        <w:sz w:val="22"/>
      </w:rPr>
    </w:pPr>
    <w:r>
      <w:rPr>
        <w:noProof/>
      </w:rPr>
      <mc:AlternateContent>
        <mc:Choice Requires="v">
          <w:pict w14:anchorId="33ADB16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006969" o:spid="_x0000_s1026" type="#_x0000_t136" style="position:absolute;left:0;text-align:left;margin-left:0;margin-top:0;width:621.8pt;height:77.7pt;rotation:315;z-index:-251655168;mso-position-horizontal:center;mso-position-horizontal-relative:margin;mso-position-vertical:center;mso-position-vertical-relative:margin" o:allowincell="f" fillcolor="silver" stroked="f">
              <v:fill opacity=".5"/>
              <v:textpath style="font-family:&quot;Arial&quot;;font-size:1pt" string="VERNEHMLASSUNG"/>
            </v:shape>
          </w:pict>
        </mc:Choice>
        <mc:Fallback>
          <w:drawing>
            <wp:anchor distT="0" distB="0" distL="114300" distR="114300" simplePos="0" relativeHeight="251659264" behindDoc="1" locked="0" layoutInCell="0" allowOverlap="1" wp14:anchorId="5523C02C" wp14:editId="36920260">
              <wp:simplePos x="0" y="0"/>
              <wp:positionH relativeFrom="margin">
                <wp:align>center</wp:align>
              </wp:positionH>
              <wp:positionV relativeFrom="margin">
                <wp:align>center</wp:align>
              </wp:positionV>
              <wp:extent cx="7896860" cy="986790"/>
              <wp:effectExtent l="0" t="2476500" r="0" b="2346960"/>
              <wp:wrapNone/>
              <wp:docPr id="192945641" name="PowerPlusWaterMarkObject17006969"/>
              <wp:cNvGraphicFramePr>
                <a:graphicFrameLocks xmlns:a="http://purl.oclc.org/ooxml/drawingml/main"/>
              </wp:cNvGraphicFramePr>
              <a:graphic xmlns:a="http://purl.oclc.org/ooxml/drawingml/main">
                <a:graphicData uri="http://schemas.microsoft.com/office/word/2010/wordprocessingShape">
                  <wp:wsp>
                    <wp:cNvSpPr txBox="1">
                      <a:spLocks noChangeArrowheads="1" noChangeShapeType="1" noTextEdit="1"/>
                    </wp:cNvSpPr>
                    <wp:spPr bwMode="auto">
                      <a:xfrm rot="18900000">
                        <a:off x="0" y="0"/>
                        <a:ext cx="7896860" cy="986790"/>
                      </a:xfrm>
                      <a:prstGeom prst="rect">
                        <a:avLst/>
                      </a:prstGeom>
                      <a:extLst>
                        <a:ext uri="{91240B29-F687-4F45-9708-019B960494DF}">
                          <a14:hiddenLine xmlns:a14="http://schemas.microsoft.com/office/drawing/2010/main" w="9525">
                            <a:solidFill>
                              <a:srgbClr val="000000"/>
                            </a:solidFill>
                            <a:round/>
                            <a:headEnd/>
                            <a:tailEnd/>
                          </a14:hiddenLine>
                        </a:ext>
                      </a:extLst>
                    </wp:spPr>
                    <wp:txbx>
                      <wne:txbxContent>
                        <w:p w14:paraId="296BE28D" w14:textId="77777777" w:rsidR="004561B3" w:rsidRDefault="004561B3" w:rsidP="004561B3">
                          <w:pPr>
                            <w:jc w:val="center"/>
                            <w:rPr>
                              <w:rFonts w:ascii="Arial" w:hAnsi="Arial" w:cs="Arial"/>
                              <w:color w:val="C0C0C0"/>
                              <w:kern w:val="0"/>
                              <w:sz w:val="72"/>
                              <w:szCs w:val="72"/>
                              <w14:textFill>
                                <w14:solidFill>
                                  <w14:srgbClr w14:val="C0C0C0">
                                    <w14:alpha w14:val="50000"/>
                                  </w14:srgbClr>
                                </w14:solidFill>
                              </w14:textFill>
                              <w14:ligatures w14:val="none"/>
                            </w:rPr>
                          </w:pPr>
                          <w:r>
                            <w:rPr>
                              <w:rFonts w:ascii="Arial" w:hAnsi="Arial" w:cs="Arial"/>
                              <w:color w:val="C0C0C0"/>
                              <w:sz w:val="72"/>
                              <w:szCs w:val="72"/>
                              <w14:textFill>
                                <w14:solidFill>
                                  <w14:srgbClr w14:val="C0C0C0">
                                    <w14:alpha w14:val="50000"/>
                                  </w14:srgbClr>
                                </w14:solidFill>
                              </w14:textFill>
                            </w:rPr>
                            <w:t>VERNEHMLASSUNG</w:t>
                          </w:r>
                        </w:p>
                      </wne:txbxContent>
                    </wp:txbx>
                    <wp:bodyPr wrap="square" numCol="1" fromWordArt="1">
                      <a:prstTxWarp prst="textPlain">
                        <a:avLst>
                          <a:gd name="adj" fmla="val 50000"/>
                        </a:avLst>
                      </a:prstTxWarp>
                      <a:spAutoFit/>
                    </wp:bodyPr>
                  </wp:wsp>
                </a:graphicData>
              </a:graphic>
              <wp14:sizeRelH relativeFrom="page">
                <wp14:pctWidth>0%</wp14:pctWidth>
              </wp14:sizeRelH>
              <wp14:sizeRelV relativeFrom="page">
                <wp14:pctHeight>0%</wp14:pctHeight>
              </wp14:sizeRelV>
            </wp:anchor>
          </w:drawing>
        </mc:Fallback>
      </mc:AlternateContent>
    </w:r>
    <w:r w:rsidR="00000000">
      <w:rPr>
        <w:sz w:val="16"/>
      </w:rPr>
      <w:t xml:space="preserve">- </w:t>
    </w:r>
    <w:r w:rsidR="00000000">
      <w:rPr>
        <w:sz w:val="16"/>
      </w:rPr>
      <w:fldChar w:fldCharType="begin"/>
    </w:r>
    <w:r w:rsidR="00000000">
      <w:rPr>
        <w:sz w:val="16"/>
      </w:rPr>
      <w:instrText xml:space="preserve"> PAGE </w:instrText>
    </w:r>
    <w:r w:rsidR="00000000">
      <w:rPr>
        <w:sz w:val="16"/>
      </w:rPr>
      <w:fldChar w:fldCharType="separate"/>
    </w:r>
    <w:r w:rsidR="00000000">
      <w:rPr>
        <w:sz w:val="16"/>
      </w:rPr>
      <w:t>4</w:t>
    </w:r>
    <w:r w:rsidR="00000000">
      <w:rPr>
        <w:sz w:val="16"/>
      </w:rPr>
      <w:fldChar w:fldCharType="end"/>
    </w:r>
    <w:r w:rsidR="00000000">
      <w:rPr>
        <w:sz w:val="16"/>
      </w:rPr>
      <w:t xml:space="preserve"> -</w:t>
    </w:r>
  </w:p>
  <w:p w14:paraId="572C17A7" w14:textId="77777777" w:rsidR="00C00573" w:rsidRDefault="00C00573">
    <w:pPr>
      <w:pStyle w:val="Kopfzeile"/>
      <w:spacing w:line="12pt" w:lineRule="exact"/>
      <w:jc w:val="center"/>
      <w:rPr>
        <w:sz w:val="22"/>
      </w:rPr>
    </w:pPr>
  </w:p>
  <w:p w14:paraId="519443AC" w14:textId="77777777" w:rsidR="00C00573" w:rsidRDefault="00C00573">
    <w:pPr>
      <w:pStyle w:val="Kopfzeile"/>
      <w:spacing w:line="12pt" w:lineRule="exact"/>
      <w:jc w:val="center"/>
      <w:rPr>
        <w:sz w:val="22"/>
      </w:rP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371F5607" w14:textId="75CC21FC" w:rsidR="00C00573" w:rsidRDefault="00901011">
    <w:pPr>
      <w:pStyle w:val="Kopfzeile"/>
      <w:spacing w:line="12pt" w:lineRule="exact"/>
      <w:jc w:val="center"/>
      <w:rPr>
        <w:sz w:val="22"/>
      </w:rPr>
    </w:pPr>
    <w:r>
      <w:rPr>
        <w:noProof/>
      </w:rPr>
      <mc:AlternateContent>
        <mc:Choice Requires="v">
          <w:pict w14:anchorId="727E63E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006970" o:spid="_x0000_s1027" type="#_x0000_t136" style="position:absolute;left:0;text-align:left;margin-left:0;margin-top:0;width:621.8pt;height:77.7pt;rotation:315;z-index:-251653120;mso-position-horizontal:center;mso-position-horizontal-relative:margin;mso-position-vertical:center;mso-position-vertical-relative:margin" o:allowincell="f" fillcolor="silver" stroked="f">
              <v:fill opacity=".5"/>
              <v:textpath style="font-family:&quot;Arial&quot;;font-size:1pt" string="VERNEHMLASSUNG"/>
            </v:shape>
          </w:pict>
        </mc:Choice>
        <mc:Fallback>
          <w:drawing>
            <wp:anchor distT="0" distB="0" distL="114300" distR="114300" simplePos="0" relativeHeight="251660288" behindDoc="1" locked="0" layoutInCell="0" allowOverlap="1" wp14:anchorId="13D8CC30" wp14:editId="0582F83D">
              <wp:simplePos x="0" y="0"/>
              <wp:positionH relativeFrom="margin">
                <wp:align>center</wp:align>
              </wp:positionH>
              <wp:positionV relativeFrom="margin">
                <wp:align>center</wp:align>
              </wp:positionV>
              <wp:extent cx="7896860" cy="986790"/>
              <wp:effectExtent l="0" t="2476500" r="0" b="2346960"/>
              <wp:wrapNone/>
              <wp:docPr id="1618303757" name="PowerPlusWaterMarkObject17006970"/>
              <wp:cNvGraphicFramePr>
                <a:graphicFrameLocks xmlns:a="http://purl.oclc.org/ooxml/drawingml/main"/>
              </wp:cNvGraphicFramePr>
              <a:graphic xmlns:a="http://purl.oclc.org/ooxml/drawingml/main">
                <a:graphicData uri="http://schemas.microsoft.com/office/word/2010/wordprocessingShape">
                  <wp:wsp>
                    <wp:cNvSpPr txBox="1">
                      <a:spLocks noChangeArrowheads="1" noChangeShapeType="1" noTextEdit="1"/>
                    </wp:cNvSpPr>
                    <wp:spPr bwMode="auto">
                      <a:xfrm rot="18900000">
                        <a:off x="0" y="0"/>
                        <a:ext cx="7896860" cy="986790"/>
                      </a:xfrm>
                      <a:prstGeom prst="rect">
                        <a:avLst/>
                      </a:prstGeom>
                      <a:extLst>
                        <a:ext uri="{91240B29-F687-4F45-9708-019B960494DF}">
                          <a14:hiddenLine xmlns:a14="http://schemas.microsoft.com/office/drawing/2010/main" w="9525">
                            <a:solidFill>
                              <a:srgbClr val="000000"/>
                            </a:solidFill>
                            <a:round/>
                            <a:headEnd/>
                            <a:tailEnd/>
                          </a14:hiddenLine>
                        </a:ext>
                      </a:extLst>
                    </wp:spPr>
                    <wp:txbx>
                      <wne:txbxContent>
                        <w:p w14:paraId="3FFAABFF" w14:textId="77777777" w:rsidR="004561B3" w:rsidRDefault="004561B3" w:rsidP="004561B3">
                          <w:pPr>
                            <w:jc w:val="center"/>
                            <w:rPr>
                              <w:rFonts w:ascii="Arial" w:hAnsi="Arial" w:cs="Arial"/>
                              <w:color w:val="C0C0C0"/>
                              <w:kern w:val="0"/>
                              <w:sz w:val="72"/>
                              <w:szCs w:val="72"/>
                              <w14:textFill>
                                <w14:solidFill>
                                  <w14:srgbClr w14:val="C0C0C0">
                                    <w14:alpha w14:val="50000"/>
                                  </w14:srgbClr>
                                </w14:solidFill>
                              </w14:textFill>
                              <w14:ligatures w14:val="none"/>
                            </w:rPr>
                          </w:pPr>
                          <w:r>
                            <w:rPr>
                              <w:rFonts w:ascii="Arial" w:hAnsi="Arial" w:cs="Arial"/>
                              <w:color w:val="C0C0C0"/>
                              <w:sz w:val="72"/>
                              <w:szCs w:val="72"/>
                              <w14:textFill>
                                <w14:solidFill>
                                  <w14:srgbClr w14:val="C0C0C0">
                                    <w14:alpha w14:val="50000"/>
                                  </w14:srgbClr>
                                </w14:solidFill>
                              </w14:textFill>
                            </w:rPr>
                            <w:t>VERNEHMLASSUNG</w:t>
                          </w:r>
                        </w:p>
                      </wne:txbxContent>
                    </wp:txbx>
                    <wp:bodyPr wrap="square" numCol="1" fromWordArt="1">
                      <a:prstTxWarp prst="textPlain">
                        <a:avLst>
                          <a:gd name="adj" fmla="val 50000"/>
                        </a:avLst>
                      </a:prstTxWarp>
                      <a:spAutoFit/>
                    </wp:bodyPr>
                  </wp:wsp>
                </a:graphicData>
              </a:graphic>
              <wp14:sizeRelH relativeFrom="page">
                <wp14:pctWidth>0%</wp14:pctWidth>
              </wp14:sizeRelH>
              <wp14:sizeRelV relativeFrom="page">
                <wp14:pctHeight>0%</wp14:pctHeight>
              </wp14:sizeRelV>
            </wp:anchor>
          </w:drawing>
        </mc:Fallback>
      </mc:AlternateContent>
    </w:r>
    <w:r w:rsidR="00000000">
      <w:rPr>
        <w:sz w:val="16"/>
      </w:rPr>
      <w:t xml:space="preserve">- </w:t>
    </w:r>
    <w:r w:rsidR="00000000">
      <w:rPr>
        <w:sz w:val="16"/>
      </w:rPr>
      <w:fldChar w:fldCharType="begin"/>
    </w:r>
    <w:r w:rsidR="00000000">
      <w:rPr>
        <w:sz w:val="16"/>
      </w:rPr>
      <w:instrText xml:space="preserve"> PAGE </w:instrText>
    </w:r>
    <w:r w:rsidR="00000000">
      <w:rPr>
        <w:sz w:val="16"/>
      </w:rPr>
      <w:fldChar w:fldCharType="separate"/>
    </w:r>
    <w:r w:rsidR="00000000">
      <w:rPr>
        <w:sz w:val="16"/>
      </w:rPr>
      <w:t>3</w:t>
    </w:r>
    <w:r w:rsidR="00000000">
      <w:rPr>
        <w:sz w:val="16"/>
      </w:rPr>
      <w:fldChar w:fldCharType="end"/>
    </w:r>
    <w:r w:rsidR="00000000">
      <w:rPr>
        <w:sz w:val="16"/>
      </w:rPr>
      <w:t xml:space="preserve"> -</w:t>
    </w:r>
  </w:p>
  <w:p w14:paraId="48341B3E" w14:textId="77777777" w:rsidR="00C00573" w:rsidRDefault="00C00573">
    <w:pPr>
      <w:pStyle w:val="Kopfzeile"/>
      <w:spacing w:line="12pt" w:lineRule="exact"/>
      <w:jc w:val="center"/>
      <w:rPr>
        <w:sz w:val="22"/>
      </w:rPr>
    </w:pPr>
  </w:p>
  <w:p w14:paraId="1205E50E" w14:textId="77777777" w:rsidR="00C00573" w:rsidRDefault="00C00573">
    <w:pPr>
      <w:pStyle w:val="Kopfzeile"/>
      <w:spacing w:line="12pt" w:lineRule="exact"/>
      <w:jc w:val="center"/>
      <w:rPr>
        <w:sz w:val="22"/>
      </w:rPr>
    </w:pP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3F68B7" w14:textId="64431A6C" w:rsidR="00C00573" w:rsidRDefault="00901011">
    <w:pPr>
      <w:pStyle w:val="Kopfzeile"/>
      <w:spacing w:line="12pt" w:lineRule="exact"/>
      <w:jc w:val="center"/>
      <w:rPr>
        <w:sz w:val="16"/>
      </w:rPr>
    </w:pPr>
    <w:r>
      <w:rPr>
        <w:noProof/>
      </w:rPr>
      <mc:AlternateContent>
        <mc:Choice Requires="v">
          <w:pict w14:anchorId="63057AC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006968" o:spid="_x0000_s1025" type="#_x0000_t136" style="position:absolute;left:0;text-align:left;margin-left:0;margin-top:0;width:621.8pt;height:77.7pt;rotation:315;z-index:-251657216;mso-position-horizontal:center;mso-position-horizontal-relative:margin;mso-position-vertical:center;mso-position-vertical-relative:margin" o:allowincell="f" fillcolor="silver" stroked="f">
              <v:fill opacity=".5"/>
              <v:textpath style="font-family:&quot;Arial&quot;;font-size:1pt" string="VERNEHMLASSUNG"/>
            </v:shape>
          </w:pict>
        </mc:Choice>
        <mc:Fallback>
          <w:drawing>
            <wp:anchor distT="0" distB="0" distL="114300" distR="114300" simplePos="0" relativeHeight="251658240" behindDoc="1" locked="0" layoutInCell="0" allowOverlap="1" wp14:anchorId="721939A2" wp14:editId="0E59575F">
              <wp:simplePos x="0" y="0"/>
              <wp:positionH relativeFrom="margin">
                <wp:align>center</wp:align>
              </wp:positionH>
              <wp:positionV relativeFrom="margin">
                <wp:align>center</wp:align>
              </wp:positionV>
              <wp:extent cx="7896860" cy="986790"/>
              <wp:effectExtent l="0" t="2476500" r="0" b="2346960"/>
              <wp:wrapNone/>
              <wp:docPr id="692196075" name="PowerPlusWaterMarkObject17006968"/>
              <wp:cNvGraphicFramePr>
                <a:graphicFrameLocks xmlns:a="http://purl.oclc.org/ooxml/drawingml/main"/>
              </wp:cNvGraphicFramePr>
              <a:graphic xmlns:a="http://purl.oclc.org/ooxml/drawingml/main">
                <a:graphicData uri="http://schemas.microsoft.com/office/word/2010/wordprocessingShape">
                  <wp:wsp>
                    <wp:cNvSpPr txBox="1">
                      <a:spLocks noChangeArrowheads="1" noChangeShapeType="1" noTextEdit="1"/>
                    </wp:cNvSpPr>
                    <wp:spPr bwMode="auto">
                      <a:xfrm rot="18900000">
                        <a:off x="0" y="0"/>
                        <a:ext cx="7896860" cy="986790"/>
                      </a:xfrm>
                      <a:prstGeom prst="rect">
                        <a:avLst/>
                      </a:prstGeom>
                      <a:extLst>
                        <a:ext uri="{91240B29-F687-4F45-9708-019B960494DF}">
                          <a14:hiddenLine xmlns:a14="http://schemas.microsoft.com/office/drawing/2010/main" w="9525">
                            <a:solidFill>
                              <a:srgbClr val="000000"/>
                            </a:solidFill>
                            <a:round/>
                            <a:headEnd/>
                            <a:tailEnd/>
                          </a14:hiddenLine>
                        </a:ext>
                      </a:extLst>
                    </wp:spPr>
                    <wp:txbx>
                      <wne:txbxContent>
                        <w:p w14:paraId="03D195FE" w14:textId="77777777" w:rsidR="004561B3" w:rsidRDefault="004561B3" w:rsidP="004561B3">
                          <w:pPr>
                            <w:jc w:val="center"/>
                            <w:rPr>
                              <w:rFonts w:ascii="Arial" w:hAnsi="Arial" w:cs="Arial"/>
                              <w:color w:val="C0C0C0"/>
                              <w:kern w:val="0"/>
                              <w:sz w:val="72"/>
                              <w:szCs w:val="72"/>
                              <w14:textFill>
                                <w14:solidFill>
                                  <w14:srgbClr w14:val="C0C0C0">
                                    <w14:alpha w14:val="50000"/>
                                  </w14:srgbClr>
                                </w14:solidFill>
                              </w14:textFill>
                              <w14:ligatures w14:val="none"/>
                            </w:rPr>
                          </w:pPr>
                          <w:r>
                            <w:rPr>
                              <w:rFonts w:ascii="Arial" w:hAnsi="Arial" w:cs="Arial"/>
                              <w:color w:val="C0C0C0"/>
                              <w:sz w:val="72"/>
                              <w:szCs w:val="72"/>
                              <w14:textFill>
                                <w14:solidFill>
                                  <w14:srgbClr w14:val="C0C0C0">
                                    <w14:alpha w14:val="50000"/>
                                  </w14:srgbClr>
                                </w14:solidFill>
                              </w14:textFill>
                            </w:rPr>
                            <w:t>VERNEHMLASSUNG</w:t>
                          </w:r>
                        </w:p>
                      </wne:txbxContent>
                    </wp:txbx>
                    <wp:bodyPr wrap="square" numCol="1" fromWordArt="1">
                      <a:prstTxWarp prst="textPlain">
                        <a:avLst>
                          <a:gd name="adj" fmla="val 50000"/>
                        </a:avLst>
                      </a:prstTxWarp>
                      <a:spAutoFit/>
                    </wp:bodyPr>
                  </wp:wsp>
                </a:graphicData>
              </a:graphic>
              <wp14:sizeRelH relativeFrom="page">
                <wp14:pctWidth>0%</wp14:pctWidth>
              </wp14:sizeRelH>
              <wp14:sizeRelV relativeFrom="page">
                <wp14:pctHeight>0%</wp14:pctHeight>
              </wp14:sizeRelV>
            </wp:anchor>
          </w:drawing>
        </mc:Fallback>
      </mc:AlternateContent>
    </w:r>
  </w:p>
</w:hdr>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35.45pt"/>
  <w:autoHyphenation/>
  <w:hyphenationZone w:val="21.25pt"/>
  <w:defaultTableStyle w:val="Standard"/>
  <w:evenAndOddHeaders/>
  <w:drawingGridHorizontalSpacing w:val="0pt"/>
  <w:drawingGridVerticalSpacing w:val="0pt"/>
  <w:displayHorizontalDrawingGridEvery w:val="0"/>
  <w:displayVerticalDrawingGridEvery w:val="0"/>
  <w:doNotUseMarginsForDrawingGridOrigin/>
  <w:drawingGridHorizontalOrigin w:val="0pt"/>
  <w:drawingGridVerticalOrigin w:val="0pt"/>
  <w:noPunctuationKerning/>
  <w:characterSpacingControl w:val="doNotCompres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0573"/>
    <w:rsid w:val="00445EF5"/>
    <w:rsid w:val="00517262"/>
    <w:rsid w:val="00634057"/>
    <w:rsid w:val="007D01C0"/>
    <w:rsid w:val="00901011"/>
    <w:rsid w:val="009A0491"/>
    <w:rsid w:val="00C00573"/>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doNotEmbedSmartTags/>
  <w:decimalSymbol w:val="."/>
  <w:listSeparator w:val=";"/>
  <w14:docId w14:val="16AFCD3F"/>
  <w15:docId w15:val="{C54268B4-3C06-486A-8D43-8C1EDE24A2DB}"/>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keepLines/>
      <w:widowControl w:val="0"/>
      <w:tabs>
        <w:tab w:val="end" w:pos="742.70pt"/>
      </w:tabs>
    </w:pPr>
    <w:rPr>
      <w:rFonts w:ascii="Arial" w:hAnsi="Arial"/>
      <w:lang w:val="de-CH" w:eastAsia="zh-CN" w:bidi="hi-IN"/>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pt" w:type="dxa"/>
      <w:tblCellMar>
        <w:top w:w="0pt" w:type="dxa"/>
        <w:start w:w="5.40pt" w:type="dxa"/>
        <w:bottom w:w="0pt" w:type="dxa"/>
        <w:end w:w="5.40pt" w:type="dxa"/>
      </w:tblCellMar>
    </w:tblPr>
    <w:trPr>
      <w:hidden/>
    </w:trPr>
  </w:style>
  <w:style w:type="numbering" w:default="1" w:styleId="KeineListe">
    <w:name w:val="No List"/>
    <w:uiPriority w:val="99"/>
    <w:semiHidden/>
    <w:unhideWhenUsed/>
  </w:style>
  <w:style w:type="character" w:customStyle="1" w:styleId="ZusammenfassungHauptnderung">
    <w:name w:val="Zusammenfassung Hauptänderung"/>
    <w:rPr>
      <w:b/>
    </w:rPr>
  </w:style>
  <w:style w:type="character" w:customStyle="1" w:styleId="Zusammenfassungnderung">
    <w:name w:val="Zusammenfassung Änderung"/>
  </w:style>
  <w:style w:type="character" w:customStyle="1" w:styleId="Absatz-Standardschriftart1">
    <w:name w:val="Absatz-Standardschriftart1"/>
  </w:style>
  <w:style w:type="character" w:styleId="Funotenzeichen">
    <w:name w:val="footnote reference"/>
    <w:rPr>
      <w:b w:val="0"/>
      <w:shd w:val="clear" w:color="auto" w:fill="auto"/>
      <w:vertAlign w:val="superscript"/>
    </w:rPr>
  </w:style>
  <w:style w:type="character" w:customStyle="1" w:styleId="FootnoteCharacters">
    <w:name w:val="Footnote Characters"/>
    <w:rPr>
      <w:rFonts w:ascii="Arial" w:hAnsi="Arial"/>
      <w:vertAlign w:val="superscript"/>
    </w:rPr>
  </w:style>
  <w:style w:type="paragraph" w:customStyle="1" w:styleId="ZusammenfassungEinleitung">
    <w:name w:val="Zusammenfassung Einleitung"/>
    <w:basedOn w:val="Standard"/>
    <w:pPr>
      <w:keepNext/>
      <w:pBdr>
        <w:top w:val="single" w:sz="4" w:space="7" w:color="000000"/>
        <w:left w:val="none" w:sz="0" w:space="0" w:color="000000"/>
        <w:bottom w:val="none" w:sz="0" w:space="0" w:color="000000"/>
        <w:right w:val="none" w:sz="0" w:space="0" w:color="000000"/>
      </w:pBdr>
      <w:spacing w:after="4.25pt"/>
      <w:ind w:start="62.95pt" w:hanging="62.95pt"/>
    </w:pPr>
    <w:rPr>
      <w:position w:val="2"/>
    </w:rPr>
  </w:style>
  <w:style w:type="paragraph" w:customStyle="1" w:styleId="ZusammenfassungneueErlasse">
    <w:name w:val="Zusammenfassung neue Erlasse"/>
    <w:basedOn w:val="Standard"/>
    <w:pPr>
      <w:keepNext/>
      <w:tabs>
        <w:tab w:val="clear" w:pos="742.70pt"/>
        <w:tab w:val="start" w:pos="125.90pt"/>
      </w:tabs>
      <w:spacing w:line="11.60pt" w:lineRule="exact"/>
      <w:ind w:start="62.95pt" w:hanging="62.95pt"/>
    </w:pPr>
    <w:rPr>
      <w:position w:val="2"/>
    </w:rPr>
  </w:style>
  <w:style w:type="paragraph" w:customStyle="1" w:styleId="ZusammenfassunggenderteErlasse">
    <w:name w:val="Zusammenfassung geänderte Erlasse"/>
    <w:basedOn w:val="ZusammenfassungneueErlasse"/>
  </w:style>
  <w:style w:type="paragraph" w:customStyle="1" w:styleId="ZusammenfassungaufgehobeneErlasse">
    <w:name w:val="Zusammenfassung aufgehobene Erlasse"/>
    <w:basedOn w:val="ZusammenfassungneueErlasse"/>
    <w:pPr>
      <w:pBdr>
        <w:top w:val="none" w:sz="0" w:space="0" w:color="000000"/>
        <w:left w:val="none" w:sz="0" w:space="0" w:color="000000"/>
        <w:bottom w:val="single" w:sz="4" w:space="7" w:color="000000"/>
        <w:right w:val="none" w:sz="0" w:space="0" w:color="000000"/>
      </w:pBdr>
      <w:spacing w:after="6.50pt"/>
    </w:pPr>
  </w:style>
  <w:style w:type="paragraph" w:customStyle="1" w:styleId="Autor">
    <w:name w:val="Autor"/>
    <w:basedOn w:val="Standard"/>
    <w:rPr>
      <w:i/>
      <w:iCs/>
    </w:rPr>
  </w:style>
  <w:style w:type="paragraph" w:customStyle="1" w:styleId="Aktion">
    <w:name w:val="Aktion"/>
    <w:basedOn w:val="Standard"/>
    <w:rPr>
      <w:i/>
      <w:iCs/>
    </w:rPr>
  </w:style>
  <w:style w:type="paragraph" w:customStyle="1" w:styleId="EmptySectionRemark">
    <w:name w:val="Empty_Section_Remark"/>
    <w:basedOn w:val="Standard"/>
    <w:rPr>
      <w:i/>
      <w:iCs/>
    </w:rPr>
  </w:style>
  <w:style w:type="paragraph" w:customStyle="1" w:styleId="StandardvorAufzhlung">
    <w:name w:val="Standard vor Aufzählung"/>
    <w:basedOn w:val="Standard"/>
  </w:style>
  <w:style w:type="paragraph" w:customStyle="1" w:styleId="StandardvorTabelle">
    <w:name w:val="Standard vor Tabelle"/>
    <w:basedOn w:val="Standard"/>
  </w:style>
  <w:style w:type="paragraph" w:customStyle="1" w:styleId="StandardvorBild">
    <w:name w:val="Standard vor Bild"/>
    <w:basedOn w:val="Standard"/>
  </w:style>
  <w:style w:type="paragraph" w:customStyle="1" w:styleId="HeaderandFooter">
    <w:name w:val="Header and Footer"/>
    <w:basedOn w:val="Standard"/>
    <w:pPr>
      <w:suppressLineNumbers/>
      <w:tabs>
        <w:tab w:val="clear" w:pos="742.70pt"/>
        <w:tab w:val="center" w:pos="249.30pt"/>
        <w:tab w:val="end" w:pos="498.60pt"/>
      </w:tabs>
    </w:pPr>
  </w:style>
  <w:style w:type="paragraph" w:styleId="Kopfzeile">
    <w:name w:val="header"/>
    <w:pPr>
      <w:widowControl w:val="0"/>
      <w:tabs>
        <w:tab w:val="end" w:pos="742.70pt"/>
      </w:tabs>
      <w:suppressAutoHyphens/>
    </w:pPr>
    <w:rPr>
      <w:rFonts w:ascii="Arial" w:hAnsi="Arial"/>
      <w:sz w:val="18"/>
      <w:lang w:val="de-CH" w:eastAsia="zh-CN" w:bidi="hi-IN"/>
    </w:rPr>
  </w:style>
  <w:style w:type="paragraph" w:styleId="Fuzeile">
    <w:name w:val="footer"/>
    <w:basedOn w:val="Kopfzeile"/>
  </w:style>
  <w:style w:type="paragraph" w:customStyle="1" w:styleId="Erlasstitel">
    <w:name w:val="Erlasstitel"/>
    <w:basedOn w:val="Standard"/>
    <w:next w:val="Datum1"/>
    <w:pPr>
      <w:keepNext/>
      <w:suppressAutoHyphens/>
      <w:spacing w:before="12pt" w:after="12pt"/>
    </w:pPr>
    <w:rPr>
      <w:b/>
      <w:sz w:val="24"/>
    </w:rPr>
  </w:style>
  <w:style w:type="paragraph" w:customStyle="1" w:styleId="Datum1">
    <w:name w:val="Datum1"/>
    <w:basedOn w:val="Standard"/>
    <w:next w:val="Autor"/>
    <w:pPr>
      <w:keepNext/>
      <w:pBdr>
        <w:top w:val="none" w:sz="0" w:space="0" w:color="000000"/>
        <w:left w:val="none" w:sz="0" w:space="0" w:color="000000"/>
        <w:bottom w:val="single" w:sz="4" w:space="10" w:color="000000"/>
        <w:right w:val="none" w:sz="0" w:space="0" w:color="000000"/>
      </w:pBdr>
      <w:spacing w:after="12pt"/>
      <w:ind w:start="1.40pt" w:end="1.40pt"/>
    </w:pPr>
    <w:rPr>
      <w:position w:val="2"/>
    </w:rPr>
  </w:style>
  <w:style w:type="paragraph" w:customStyle="1" w:styleId="Grundlage">
    <w:name w:val="Grundlage"/>
    <w:basedOn w:val="Standard"/>
    <w:next w:val="Aktion"/>
    <w:pPr>
      <w:spacing w:before="12pt" w:after="2pt"/>
    </w:pPr>
  </w:style>
  <w:style w:type="paragraph" w:customStyle="1" w:styleId="Schluss">
    <w:name w:val="Schluss"/>
    <w:basedOn w:val="Standard"/>
    <w:pPr>
      <w:tabs>
        <w:tab w:val="clear" w:pos="742.70pt"/>
        <w:tab w:val="start" w:pos="306.20pt"/>
      </w:tabs>
      <w:spacing w:before="24pt" w:after="2pt"/>
      <w:ind w:start="153.10pt" w:hanging="153.10pt"/>
    </w:pPr>
  </w:style>
  <w:style w:type="paragraph" w:customStyle="1" w:styleId="Nebenzitat">
    <w:name w:val="Nebenzitat"/>
    <w:basedOn w:val="Standard"/>
  </w:style>
  <w:style w:type="paragraph" w:customStyle="1" w:styleId="Abschnittstitel">
    <w:name w:val="Abschnittstitel"/>
    <w:basedOn w:val="Standard"/>
    <w:pPr>
      <w:keepNext/>
      <w:suppressAutoHyphens/>
    </w:pPr>
    <w:rPr>
      <w:b/>
      <w:sz w:val="22"/>
    </w:rPr>
  </w:style>
  <w:style w:type="paragraph" w:customStyle="1" w:styleId="TitelStufe1">
    <w:name w:val="Titel Stufe 1"/>
    <w:basedOn w:val="Standard"/>
    <w:next w:val="Artikel"/>
    <w:pPr>
      <w:keepNext/>
      <w:suppressAutoHyphens/>
      <w:spacing w:before="18pt"/>
    </w:pPr>
    <w:rPr>
      <w:b/>
      <w:sz w:val="22"/>
    </w:rPr>
  </w:style>
  <w:style w:type="paragraph" w:customStyle="1" w:styleId="TitelStufe2">
    <w:name w:val="Titel Stufe 2"/>
    <w:basedOn w:val="TitelStufe1"/>
    <w:next w:val="Artikel"/>
    <w:rPr>
      <w:b w:val="0"/>
      <w:i/>
    </w:rPr>
  </w:style>
  <w:style w:type="paragraph" w:customStyle="1" w:styleId="TitelStufe3">
    <w:name w:val="Titel Stufe 3"/>
    <w:basedOn w:val="TitelStufe2"/>
    <w:next w:val="Artikel"/>
  </w:style>
  <w:style w:type="paragraph" w:customStyle="1" w:styleId="TitelStufe4">
    <w:name w:val="Titel Stufe 4"/>
    <w:basedOn w:val="TitelStufe2"/>
    <w:next w:val="Artikel"/>
  </w:style>
  <w:style w:type="paragraph" w:customStyle="1" w:styleId="TitelStufe5">
    <w:name w:val="Titel Stufe 5"/>
    <w:basedOn w:val="TitelStufe2"/>
    <w:next w:val="Artikel"/>
  </w:style>
  <w:style w:type="paragraph" w:customStyle="1" w:styleId="TitelStufe1nachTitel">
    <w:name w:val="Titel Stufe 1 nach Titel"/>
    <w:basedOn w:val="TitelStufe1"/>
    <w:next w:val="Artikel"/>
  </w:style>
  <w:style w:type="paragraph" w:customStyle="1" w:styleId="TitelStufe2nachTitel">
    <w:name w:val="Titel Stufe 2 nach Titel"/>
    <w:basedOn w:val="TitelStufe2"/>
    <w:next w:val="Artikel"/>
  </w:style>
  <w:style w:type="paragraph" w:customStyle="1" w:styleId="TitelStufe3nachTitel">
    <w:name w:val="Titel Stufe 3 nach Titel"/>
    <w:basedOn w:val="TitelStufe3"/>
    <w:next w:val="Artikel"/>
  </w:style>
  <w:style w:type="paragraph" w:customStyle="1" w:styleId="TitelStufe4nachTitel">
    <w:name w:val="Titel Stufe 4 nach Titel"/>
    <w:basedOn w:val="TitelStufe4"/>
    <w:next w:val="Artikel"/>
  </w:style>
  <w:style w:type="paragraph" w:customStyle="1" w:styleId="TitelStufe5nachTitel">
    <w:name w:val="Titel Stufe 5 nach Titel"/>
    <w:basedOn w:val="TitelStufe5"/>
    <w:next w:val="Artikel"/>
  </w:style>
  <w:style w:type="paragraph" w:styleId="Textkrper">
    <w:name w:val="Body Text"/>
    <w:basedOn w:val="Standard"/>
    <w:pPr>
      <w:spacing w:after="7pt" w:line="13.80pt" w:lineRule="auto"/>
    </w:pPr>
  </w:style>
  <w:style w:type="paragraph" w:styleId="Kommentartext">
    <w:name w:val="annotation text"/>
    <w:basedOn w:val="Standard"/>
    <w:pPr>
      <w:keepNext/>
      <w:spacing w:line="7.20pt" w:lineRule="exact"/>
    </w:pPr>
    <w:rPr>
      <w:sz w:val="14"/>
    </w:rPr>
  </w:style>
  <w:style w:type="paragraph" w:customStyle="1" w:styleId="Artikel">
    <w:name w:val="Artikel"/>
    <w:basedOn w:val="Standard"/>
    <w:next w:val="Standard"/>
    <w:pPr>
      <w:keepNext/>
      <w:tabs>
        <w:tab w:val="clear" w:pos="742.70pt"/>
        <w:tab w:val="start" w:pos="68pt"/>
      </w:tabs>
      <w:spacing w:before="12pt" w:after="3pt"/>
      <w:ind w:start="34pt" w:hanging="34pt"/>
    </w:pPr>
  </w:style>
  <w:style w:type="paragraph" w:customStyle="1" w:styleId="Artikelaufgehoben">
    <w:name w:val="Artikel (aufgehoben)"/>
    <w:basedOn w:val="Artikel"/>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paragraph" w:customStyle="1" w:styleId="Liste1">
    <w:name w:val="Liste 1"/>
    <w:basedOn w:val="Standard"/>
    <w:pPr>
      <w:ind w:start="17pt" w:hanging="17pt"/>
    </w:pPr>
  </w:style>
  <w:style w:type="paragraph" w:customStyle="1" w:styleId="Liste1mitaufeinanderfolgendenAufhebungen">
    <w:name w:val="Liste 1 mit aufeinanderfolgenden Aufhebungen"/>
    <w:basedOn w:val="Liste1"/>
  </w:style>
  <w:style w:type="paragraph" w:customStyle="1" w:styleId="Liste1mitUnterelementen">
    <w:name w:val="Liste 1 mit Unterelementen"/>
    <w:basedOn w:val="Liste1"/>
  </w:style>
  <w:style w:type="paragraph" w:customStyle="1" w:styleId="Liste21">
    <w:name w:val="Liste 21"/>
    <w:basedOn w:val="Liste1"/>
    <w:pPr>
      <w:ind w:start="34pt"/>
    </w:pPr>
  </w:style>
  <w:style w:type="paragraph" w:customStyle="1" w:styleId="Liste2mitaufeinanderfolgendenAufhebungen">
    <w:name w:val="Liste 2 mit aufeinanderfolgenden Aufhebungen"/>
    <w:basedOn w:val="Liste21"/>
  </w:style>
  <w:style w:type="paragraph" w:customStyle="1" w:styleId="Liste31">
    <w:name w:val="Liste 31"/>
    <w:basedOn w:val="Liste21"/>
    <w:pPr>
      <w:ind w:start="51.05pt"/>
    </w:pPr>
  </w:style>
  <w:style w:type="paragraph" w:styleId="Funotentext">
    <w:name w:val="footnote text"/>
    <w:basedOn w:val="Standard"/>
    <w:pPr>
      <w:spacing w:line="9.40pt" w:lineRule="exact"/>
      <w:ind w:start="10.50pt" w:hanging="10.50pt"/>
    </w:pPr>
    <w:rPr>
      <w:sz w:val="16"/>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theme" Target="theme/theme1.xml"/><Relationship Id="rId3" Type="http://purl.oclc.org/ooxml/officeDocument/relationships/webSettings" Target="webSettings.xml"/><Relationship Id="rId7" Type="http://purl.oclc.org/ooxml/officeDocument/relationships/header" Target="header2.xml"/><Relationship Id="rId12" Type="http://purl.oclc.org/ooxml/officeDocument/relationships/fontTable" Target="fontTable.xml"/><Relationship Id="rId2" Type="http://purl.oclc.org/ooxml/officeDocument/relationships/settings" Target="settings.xml"/><Relationship Id="rId1" Type="http://purl.oclc.org/ooxml/officeDocument/relationships/styles" Target="styles.xml"/><Relationship Id="rId6" Type="http://purl.oclc.org/ooxml/officeDocument/relationships/header" Target="header1.xml"/><Relationship Id="rId11" Type="http://purl.oclc.org/ooxml/officeDocument/relationships/footer" Target="footer3.xml"/><Relationship Id="rId5" Type="http://purl.oclc.org/ooxml/officeDocument/relationships/endnotes" Target="endnotes.xml"/><Relationship Id="rId10" Type="http://purl.oclc.org/ooxml/officeDocument/relationships/header" Target="header3.xml"/><Relationship Id="rId4" Type="http://purl.oclc.org/ooxml/officeDocument/relationships/footnotes" Target="footnotes.xml"/><Relationship Id="rId9" Type="http://purl.oclc.org/ooxml/officeDocument/relationships/footer" Target="footer2.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Yiii" typeface="Microsoft Yi Baiti"/>
        <a:font script="Syrc" typeface="Estrangelo Edessa"/>
        <a:font script="Hebr" typeface="Times New Roman"/>
        <a:font script="Knda" typeface="Tunga"/>
        <a:font script="Arab" typeface="Times New Roman"/>
        <a:font script="Cans" typeface="Euphemia"/>
        <a:font script="Telu" typeface="Gautami"/>
        <a:font script="Khmr" typeface="MoolBoran"/>
        <a:font script="Viet" typeface="Times New Roman"/>
        <a:font script="Mlym" typeface="Kartika"/>
        <a:font script="Mong" typeface="Mongolian Baiti"/>
        <a:font script="Cher" typeface="Plantagenet Cherokee"/>
        <a:font script="Uigh" typeface="Microsoft Uighur"/>
        <a:font script="Taml" typeface="Latha"/>
        <a:font script="Sinh" typeface="Iskoola Pota"/>
        <a:font script="Gujr" typeface="Shruti"/>
        <a:font script="Jpan" typeface="ＭＳ ゴシック"/>
        <a:font script="Tibt" typeface="Microsoft Himalaya"/>
        <a:font script="Thaa" typeface="MV Boli"/>
        <a:font script="Hang" typeface="맑은 고딕"/>
        <a:font script="Laoo" typeface="DokChampa"/>
        <a:font script="Hant" typeface="新細明體"/>
        <a:font script="Thai" typeface="Angsana New"/>
        <a:font script="Hans" typeface="宋体"/>
        <a:font script="Deva" typeface="Mangal"/>
        <a:font script="Ethi" typeface="Nyala"/>
        <a:font script="Orya" typeface="Kalinga"/>
        <a:font script="Beng" typeface="Vrinda"/>
        <a:font script="Guru" typeface="Raavi"/>
      </a:majorFont>
      <a:minorFont>
        <a:latin typeface="Calibri"/>
        <a:ea typeface=""/>
        <a:cs typeface=""/>
        <a:font script="Yiii" typeface="Microsoft Yi Baiti"/>
        <a:font script="Syrc" typeface="Estrangelo Edessa"/>
        <a:font script="Hebr" typeface="Arial"/>
        <a:font script="Knda" typeface="Tunga"/>
        <a:font script="Arab" typeface="Arial"/>
        <a:font script="Cans" typeface="Euphemia"/>
        <a:font script="Telu" typeface="Gautami"/>
        <a:font script="Khmr" typeface="DaunPenh"/>
        <a:font script="Viet" typeface="Arial"/>
        <a:font script="Mlym" typeface="Kartika"/>
        <a:font script="Mong" typeface="Mongolian Baiti"/>
        <a:font script="Cher" typeface="Plantagenet Cherokee"/>
        <a:font script="Uigh" typeface="Microsoft Uighur"/>
        <a:font script="Taml" typeface="Latha"/>
        <a:font script="Sinh" typeface="Iskoola Pota"/>
        <a:font script="Gujr" typeface="Shruti"/>
        <a:font script="Jpan" typeface="ＭＳ 明朝"/>
        <a:font script="Tibt" typeface="Microsoft Himalaya"/>
        <a:font script="Thaa" typeface="MV Boli"/>
        <a:font script="Hang" typeface="맑은 고딕"/>
        <a:font script="Laoo" typeface="DokChampa"/>
        <a:font script="Hant" typeface="新細明體"/>
        <a:font script="Thai" typeface="Cordia New"/>
        <a:font script="Hans" typeface="宋体"/>
        <a:font script="Deva" typeface="Mangal"/>
        <a:font script="Ethi" typeface="Nyala"/>
        <a:font script="Orya" typeface="Kalinga"/>
        <a:font script="Beng" typeface="Vrinda"/>
        <a:font script="Guru" typeface="Raavi"/>
      </a:minorFont>
    </a:fontScheme>
    <a:fmtScheme name="Office">
      <a:fillStyleLst>
        <a:solidFill>
          <a:schemeClr val="phClr"/>
        </a:solidFill>
        <a:gradFill rotWithShape="1">
          <a:gsLst>
            <a:gs pos="0%">
              <a:schemeClr val="phClr">
                <a:tint val="50%"/>
                <a:satMod val="300%"/>
              </a:schemeClr>
            </a:gs>
            <a:gs pos="35%">
              <a:schemeClr val="phClr">
                <a:tint val="37%"/>
                <a:satMod val="300%"/>
              </a:schemeClr>
            </a:gs>
            <a:gs pos="100%">
              <a:schemeClr val="phClr">
                <a:tint val="15%"/>
                <a:satMod val="350%"/>
              </a:schemeClr>
            </a:gs>
          </a:gsLst>
          <a:lin ang="16200000" scaled="1"/>
        </a:gradFill>
        <a:gradFill rotWithShape="1">
          <a:gsLst>
            <a:gs pos="0%">
              <a:schemeClr val="phClr">
                <a:shade val="51%"/>
                <a:satMod val="130%"/>
              </a:schemeClr>
            </a:gs>
            <a:gs pos="80%">
              <a:schemeClr val="phClr">
                <a:shade val="93%"/>
                <a:satMod val="130%"/>
              </a:schemeClr>
            </a:gs>
            <a:gs pos="100%">
              <a:schemeClr val="phClr">
                <a:shade val="94%"/>
                <a:satMod val="135%"/>
              </a:schemeClr>
            </a:gs>
          </a:gsLst>
          <a:lin ang="16200000" scaled="0"/>
        </a:gradFill>
      </a:fillStyleLst>
      <a:lnStyleLst>
        <a:ln w="9525">
          <a:solidFill>
            <a:schemeClr val="phClr">
              <a:shade val="95%"/>
              <a:satMod val="105%"/>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
              </a:srgbClr>
            </a:outerShdw>
          </a:effectLst>
        </a:effectStyle>
        <a:effectStyle>
          <a:effectLst>
            <a:outerShdw blurRad="40000" dist="23000" dir="5400000" rotWithShape="0">
              <a:srgbClr val="000000">
                <a:alpha val="35%"/>
              </a:srgbClr>
            </a:outerShdw>
          </a:effectLst>
        </a:effectStyle>
        <a:effectStyle>
          <a:effectLst>
            <a:outerShdw blurRad="40000" dist="23000" dir="5400000" rotWithShape="0">
              <a:srgbClr val="000000">
                <a:alpha val="35%"/>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
                <a:satMod val="350%"/>
              </a:schemeClr>
            </a:gs>
            <a:gs pos="40%">
              <a:schemeClr val="phClr">
                <a:tint val="45%"/>
                <a:shade val="99%"/>
                <a:satMod val="350%"/>
              </a:schemeClr>
            </a:gs>
            <a:gs pos="100%">
              <a:schemeClr val="phClr">
                <a:shade val="20%"/>
                <a:satMod val="255%"/>
              </a:schemeClr>
            </a:gs>
          </a:gsLst>
          <a:path path="circle">
            <a:fillToRect l="50%" t="-80%" r="50%" b="180%"/>
          </a:path>
        </a:gradFill>
        <a:gradFill rotWithShape="1">
          <a:gsLst>
            <a:gs pos="0%">
              <a:schemeClr val="phClr">
                <a:tint val="80%"/>
                <a:satMod val="300%"/>
              </a:schemeClr>
            </a:gs>
            <a:gs pos="100%">
              <a:schemeClr val="phClr">
                <a:shade val="30%"/>
                <a:satMod val="200%"/>
              </a:schemeClr>
            </a:gs>
          </a:gsLst>
          <a:path path="circle">
            <a:fillToRect l="50%" t="50%" r="50%" b="50%"/>
          </a:path>
        </a:gradFill>
      </a:bgFillStyleLst>
    </a:fmtScheme>
  </a:themeElements>
  <a:objectDefaults/>
  <a:extraClrSchemeLst/>
</a:theme>
</file>

<file path=docProps/app.xml><?xml version="1.0" encoding="utf-8"?>
<Properties xmlns="http://purl.oclc.org/ooxml/officeDocument/extendedProperties" xmlns:vt="http://purl.oclc.org/ooxml/officeDocument/docPropsVTypes">
  <Template>Normal.dotm</Template>
  <TotalTime>0</TotalTime>
  <Pages>1</Pages>
  <Words>743</Words>
  <Characters>4681</Characters>
  <Application>Microsoft Office Word</Application>
  <DocSecurity>0</DocSecurity>
  <Lines>39</Lines>
  <Paragraphs>10</Paragraphs>
  <ScaleCrop>false</ScaleCrop>
  <Company/>
  <LinksUpToDate>false</LinksUpToDate>
  <CharactersWithSpaces>5414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Dörig Markus RK</cp:lastModifiedBy>
  <cp:revision>4</cp:revision>
  <cp:lastPrinted>2025-07-31T08:33:00Z</cp:lastPrinted>
  <dcterms:created xsi:type="dcterms:W3CDTF">2025-07-31T08:10:00Z</dcterms:created>
  <dcterms:modified xsi:type="dcterms:W3CDTF">2025-09-19T09:42:00Z</dcterms:modified>
</cp:coreProperties>
</file>

<file path=docProps/custom.xml><?xml version="1.0" encoding="utf-8"?>
<Properties xmlns="http://purl.oclc.org/ooxml/officeDocument/customProperties" xmlns:vt="http://purl.oclc.org/ooxml/officeDocument/docPropsVTypes">
  <property fmtid="{D5CDD505-2E9C-101B-9397-08002B2CF9AE}" pid="2" name="DocumentType">
    <vt:lpwstr>Synopse</vt:lpwstr>
  </property>
</Properties>
</file>