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696AF59" w14:textId="77777777" w:rsidR="0009727D" w:rsidRDefault="0009727D">
      <w:pPr>
        <w:rPr>
          <w:vanish/>
          <w:sz w:val="6"/>
        </w:rPr>
      </w:pPr>
    </w:p>
    <w:p w14:paraId="6DFDBCEB" w14:textId="77777777" w:rsidR="0009727D" w:rsidRDefault="0009727D">
      <w:pPr>
        <w:rPr>
          <w:b/>
          <w:bCs/>
          <w:sz w:val="22"/>
        </w:rPr>
      </w:pPr>
    </w:p>
    <w:p w14:paraId="7250DC4F" w14:textId="77777777" w:rsidR="00071283" w:rsidRDefault="00071283"/>
    <w:p w14:paraId="3A45855F" w14:textId="77777777" w:rsidR="0009727D" w:rsidRPr="00D94D53" w:rsidRDefault="004329A6">
      <w:pPr>
        <w:rPr>
          <w:sz w:val="28"/>
          <w:szCs w:val="28"/>
        </w:rPr>
      </w:pPr>
      <w:r w:rsidRPr="00D94D53">
        <w:rPr>
          <w:b/>
          <w:bCs/>
          <w:sz w:val="28"/>
          <w:szCs w:val="28"/>
        </w:rPr>
        <w:t>Revision Verordnung über das fakultative Finanzreferendum</w:t>
      </w:r>
    </w:p>
    <w:p w14:paraId="181A6D0C" w14:textId="77777777" w:rsidR="0009727D" w:rsidRDefault="0009727D"/>
    <w:p w14:paraId="32189003" w14:textId="1B25CE03" w:rsidR="00D94D53" w:rsidRPr="00D94D53" w:rsidRDefault="00D94D53">
      <w:pPr>
        <w:rPr>
          <w:b/>
          <w:bCs/>
        </w:rPr>
      </w:pPr>
      <w:r w:rsidRPr="00D94D53">
        <w:rPr>
          <w:b/>
          <w:bCs/>
        </w:rPr>
        <w:t>GS-Nummer: 600.010 (neue Nummer: 160.120)</w:t>
      </w:r>
    </w:p>
    <w:p w14:paraId="4BE9B60B" w14:textId="77777777" w:rsidR="00D94D53" w:rsidRPr="004329A6" w:rsidRDefault="00D94D53"/>
    <w:p w14:paraId="6D77D537" w14:textId="26389853" w:rsidR="0009727D" w:rsidRPr="004329A6" w:rsidRDefault="00D94D53">
      <w:pPr>
        <w:pStyle w:val="ZusammenfassungaufgehobeneErlasse"/>
        <w:rPr>
          <w:b/>
          <w:sz w:val="22"/>
        </w:rPr>
      </w:pPr>
      <w:r>
        <w:rPr>
          <w:b/>
          <w:sz w:val="22"/>
        </w:rPr>
        <w:t>Version: 16. September 2025</w:t>
      </w:r>
    </w:p>
    <w:tbl>
      <w:tblPr>
        <w:tblW w:w="100.0%" w:type="pct"/>
        <w:tblLayout w:type="fixed"/>
        <w:tblCellMar>
          <w:top w:w="5.40pt" w:type="dxa"/>
          <w:bottom w:w="5.40pt" w:type="dxa"/>
        </w:tblCellMar>
        <w:tblLook w:firstRow="0" w:lastRow="0" w:firstColumn="0" w:lastColumn="0" w:noHBand="0" w:noVBand="0"/>
      </w:tblPr>
      <w:tblGrid>
        <w:gridCol w:w="7421"/>
        <w:gridCol w:w="7423"/>
      </w:tblGrid>
      <w:tr w:rsidR="0009727D" w:rsidRPr="004329A6" w14:paraId="59AC83AF" w14:textId="77777777">
        <w:trPr>
          <w:tblHeader/>
        </w:trPr>
        <w:tc>
          <w:tcPr>
            <w:tcW w:w="371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93B9837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sz w:val="22"/>
              </w:rPr>
              <w:t>Geltendes Recht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E0E0E0"/>
            <w:vAlign w:val="center"/>
          </w:tcPr>
          <w:p w14:paraId="6E4B4BEC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sz w:val="22"/>
              </w:rPr>
              <w:t>Arbeitsversion</w:t>
            </w:r>
          </w:p>
        </w:tc>
      </w:tr>
      <w:tr w:rsidR="0009727D" w:rsidRPr="004329A6" w14:paraId="100F0BBD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4A44C097" w14:textId="77777777" w:rsidR="0009727D" w:rsidRPr="004329A6" w:rsidRDefault="0009727D"/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4A9D4FE6" w14:textId="77777777" w:rsidR="0009727D" w:rsidRPr="004329A6" w:rsidRDefault="004329A6">
            <w:pPr>
              <w:pStyle w:val="Abschnittstitel"/>
            </w:pPr>
            <w:r w:rsidRPr="004329A6">
              <w:t>I.</w:t>
            </w:r>
          </w:p>
        </w:tc>
      </w:tr>
      <w:tr w:rsidR="0009727D" w:rsidRPr="004329A6" w14:paraId="005CED73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FFFFAA"/>
          </w:tcPr>
          <w:p w14:paraId="2C421BB1" w14:textId="77777777" w:rsidR="0009727D" w:rsidRPr="004329A6" w:rsidRDefault="0009727D"/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FFFFAA"/>
          </w:tcPr>
          <w:p w14:paraId="7F2D1A75" w14:textId="77777777" w:rsidR="0009727D" w:rsidRPr="004329A6" w:rsidRDefault="004329A6">
            <w:pPr>
              <w:pStyle w:val="Nebenzitat"/>
            </w:pPr>
            <w:r w:rsidRPr="004329A6">
              <w:t>Änderung Verordnung über das fakultative Finanzreferendum vom 20. Oktober 2014:</w:t>
            </w:r>
          </w:p>
        </w:tc>
      </w:tr>
      <w:tr w:rsidR="0009727D" w:rsidRPr="004329A6" w14:paraId="2FD3F768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080DFA78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  <w:sz w:val="22"/>
              </w:rPr>
              <w:t>Verordnung über das fakultative Finanzreferendum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1B4E8F16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  <w:sz w:val="22"/>
              </w:rPr>
              <w:t>Verordnung über das fakultative Referendum</w:t>
            </w:r>
          </w:p>
        </w:tc>
      </w:tr>
      <w:tr w:rsidR="0009727D" w:rsidRPr="004329A6" w14:paraId="6AB2A893" w14:textId="77777777"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71C712C1" w14:textId="77777777" w:rsidR="0009727D" w:rsidRPr="004329A6" w:rsidRDefault="0009727D">
            <w:pPr>
              <w:pStyle w:val="TableContents"/>
            </w:pP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D27609F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  <w:sz w:val="22"/>
              </w:rPr>
              <w:t>(VFR)</w:t>
            </w:r>
          </w:p>
        </w:tc>
      </w:tr>
      <w:tr w:rsidR="0009727D" w:rsidRPr="004329A6" w14:paraId="69CF827E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62F9F022" w14:textId="77777777" w:rsidR="0009727D" w:rsidRPr="004329A6" w:rsidRDefault="004329A6">
            <w:pPr>
              <w:pStyle w:val="TableContents"/>
            </w:pPr>
            <w:r w:rsidRPr="004329A6">
              <w:t>vom 20. Oktober 2014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297E354D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50E676CC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58CE0C77" w14:textId="77777777" w:rsidR="0009727D" w:rsidRPr="004329A6" w:rsidRDefault="004329A6">
            <w:pPr>
              <w:pStyle w:val="Autor"/>
            </w:pPr>
            <w:r w:rsidRPr="004329A6">
              <w:t>Der Grosse Rat des Kantons Appenzell I. Rh.,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3C11243" w14:textId="77777777" w:rsidR="0009727D" w:rsidRPr="004329A6" w:rsidRDefault="004329A6">
            <w:pPr>
              <w:pStyle w:val="Autor"/>
            </w:pPr>
            <w:r w:rsidRPr="004329A6">
              <w:t>     </w:t>
            </w:r>
          </w:p>
        </w:tc>
      </w:tr>
      <w:tr w:rsidR="0009727D" w:rsidRPr="004329A6" w14:paraId="40802D99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34683DA9" w14:textId="77777777" w:rsidR="0009727D" w:rsidRPr="004329A6" w:rsidRDefault="004329A6">
            <w:pPr>
              <w:pStyle w:val="TableContents"/>
            </w:pPr>
            <w:r w:rsidRPr="004329A6">
              <w:t>gestützt auf Art. 7</w:t>
            </w:r>
            <w:r w:rsidRPr="004329A6">
              <w:rPr>
                <w:vertAlign w:val="superscript"/>
              </w:rPr>
              <w:t>ter</w:t>
            </w:r>
            <w:r w:rsidRPr="004329A6">
              <w:t> Abs. 5 der Kantonsverfassung vom 24. Wintermonat 1872,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1E125629" w14:textId="77777777" w:rsidR="0009727D" w:rsidRPr="004329A6" w:rsidRDefault="004329A6">
            <w:pPr>
              <w:pStyle w:val="TableContents"/>
            </w:pPr>
            <w:r w:rsidRPr="004329A6">
              <w:t>     </w:t>
            </w:r>
          </w:p>
        </w:tc>
      </w:tr>
      <w:tr w:rsidR="0009727D" w:rsidRPr="004329A6" w14:paraId="0CDE0251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10622419" w14:textId="77777777" w:rsidR="0009727D" w:rsidRPr="004329A6" w:rsidRDefault="004329A6">
            <w:pPr>
              <w:pStyle w:val="Aktion"/>
            </w:pPr>
            <w:r w:rsidRPr="004329A6">
              <w:t>beschliesst: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200F7A92" w14:textId="77777777" w:rsidR="0009727D" w:rsidRPr="004329A6" w:rsidRDefault="004329A6">
            <w:pPr>
              <w:pStyle w:val="Aktion"/>
            </w:pPr>
            <w:r w:rsidRPr="004329A6">
              <w:t>     </w:t>
            </w:r>
          </w:p>
        </w:tc>
      </w:tr>
      <w:tr w:rsidR="0009727D" w:rsidRPr="004329A6" w14:paraId="68FE1767" w14:textId="77777777">
        <w:trPr>
          <w:cantSplit/>
        </w:trPr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3C0B97A5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t>Art.  1</w:t>
            </w:r>
            <w:r w:rsidRPr="004329A6">
              <w:br/>
            </w:r>
            <w:r w:rsidRPr="004329A6">
              <w:rPr>
                <w:sz w:val="14"/>
              </w:rPr>
              <w:t>Grundsatz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23C573F4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0A704485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76D4BA5C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Diese Verordnung regelt in Ausführung zu Art. 7</w:t>
            </w:r>
            <w:r w:rsidRPr="004329A6">
              <w:rPr>
                <w:vertAlign w:val="superscript"/>
              </w:rPr>
              <w:t>ter</w:t>
            </w:r>
            <w:r w:rsidRPr="004329A6">
              <w:t xml:space="preserve"> der Kantonsverfassung das fakultative Finanzreferendum in kantonalen Angelegenheiten.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59FE437F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Diese Verordnung regelt in Ausführung des Gesetzes über die politischen Rechte vom .... (GPR) das Verfahren für fakultative Referenden.</w:t>
            </w:r>
          </w:p>
        </w:tc>
      </w:tr>
      <w:tr w:rsidR="0009727D" w:rsidRPr="004329A6" w14:paraId="60D7E7B5" w14:textId="77777777">
        <w:trPr>
          <w:cantSplit/>
        </w:trPr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10014C94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t>Art.  2</w:t>
            </w:r>
            <w:r w:rsidRPr="004329A6">
              <w:br/>
            </w:r>
            <w:r w:rsidRPr="004329A6">
              <w:rPr>
                <w:sz w:val="14"/>
              </w:rPr>
              <w:t>Referendumshinweis und Veröffentlichung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1CE38E54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3B715072" w14:textId="77777777" w:rsidTr="00D94D53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55E0F7A0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Die Unterstellung unter das fakultative Referendum oder die Nichtunterstellung wegen Dringlichkeit ist im Grossratsbeschluss festzuhalten.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32888C0B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533597F5" w14:textId="77777777" w:rsidTr="00D94D53">
        <w:trPr>
          <w:cantSplit/>
        </w:trPr>
        <w:tc>
          <w:tcPr>
            <w:tcW w:w="371.30pt" w:type="dxa"/>
            <w:tcBorders>
              <w:start w:val="single" w:sz="4" w:space="0" w:color="auto"/>
              <w:bottom w:val="single" w:sz="4" w:space="0" w:color="auto"/>
              <w:end w:val="single" w:sz="4" w:space="0" w:color="auto"/>
            </w:tcBorders>
            <w:shd w:val="clear" w:color="auto" w:fill="auto"/>
          </w:tcPr>
          <w:p w14:paraId="05280613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2</w:t>
            </w:r>
            <w:r w:rsidRPr="004329A6">
              <w:t> Die dem fakultativen Referendum unterstehenden Grossratsbeschlüsse werden im kantonalen Publikationsorgan veröffentlicht.</w:t>
            </w:r>
          </w:p>
        </w:tc>
        <w:tc>
          <w:tcPr>
            <w:tcW w:w="371.40pt" w:type="dxa"/>
            <w:tcBorders>
              <w:start w:val="single" w:sz="4" w:space="0" w:color="auto"/>
              <w:bottom w:val="single" w:sz="4" w:space="0" w:color="auto"/>
              <w:end w:val="single" w:sz="4" w:space="0" w:color="auto"/>
            </w:tcBorders>
            <w:shd w:val="clear" w:color="auto" w:fill="auto"/>
          </w:tcPr>
          <w:p w14:paraId="6B7DC684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2</w:t>
            </w:r>
            <w:r w:rsidRPr="004329A6">
              <w:t> Die dem fakultativen Referendum unterstehenden Grossratsbeschlüsse werden im kantonalen Publikationsorgan mitgeteilt.</w:t>
            </w:r>
          </w:p>
        </w:tc>
      </w:tr>
      <w:tr w:rsidR="0009727D" w:rsidRPr="004329A6" w14:paraId="3E5EC8AB" w14:textId="77777777" w:rsidTr="00D94D53">
        <w:trPr>
          <w:cantSplit/>
        </w:trPr>
        <w:tc>
          <w:tcPr>
            <w:tcW w:w="371.30pt" w:type="dxa"/>
            <w:tcBorders>
              <w:top w:val="single" w:sz="4" w:space="0" w:color="auto"/>
              <w:start w:val="single" w:sz="4" w:space="0" w:color="000000"/>
            </w:tcBorders>
            <w:shd w:val="clear" w:color="auto" w:fill="auto"/>
          </w:tcPr>
          <w:p w14:paraId="4A138252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lastRenderedPageBreak/>
              <w:t>Art.  3</w:t>
            </w:r>
            <w:r w:rsidRPr="004329A6">
              <w:br/>
            </w:r>
            <w:r w:rsidRPr="004329A6">
              <w:rPr>
                <w:sz w:val="14"/>
              </w:rPr>
              <w:t>Referendumsfrist</w:t>
            </w:r>
          </w:p>
        </w:tc>
        <w:tc>
          <w:tcPr>
            <w:tcW w:w="371.40pt" w:type="dxa"/>
            <w:tcBorders>
              <w:top w:val="single" w:sz="4" w:space="0" w:color="auto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697B6857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312FD3E8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554513A6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Die Referendumsfrist von 30 Tagen wird durch die Veröffentlichung des Beschlusses im kantonalen Publikationsorgan ausgelöst.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560FA4BD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1A35229F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12E13EAE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2</w:t>
            </w:r>
            <w:r w:rsidRPr="004329A6">
              <w:t> Für den Beginn und das Ende der Referendumsfrist gilt das Gesetz über den Fristenlauf vom 24. April 1966.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662E530E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4E633CC0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037DDBC6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3</w:t>
            </w:r>
            <w:r w:rsidRPr="004329A6">
              <w:t> Das Ende der Referendumsfrist ist in der Veröffentlichung festzuhalten.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0E64DC47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3</w:t>
            </w:r>
            <w:r w:rsidRPr="004329A6">
              <w:t> Der letzte Tag der Referendumsfrist ist in der Veröffentlichung festzuhalten.</w:t>
            </w:r>
          </w:p>
        </w:tc>
      </w:tr>
      <w:tr w:rsidR="0009727D" w:rsidRPr="004329A6" w14:paraId="799B324E" w14:textId="77777777">
        <w:trPr>
          <w:cantSplit/>
        </w:trPr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501E6AFD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t>Art.  11</w:t>
            </w:r>
            <w:r w:rsidRPr="004329A6">
              <w:br/>
            </w:r>
            <w:r w:rsidRPr="004329A6">
              <w:rPr>
                <w:sz w:val="14"/>
              </w:rPr>
              <w:t>Tätigung der Ausgabe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39FB5290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t>Art.  11</w:t>
            </w:r>
            <w:r w:rsidRPr="004329A6">
              <w:t> </w:t>
            </w:r>
            <w:r w:rsidRPr="004329A6">
              <w:rPr>
                <w:i/>
                <w:iCs/>
              </w:rPr>
              <w:t>Aufgehoben.</w:t>
            </w:r>
          </w:p>
        </w:tc>
      </w:tr>
      <w:tr w:rsidR="0009727D" w:rsidRPr="004329A6" w14:paraId="14F85C8D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51E5CBED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Ausgaben, die dem fakultativen Referendum unterstehen, dürfen erst getätigt werden, wenn die Referendumsfrist ungenutzt verstrichen ist, ein eingereichtes Referendum nicht zustande gekommen ist oder das Referendumsbegehren durch die Landsgemeinde abgelehnt wurde.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7CD2B05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46187BCA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170338E9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2</w:t>
            </w:r>
            <w:r w:rsidRPr="004329A6">
              <w:t xml:space="preserve"> Der Grosse Rat kann in dringlichen Fällen mit mindestens einer </w:t>
            </w:r>
            <w:proofErr w:type="spellStart"/>
            <w:r w:rsidRPr="004329A6">
              <w:t>Zweidrittelsmehrheit</w:t>
            </w:r>
            <w:proofErr w:type="spellEnd"/>
            <w:r w:rsidRPr="004329A6">
              <w:t xml:space="preserve"> beschliessen, dass eine Ausgabe schon vorher ganz oder teilweise getätigt wird. Gegen diesen Beschluss ist kein Referendum möglich. Er lässt ein hängiges Referendum hinfällig werden.</w:t>
            </w: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1AAF225" w14:textId="77777777" w:rsidR="0009727D" w:rsidRPr="004329A6" w:rsidRDefault="0009727D">
            <w:pPr>
              <w:pStyle w:val="TableContents"/>
            </w:pPr>
          </w:p>
        </w:tc>
      </w:tr>
      <w:tr w:rsidR="0009727D" w:rsidRPr="004329A6" w14:paraId="00478A58" w14:textId="77777777">
        <w:trPr>
          <w:cantSplit/>
        </w:trPr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3451C216" w14:textId="77777777" w:rsidR="0009727D" w:rsidRPr="004329A6" w:rsidRDefault="0009727D">
            <w:pPr>
              <w:pStyle w:val="TableContents"/>
            </w:pP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3F8F8754" w14:textId="77777777" w:rsidR="0009727D" w:rsidRPr="004329A6" w:rsidRDefault="004329A6">
            <w:pPr>
              <w:pStyle w:val="TableContents"/>
            </w:pPr>
            <w:r w:rsidRPr="004329A6">
              <w:rPr>
                <w:b/>
                <w:bCs/>
              </w:rPr>
              <w:t>Art.  11a</w:t>
            </w:r>
            <w:r w:rsidRPr="004329A6">
              <w:br/>
            </w:r>
            <w:r w:rsidRPr="004329A6">
              <w:rPr>
                <w:sz w:val="14"/>
              </w:rPr>
              <w:t>Referenden Bezirke und Gemeinden</w:t>
            </w:r>
          </w:p>
        </w:tc>
      </w:tr>
      <w:tr w:rsidR="0009727D" w:rsidRPr="004329A6" w14:paraId="33917351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539309DD" w14:textId="77777777" w:rsidR="0009727D" w:rsidRPr="004329A6" w:rsidRDefault="0009727D">
            <w:pPr>
              <w:pStyle w:val="TableContents"/>
            </w:pP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4AEE5075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1</w:t>
            </w:r>
            <w:r w:rsidRPr="004329A6">
              <w:t> Die Bezirke und Gemeinden können das kantonale Verfahren für die Abwicklung von Referenden und die Zuständigkeiten auf ihre Bedürfnisse und die örtlichen Verhältnisse anpassen.</w:t>
            </w:r>
          </w:p>
        </w:tc>
      </w:tr>
      <w:tr w:rsidR="0009727D" w:rsidRPr="004329A6" w14:paraId="02C14A1C" w14:textId="77777777">
        <w:trPr>
          <w:cantSplit/>
        </w:trPr>
        <w:tc>
          <w:tcPr>
            <w:tcW w:w="371.30pt" w:type="dxa"/>
            <w:tcBorders>
              <w:start w:val="single" w:sz="4" w:space="0" w:color="000000"/>
            </w:tcBorders>
            <w:shd w:val="clear" w:color="auto" w:fill="auto"/>
          </w:tcPr>
          <w:p w14:paraId="6E01C9F5" w14:textId="77777777" w:rsidR="0009727D" w:rsidRPr="004329A6" w:rsidRDefault="0009727D">
            <w:pPr>
              <w:pStyle w:val="TableContents"/>
            </w:pPr>
          </w:p>
        </w:tc>
        <w:tc>
          <w:tcPr>
            <w:tcW w:w="371.40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55ADAC8C" w14:textId="77777777" w:rsidR="0009727D" w:rsidRPr="004329A6" w:rsidRDefault="004329A6">
            <w:pPr>
              <w:pStyle w:val="TableContents"/>
            </w:pPr>
            <w:r w:rsidRPr="004329A6">
              <w:rPr>
                <w:vertAlign w:val="superscript"/>
              </w:rPr>
              <w:t>2</w:t>
            </w:r>
            <w:r w:rsidRPr="004329A6">
              <w:t> Soweit eine entsprechende Regelung im Bezirks- oder Gemeinderecht fehlt, wird das kantonale Recht sinngemäss angewandt.</w:t>
            </w:r>
          </w:p>
        </w:tc>
      </w:tr>
      <w:tr w:rsidR="0009727D" w:rsidRPr="004329A6" w14:paraId="304D2C42" w14:textId="77777777" w:rsidTr="00D94D53">
        <w:tc>
          <w:tcPr>
            <w:tcW w:w="371.30pt" w:type="dxa"/>
            <w:tcBorders>
              <w:top w:val="single" w:sz="4" w:space="0" w:color="000000"/>
              <w:start w:val="single" w:sz="4" w:space="0" w:color="000000"/>
              <w:bottom w:val="single" w:sz="4" w:space="0" w:color="auto"/>
            </w:tcBorders>
            <w:shd w:val="clear" w:color="auto" w:fill="AAFFAA"/>
          </w:tcPr>
          <w:p w14:paraId="4C44C014" w14:textId="77777777" w:rsidR="0009727D" w:rsidRPr="004329A6" w:rsidRDefault="0009727D"/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bottom w:val="single" w:sz="4" w:space="0" w:color="auto"/>
              <w:end w:val="single" w:sz="4" w:space="0" w:color="000000"/>
            </w:tcBorders>
            <w:shd w:val="clear" w:color="auto" w:fill="AAFFAA"/>
          </w:tcPr>
          <w:p w14:paraId="0489AA0B" w14:textId="77777777" w:rsidR="0009727D" w:rsidRPr="004329A6" w:rsidRDefault="004329A6">
            <w:pPr>
              <w:pStyle w:val="Abschnittstitel"/>
            </w:pPr>
            <w:r w:rsidRPr="004329A6">
              <w:t>II.</w:t>
            </w:r>
          </w:p>
        </w:tc>
      </w:tr>
      <w:tr w:rsidR="0009727D" w:rsidRPr="004329A6" w14:paraId="38A67A62" w14:textId="77777777" w:rsidTr="00D94D53">
        <w:tc>
          <w:tcPr>
            <w:tcW w:w="371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shd w:val="clear" w:color="auto" w:fill="auto"/>
          </w:tcPr>
          <w:p w14:paraId="1BA7A5AA" w14:textId="77777777" w:rsidR="0009727D" w:rsidRPr="004329A6" w:rsidRDefault="004329A6">
            <w:pPr>
              <w:pStyle w:val="EmptySectionRemark"/>
            </w:pPr>
            <w:r w:rsidRPr="004329A6">
              <w:t>     </w:t>
            </w:r>
          </w:p>
        </w:tc>
        <w:tc>
          <w:tcPr>
            <w:tcW w:w="371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shd w:val="clear" w:color="auto" w:fill="auto"/>
          </w:tcPr>
          <w:p w14:paraId="4DFF234D" w14:textId="77777777" w:rsidR="0009727D" w:rsidRDefault="004329A6">
            <w:pPr>
              <w:pStyle w:val="EmptySectionRemark"/>
            </w:pPr>
            <w:r w:rsidRPr="004329A6">
              <w:t>Keine Fremdänderungen.</w:t>
            </w:r>
          </w:p>
          <w:p w14:paraId="098B1B64" w14:textId="77777777" w:rsidR="00D94D53" w:rsidRPr="004329A6" w:rsidRDefault="00D94D53">
            <w:pPr>
              <w:pStyle w:val="EmptySectionRemark"/>
            </w:pPr>
          </w:p>
        </w:tc>
      </w:tr>
      <w:tr w:rsidR="0009727D" w:rsidRPr="004329A6" w14:paraId="6DB229A8" w14:textId="77777777" w:rsidTr="00D94D53">
        <w:tc>
          <w:tcPr>
            <w:tcW w:w="371.30pt" w:type="dxa"/>
            <w:tcBorders>
              <w:top w:val="single" w:sz="4" w:space="0" w:color="auto"/>
              <w:start w:val="single" w:sz="4" w:space="0" w:color="000000"/>
            </w:tcBorders>
            <w:shd w:val="clear" w:color="auto" w:fill="AAFFAA"/>
          </w:tcPr>
          <w:p w14:paraId="65B1DE23" w14:textId="77777777" w:rsidR="0009727D" w:rsidRPr="004329A6" w:rsidRDefault="0009727D"/>
        </w:tc>
        <w:tc>
          <w:tcPr>
            <w:tcW w:w="371.40pt" w:type="dxa"/>
            <w:tcBorders>
              <w:top w:val="single" w:sz="4" w:space="0" w:color="auto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73A3CB10" w14:textId="77777777" w:rsidR="0009727D" w:rsidRPr="004329A6" w:rsidRDefault="004329A6">
            <w:pPr>
              <w:pStyle w:val="Abschnittstitel"/>
            </w:pPr>
            <w:r w:rsidRPr="004329A6">
              <w:t>III.</w:t>
            </w:r>
          </w:p>
        </w:tc>
      </w:tr>
      <w:tr w:rsidR="0009727D" w:rsidRPr="004329A6" w14:paraId="14A3CB04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66F5142E" w14:textId="77777777" w:rsidR="0009727D" w:rsidRPr="004329A6" w:rsidRDefault="004329A6">
            <w:pPr>
              <w:pStyle w:val="EmptySectionRemark"/>
            </w:pPr>
            <w:r w:rsidRPr="004329A6">
              <w:t>     </w:t>
            </w:r>
          </w:p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6314162E" w14:textId="77777777" w:rsidR="0009727D" w:rsidRPr="004329A6" w:rsidRDefault="004329A6">
            <w:pPr>
              <w:pStyle w:val="EmptySectionRemark"/>
            </w:pPr>
            <w:r w:rsidRPr="004329A6">
              <w:t>Keine Fremdaufhebungen.</w:t>
            </w:r>
          </w:p>
        </w:tc>
      </w:tr>
      <w:tr w:rsidR="0009727D" w:rsidRPr="004329A6" w14:paraId="296D897D" w14:textId="77777777">
        <w:tc>
          <w:tcPr>
            <w:tcW w:w="371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6AB005EF" w14:textId="77777777" w:rsidR="0009727D" w:rsidRPr="004329A6" w:rsidRDefault="0009727D"/>
        </w:tc>
        <w:tc>
          <w:tcPr>
            <w:tcW w:w="371.40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7DE0857A" w14:textId="77777777" w:rsidR="0009727D" w:rsidRPr="004329A6" w:rsidRDefault="004329A6">
            <w:pPr>
              <w:pStyle w:val="Abschnittstitel"/>
            </w:pPr>
            <w:r w:rsidRPr="004329A6">
              <w:t>IV.</w:t>
            </w:r>
          </w:p>
        </w:tc>
      </w:tr>
      <w:tr w:rsidR="0009727D" w14:paraId="432F49B7" w14:textId="77777777">
        <w:tc>
          <w:tcPr>
            <w:tcW w:w="371.30pt" w:type="dxa"/>
            <w:tcBorders>
              <w:start w:val="single" w:sz="4" w:space="0" w:color="000000"/>
              <w:bottom w:val="single" w:sz="4" w:space="0" w:color="000000"/>
            </w:tcBorders>
            <w:shd w:val="clear" w:color="auto" w:fill="auto"/>
          </w:tcPr>
          <w:p w14:paraId="6A40571A" w14:textId="77777777" w:rsidR="0009727D" w:rsidRPr="004329A6" w:rsidRDefault="0009727D"/>
        </w:tc>
        <w:tc>
          <w:tcPr>
            <w:tcW w:w="371.40pt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</w:tcPr>
          <w:p w14:paraId="415A605B" w14:textId="77777777" w:rsidR="0009727D" w:rsidRDefault="004329A6">
            <w:pPr>
              <w:pStyle w:val="TableContents"/>
            </w:pPr>
            <w:r w:rsidRPr="004329A6">
              <w:t>Dieser Beschluss tritt am ... in Kraft.</w:t>
            </w:r>
          </w:p>
        </w:tc>
      </w:tr>
    </w:tbl>
    <w:p w14:paraId="082BD656" w14:textId="77777777" w:rsidR="0009727D" w:rsidRDefault="0009727D"/>
    <w:sectPr w:rsidR="000972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41.90pt" w:h="595.30pt" w:orient="landscape"/>
      <w:pgMar w:top="56.65pt" w:right="42.50pt" w:bottom="42.50pt" w:left="56.70pt" w:header="42.50pt" w:footer="28.35pt" w:gutter="0pt"/>
      <w:cols w:space="36pt"/>
      <w:titlePg/>
      <w:docGrid w:linePitch="245" w:charSpace="9215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4230F66" w14:textId="77777777" w:rsidR="00333344" w:rsidRDefault="00333344">
      <w:r>
        <w:separator/>
      </w:r>
    </w:p>
  </w:endnote>
  <w:endnote w:type="continuationSeparator" w:id="0">
    <w:p w14:paraId="58AD8E94" w14:textId="77777777" w:rsidR="00333344" w:rsidRDefault="0033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40E4063" w14:textId="77777777" w:rsidR="0009727D" w:rsidRDefault="0009727D">
    <w:pPr>
      <w:pStyle w:val="Fuzeile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B38F7CB" w14:textId="77777777" w:rsidR="0009727D" w:rsidRDefault="0009727D">
    <w:pPr>
      <w:pStyle w:val="Fuzeile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1373D43" w14:textId="77777777" w:rsidR="0009727D" w:rsidRDefault="0009727D">
    <w:pPr>
      <w:pStyle w:val="Fuzeile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252E36E" w14:textId="77777777" w:rsidR="00333344" w:rsidRDefault="00333344">
      <w:r>
        <w:separator/>
      </w:r>
    </w:p>
  </w:footnote>
  <w:footnote w:type="continuationSeparator" w:id="0">
    <w:p w14:paraId="13898A37" w14:textId="77777777" w:rsidR="00333344" w:rsidRDefault="00333344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868589D" w14:textId="0BC006AE" w:rsidR="0009727D" w:rsidRDefault="00D94D53">
    <w:pPr>
      <w:pStyle w:val="Kopfzeile"/>
      <w:spacing w:line="12pt" w:lineRule="exact"/>
      <w:jc w:val="center"/>
      <w:rPr>
        <w:sz w:val="22"/>
      </w:rPr>
    </w:pPr>
    <w:r>
      <w:rPr>
        <w:noProof/>
      </w:rPr>
      <mc:AlternateContent>
        <mc:Choice Requires="v">
          <w:pict w14:anchorId="6AC4676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04297" o:spid="_x0000_s1026" type="#_x0000_t136" style="position:absolute;left:0;text-align:left;margin-left:0;margin-top:0;width:621.8pt;height:77.7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FDE9377" wp14:editId="184FB43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1721975747" name="PowerPlusWaterMarkObject17704297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60A8B5A" w14:textId="77777777" w:rsidR="00342BCA" w:rsidRDefault="00342BCA" w:rsidP="00342BCA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 w:rsidR="004329A6">
      <w:rPr>
        <w:sz w:val="16"/>
      </w:rPr>
      <w:t xml:space="preserve">- </w:t>
    </w:r>
    <w:r w:rsidR="004329A6">
      <w:rPr>
        <w:sz w:val="16"/>
      </w:rPr>
      <w:fldChar w:fldCharType="begin"/>
    </w:r>
    <w:r w:rsidR="004329A6">
      <w:rPr>
        <w:sz w:val="16"/>
      </w:rPr>
      <w:instrText xml:space="preserve"> PAGE </w:instrText>
    </w:r>
    <w:r w:rsidR="004329A6">
      <w:rPr>
        <w:sz w:val="16"/>
      </w:rPr>
      <w:fldChar w:fldCharType="separate"/>
    </w:r>
    <w:r w:rsidR="004329A6">
      <w:rPr>
        <w:sz w:val="16"/>
      </w:rPr>
      <w:t>2</w:t>
    </w:r>
    <w:r w:rsidR="004329A6">
      <w:rPr>
        <w:sz w:val="16"/>
      </w:rPr>
      <w:fldChar w:fldCharType="end"/>
    </w:r>
    <w:r w:rsidR="004329A6">
      <w:rPr>
        <w:sz w:val="16"/>
      </w:rPr>
      <w:t xml:space="preserve"> -</w:t>
    </w:r>
  </w:p>
  <w:p w14:paraId="461C4AA3" w14:textId="77777777" w:rsidR="0009727D" w:rsidRDefault="0009727D">
    <w:pPr>
      <w:pStyle w:val="Kopfzeile"/>
      <w:spacing w:line="12pt" w:lineRule="exact"/>
      <w:jc w:val="center"/>
      <w:rPr>
        <w:sz w:val="22"/>
      </w:rPr>
    </w:pPr>
  </w:p>
  <w:p w14:paraId="4668339E" w14:textId="77777777" w:rsidR="0009727D" w:rsidRDefault="0009727D">
    <w:pPr>
      <w:pStyle w:val="Kopfzeile"/>
      <w:spacing w:line="12pt" w:lineRule="exact"/>
      <w:jc w:val="center"/>
      <w:rPr>
        <w:sz w:val="22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8267174" w14:textId="6975BD4D" w:rsidR="0009727D" w:rsidRDefault="00D94D53">
    <w:pPr>
      <w:pStyle w:val="Kopfzeile"/>
      <w:spacing w:line="12pt" w:lineRule="exact"/>
      <w:jc w:val="center"/>
      <w:rPr>
        <w:sz w:val="22"/>
      </w:rPr>
    </w:pPr>
    <w:r>
      <w:rPr>
        <w:noProof/>
      </w:rPr>
      <mc:AlternateContent>
        <mc:Choice Requires="v">
          <w:pict w14:anchorId="34E5A8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04298" o:spid="_x0000_s1027" type="#_x0000_t136" style="position:absolute;left:0;text-align:left;margin-left:0;margin-top:0;width:621.8pt;height:77.7pt;rotation:315;z-index:-251653120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23BAF24C" wp14:editId="49DA237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1091078629" name="PowerPlusWaterMarkObject17704298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4084CB6" w14:textId="77777777" w:rsidR="00342BCA" w:rsidRDefault="00342BCA" w:rsidP="00342BCA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 w:rsidR="004329A6">
      <w:rPr>
        <w:sz w:val="16"/>
      </w:rPr>
      <w:t xml:space="preserve">- </w:t>
    </w:r>
    <w:r w:rsidR="004329A6">
      <w:rPr>
        <w:sz w:val="16"/>
      </w:rPr>
      <w:fldChar w:fldCharType="begin"/>
    </w:r>
    <w:r w:rsidR="004329A6">
      <w:rPr>
        <w:sz w:val="16"/>
      </w:rPr>
      <w:instrText xml:space="preserve"> PAGE </w:instrText>
    </w:r>
    <w:r w:rsidR="004329A6">
      <w:rPr>
        <w:sz w:val="16"/>
      </w:rPr>
      <w:fldChar w:fldCharType="separate"/>
    </w:r>
    <w:r w:rsidR="004329A6">
      <w:rPr>
        <w:sz w:val="16"/>
      </w:rPr>
      <w:t>3</w:t>
    </w:r>
    <w:r w:rsidR="004329A6">
      <w:rPr>
        <w:sz w:val="16"/>
      </w:rPr>
      <w:fldChar w:fldCharType="end"/>
    </w:r>
    <w:r w:rsidR="004329A6">
      <w:rPr>
        <w:sz w:val="16"/>
      </w:rPr>
      <w:t xml:space="preserve"> -</w:t>
    </w:r>
  </w:p>
  <w:p w14:paraId="65DB2576" w14:textId="77777777" w:rsidR="0009727D" w:rsidRDefault="0009727D">
    <w:pPr>
      <w:pStyle w:val="Kopfzeile"/>
      <w:spacing w:line="12pt" w:lineRule="exact"/>
      <w:jc w:val="center"/>
      <w:rPr>
        <w:sz w:val="22"/>
      </w:rPr>
    </w:pPr>
  </w:p>
  <w:p w14:paraId="23391428" w14:textId="77777777" w:rsidR="0009727D" w:rsidRDefault="0009727D">
    <w:pPr>
      <w:pStyle w:val="Kopfzeile"/>
      <w:spacing w:line="12pt" w:lineRule="exact"/>
      <w:jc w:val="center"/>
      <w:rPr>
        <w:sz w:val="22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432DB57" w14:textId="1D0B8C48" w:rsidR="0009727D" w:rsidRDefault="00D94D53">
    <w:pPr>
      <w:pStyle w:val="Kopfzeile"/>
      <w:spacing w:line="12pt" w:lineRule="exact"/>
      <w:jc w:val="center"/>
      <w:rPr>
        <w:sz w:val="16"/>
      </w:rPr>
    </w:pPr>
    <w:r>
      <w:rPr>
        <w:noProof/>
      </w:rPr>
      <mc:AlternateContent>
        <mc:Choice Requires="v">
          <w:pict w14:anchorId="5107386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04296" o:spid="_x0000_s1025" type="#_x0000_t136" style="position:absolute;left:0;text-align:left;margin-left:0;margin-top:0;width:621.8pt;height:77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4E493C29" wp14:editId="0AA9B2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1031059525" name="PowerPlusWaterMarkObject17704296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85A2A60" w14:textId="77777777" w:rsidR="00342BCA" w:rsidRDefault="00342BCA" w:rsidP="00342BCA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5.45pt"/>
  <w:autoHyphenation/>
  <w:hyphenationZone w:val="21.25pt"/>
  <w:defaultTableStyle w:val="Standard"/>
  <w:evenAndOddHeaders/>
  <w:drawingGridHorizontalSpacing w:val="0pt"/>
  <w:drawingGridVerticalSpacing w:val="0pt"/>
  <w:displayHorizontalDrawingGridEvery w:val="0"/>
  <w:displayVerticalDrawingGridEvery w:val="0"/>
  <w:doNotUseMarginsForDrawingGridOrigin/>
  <w:drawingGridHorizontalOrigin w:val="0pt"/>
  <w:drawingGridVerticalOrigin w:val="0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7D"/>
    <w:rsid w:val="00071283"/>
    <w:rsid w:val="0009727D"/>
    <w:rsid w:val="0025556F"/>
    <w:rsid w:val="00333344"/>
    <w:rsid w:val="004329A6"/>
    <w:rsid w:val="00932561"/>
    <w:rsid w:val="00AF1900"/>
    <w:rsid w:val="00C70F28"/>
    <w:rsid w:val="00D9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:decimalSymbol w:val="."/>
  <w:listSeparator w:val=";"/>
  <w14:docId w14:val="712E7CDC"/>
  <w15:docId w15:val="{49BAF7A9-7058-4B0E-8EE1-032590C4326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keepLines/>
      <w:widowControl w:val="0"/>
      <w:tabs>
        <w:tab w:val="end" w:pos="742.70pt"/>
      </w:tabs>
    </w:pPr>
    <w:rPr>
      <w:rFonts w:ascii="Arial" w:hAnsi="Arial"/>
      <w:lang w:val="de-CH"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customStyle="1" w:styleId="ZusammenfassungHauptnderung">
    <w:name w:val="Zusammenfassung Hauptänderung"/>
    <w:rPr>
      <w:b/>
    </w:rPr>
  </w:style>
  <w:style w:type="character" w:customStyle="1" w:styleId="Zusammenfassungnderung">
    <w:name w:val="Zusammenfassung Änderung"/>
  </w:style>
  <w:style w:type="character" w:customStyle="1" w:styleId="Absatz-Standardschriftart1">
    <w:name w:val="Absatz-Standardschriftart1"/>
  </w:style>
  <w:style w:type="character" w:styleId="Funotenzeichen">
    <w:name w:val="footnote reference"/>
    <w:rPr>
      <w:b w:val="0"/>
      <w:shd w:val="clear" w:color="auto" w:fill="auto"/>
      <w:vertAlign w:val="superscript"/>
    </w:rPr>
  </w:style>
  <w:style w:type="character" w:customStyle="1" w:styleId="FootnoteCharacters">
    <w:name w:val="Footnote Characters"/>
    <w:rPr>
      <w:rFonts w:ascii="Arial" w:hAnsi="Arial"/>
      <w:vertAlign w:val="superscript"/>
    </w:rPr>
  </w:style>
  <w:style w:type="paragraph" w:customStyle="1" w:styleId="ZusammenfassungEinleitung">
    <w:name w:val="Zusammenfassung Einleitung"/>
    <w:basedOn w:val="Standard"/>
    <w:pPr>
      <w:keepNext/>
      <w:pBdr>
        <w:top w:val="single" w:sz="4" w:space="7" w:color="000000"/>
        <w:left w:val="none" w:sz="0" w:space="0" w:color="000000"/>
        <w:bottom w:val="none" w:sz="0" w:space="0" w:color="000000"/>
        <w:right w:val="none" w:sz="0" w:space="0" w:color="000000"/>
      </w:pBdr>
      <w:spacing w:after="4.25pt"/>
      <w:ind w:start="62.95pt" w:hanging="62.95pt"/>
    </w:pPr>
    <w:rPr>
      <w:position w:val="2"/>
    </w:rPr>
  </w:style>
  <w:style w:type="paragraph" w:customStyle="1" w:styleId="ZusammenfassungneueErlasse">
    <w:name w:val="Zusammenfassung neue Erlasse"/>
    <w:basedOn w:val="Standard"/>
    <w:pPr>
      <w:keepNext/>
      <w:tabs>
        <w:tab w:val="clear" w:pos="742.70pt"/>
        <w:tab w:val="start" w:pos="125.90pt"/>
      </w:tabs>
      <w:spacing w:line="11.60pt" w:lineRule="exact"/>
      <w:ind w:start="62.95pt" w:hanging="62.95pt"/>
    </w:pPr>
    <w:rPr>
      <w:position w:val="2"/>
    </w:rPr>
  </w:style>
  <w:style w:type="paragraph" w:customStyle="1" w:styleId="ZusammenfassunggenderteErlasse">
    <w:name w:val="Zusammenfassung geänderte Erlasse"/>
    <w:basedOn w:val="ZusammenfassungneueErlasse"/>
  </w:style>
  <w:style w:type="paragraph" w:customStyle="1" w:styleId="ZusammenfassungaufgehobeneErlasse">
    <w:name w:val="Zusammenfassung aufgehobene Erlasse"/>
    <w:basedOn w:val="ZusammenfassungneueErlasse"/>
    <w:pPr>
      <w:pBdr>
        <w:top w:val="none" w:sz="0" w:space="0" w:color="000000"/>
        <w:left w:val="none" w:sz="0" w:space="0" w:color="000000"/>
        <w:bottom w:val="single" w:sz="4" w:space="7" w:color="000000"/>
        <w:right w:val="none" w:sz="0" w:space="0" w:color="000000"/>
      </w:pBdr>
      <w:spacing w:after="6.50pt"/>
    </w:pPr>
  </w:style>
  <w:style w:type="paragraph" w:customStyle="1" w:styleId="Autor">
    <w:name w:val="Autor"/>
    <w:basedOn w:val="Standard"/>
    <w:rPr>
      <w:i/>
      <w:iCs/>
    </w:rPr>
  </w:style>
  <w:style w:type="paragraph" w:customStyle="1" w:styleId="Aktion">
    <w:name w:val="Aktion"/>
    <w:basedOn w:val="Standard"/>
    <w:rPr>
      <w:i/>
      <w:iCs/>
    </w:rPr>
  </w:style>
  <w:style w:type="paragraph" w:customStyle="1" w:styleId="EmptySectionRemark">
    <w:name w:val="Empty_Section_Remark"/>
    <w:basedOn w:val="Standard"/>
    <w:rPr>
      <w:i/>
      <w:iCs/>
    </w:rPr>
  </w:style>
  <w:style w:type="paragraph" w:customStyle="1" w:styleId="StandardvorAufzhlung">
    <w:name w:val="Standard vor Aufzählung"/>
    <w:basedOn w:val="Standard"/>
  </w:style>
  <w:style w:type="paragraph" w:customStyle="1" w:styleId="StandardvorTabelle">
    <w:name w:val="Standard vor Tabelle"/>
    <w:basedOn w:val="Standard"/>
  </w:style>
  <w:style w:type="paragraph" w:customStyle="1" w:styleId="StandardvorBild">
    <w:name w:val="Standard vor Bild"/>
    <w:basedOn w:val="Standard"/>
  </w:style>
  <w:style w:type="paragraph" w:customStyle="1" w:styleId="HeaderandFooter">
    <w:name w:val="Header and Footer"/>
    <w:basedOn w:val="Standard"/>
    <w:pPr>
      <w:suppressLineNumbers/>
      <w:tabs>
        <w:tab w:val="clear" w:pos="742.70pt"/>
        <w:tab w:val="center" w:pos="249.30pt"/>
        <w:tab w:val="end" w:pos="498.60pt"/>
      </w:tabs>
    </w:pPr>
  </w:style>
  <w:style w:type="paragraph" w:styleId="Kopfzeile">
    <w:name w:val="header"/>
    <w:pPr>
      <w:widowControl w:val="0"/>
      <w:tabs>
        <w:tab w:val="end" w:pos="742.70pt"/>
      </w:tabs>
      <w:suppressAutoHyphens/>
    </w:pPr>
    <w:rPr>
      <w:rFonts w:ascii="Arial" w:hAnsi="Arial"/>
      <w:sz w:val="18"/>
      <w:lang w:val="de-CH" w:eastAsia="zh-CN" w:bidi="hi-IN"/>
    </w:rPr>
  </w:style>
  <w:style w:type="paragraph" w:styleId="Fuzeile">
    <w:name w:val="footer"/>
    <w:basedOn w:val="Kopfzeile"/>
  </w:style>
  <w:style w:type="paragraph" w:customStyle="1" w:styleId="Erlasstitel">
    <w:name w:val="Erlasstitel"/>
    <w:basedOn w:val="Standard"/>
    <w:next w:val="Datum1"/>
    <w:pPr>
      <w:keepNext/>
      <w:suppressAutoHyphens/>
      <w:spacing w:before="12pt" w:after="12pt"/>
    </w:pPr>
    <w:rPr>
      <w:b/>
      <w:sz w:val="24"/>
    </w:rPr>
  </w:style>
  <w:style w:type="paragraph" w:customStyle="1" w:styleId="Datum1">
    <w:name w:val="Datum1"/>
    <w:basedOn w:val="Standard"/>
    <w:next w:val="Autor"/>
    <w:pPr>
      <w:keepNext/>
      <w:pBdr>
        <w:top w:val="none" w:sz="0" w:space="0" w:color="000000"/>
        <w:left w:val="none" w:sz="0" w:space="0" w:color="000000"/>
        <w:bottom w:val="single" w:sz="4" w:space="10" w:color="000000"/>
        <w:right w:val="none" w:sz="0" w:space="0" w:color="000000"/>
      </w:pBdr>
      <w:spacing w:after="12pt"/>
      <w:ind w:start="1.40pt" w:end="1.40pt"/>
    </w:pPr>
    <w:rPr>
      <w:position w:val="2"/>
    </w:rPr>
  </w:style>
  <w:style w:type="paragraph" w:customStyle="1" w:styleId="Grundlage">
    <w:name w:val="Grundlage"/>
    <w:basedOn w:val="Standard"/>
    <w:next w:val="Aktion"/>
    <w:pPr>
      <w:spacing w:before="12pt" w:after="2pt"/>
    </w:pPr>
  </w:style>
  <w:style w:type="paragraph" w:customStyle="1" w:styleId="Schluss">
    <w:name w:val="Schluss"/>
    <w:basedOn w:val="Standard"/>
    <w:pPr>
      <w:tabs>
        <w:tab w:val="clear" w:pos="742.70pt"/>
        <w:tab w:val="start" w:pos="306.20pt"/>
      </w:tabs>
      <w:spacing w:before="24pt" w:after="2pt"/>
      <w:ind w:start="153.10pt" w:hanging="153.10pt"/>
    </w:pPr>
  </w:style>
  <w:style w:type="paragraph" w:customStyle="1" w:styleId="Nebenzitat">
    <w:name w:val="Nebenzitat"/>
    <w:basedOn w:val="Standard"/>
  </w:style>
  <w:style w:type="paragraph" w:customStyle="1" w:styleId="Abschnittstitel">
    <w:name w:val="Abschnittstitel"/>
    <w:basedOn w:val="Standard"/>
    <w:pPr>
      <w:keepNext/>
      <w:suppressAutoHyphens/>
    </w:pPr>
    <w:rPr>
      <w:b/>
      <w:sz w:val="22"/>
    </w:rPr>
  </w:style>
  <w:style w:type="paragraph" w:customStyle="1" w:styleId="TitelStufe1">
    <w:name w:val="Titel Stufe 1"/>
    <w:basedOn w:val="Standard"/>
    <w:next w:val="Artikel"/>
    <w:pPr>
      <w:keepNext/>
      <w:suppressAutoHyphens/>
      <w:spacing w:before="18pt"/>
    </w:pPr>
    <w:rPr>
      <w:b/>
      <w:sz w:val="22"/>
    </w:rPr>
  </w:style>
  <w:style w:type="paragraph" w:customStyle="1" w:styleId="TitelStufe2">
    <w:name w:val="Titel Stufe 2"/>
    <w:basedOn w:val="TitelStufe1"/>
    <w:next w:val="Artikel"/>
    <w:rPr>
      <w:b w:val="0"/>
      <w:i/>
    </w:rPr>
  </w:style>
  <w:style w:type="paragraph" w:customStyle="1" w:styleId="TitelStufe3">
    <w:name w:val="Titel Stufe 3"/>
    <w:basedOn w:val="TitelStufe2"/>
    <w:next w:val="Artikel"/>
  </w:style>
  <w:style w:type="paragraph" w:customStyle="1" w:styleId="TitelStufe4">
    <w:name w:val="Titel Stufe 4"/>
    <w:basedOn w:val="TitelStufe2"/>
    <w:next w:val="Artikel"/>
  </w:style>
  <w:style w:type="paragraph" w:customStyle="1" w:styleId="TitelStufe5">
    <w:name w:val="Titel Stufe 5"/>
    <w:basedOn w:val="TitelStufe2"/>
    <w:next w:val="Artikel"/>
  </w:style>
  <w:style w:type="paragraph" w:customStyle="1" w:styleId="TitelStufe1nachTitel">
    <w:name w:val="Titel Stufe 1 nach Titel"/>
    <w:basedOn w:val="TitelStufe1"/>
    <w:next w:val="Artikel"/>
  </w:style>
  <w:style w:type="paragraph" w:customStyle="1" w:styleId="TitelStufe2nachTitel">
    <w:name w:val="Titel Stufe 2 nach Titel"/>
    <w:basedOn w:val="TitelStufe2"/>
    <w:next w:val="Artikel"/>
  </w:style>
  <w:style w:type="paragraph" w:customStyle="1" w:styleId="TitelStufe3nachTitel">
    <w:name w:val="Titel Stufe 3 nach Titel"/>
    <w:basedOn w:val="TitelStufe3"/>
    <w:next w:val="Artikel"/>
  </w:style>
  <w:style w:type="paragraph" w:customStyle="1" w:styleId="TitelStufe4nachTitel">
    <w:name w:val="Titel Stufe 4 nach Titel"/>
    <w:basedOn w:val="TitelStufe4"/>
    <w:next w:val="Artikel"/>
  </w:style>
  <w:style w:type="paragraph" w:customStyle="1" w:styleId="TitelStufe5nachTitel">
    <w:name w:val="Titel Stufe 5 nach Titel"/>
    <w:basedOn w:val="TitelStufe5"/>
    <w:next w:val="Artikel"/>
  </w:style>
  <w:style w:type="paragraph" w:styleId="Textkrper">
    <w:name w:val="Body Text"/>
    <w:basedOn w:val="Standard"/>
    <w:pPr>
      <w:spacing w:after="7pt" w:line="13.80pt" w:lineRule="auto"/>
    </w:pPr>
  </w:style>
  <w:style w:type="paragraph" w:styleId="Kommentartext">
    <w:name w:val="annotation text"/>
    <w:basedOn w:val="Standard"/>
    <w:pPr>
      <w:keepNext/>
      <w:spacing w:line="7.20pt" w:lineRule="exact"/>
    </w:pPr>
    <w:rPr>
      <w:sz w:val="14"/>
    </w:rPr>
  </w:style>
  <w:style w:type="paragraph" w:customStyle="1" w:styleId="Artikel">
    <w:name w:val="Artikel"/>
    <w:basedOn w:val="Standard"/>
    <w:next w:val="Standard"/>
    <w:pPr>
      <w:keepNext/>
      <w:tabs>
        <w:tab w:val="clear" w:pos="742.70pt"/>
        <w:tab w:val="start" w:pos="68pt"/>
      </w:tabs>
      <w:spacing w:before="12pt" w:after="3pt"/>
      <w:ind w:start="34pt" w:hanging="34pt"/>
    </w:pPr>
  </w:style>
  <w:style w:type="paragraph" w:customStyle="1" w:styleId="Artikelaufgehoben">
    <w:name w:val="Artikel (aufgehoben)"/>
    <w:basedOn w:val="Artikel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Liste1">
    <w:name w:val="Liste 1"/>
    <w:basedOn w:val="Standard"/>
    <w:pPr>
      <w:ind w:start="17pt" w:hanging="17pt"/>
    </w:pPr>
  </w:style>
  <w:style w:type="paragraph" w:customStyle="1" w:styleId="Liste1mitaufeinanderfolgendenAufhebungen">
    <w:name w:val="Liste 1 mit aufeinanderfolgenden Aufhebungen"/>
    <w:basedOn w:val="Liste1"/>
  </w:style>
  <w:style w:type="paragraph" w:customStyle="1" w:styleId="Liste1mitUnterelementen">
    <w:name w:val="Liste 1 mit Unterelementen"/>
    <w:basedOn w:val="Liste1"/>
  </w:style>
  <w:style w:type="paragraph" w:customStyle="1" w:styleId="Liste21">
    <w:name w:val="Liste 21"/>
    <w:basedOn w:val="Liste1"/>
    <w:pPr>
      <w:ind w:start="34pt"/>
    </w:pPr>
  </w:style>
  <w:style w:type="paragraph" w:customStyle="1" w:styleId="Liste2mitaufeinanderfolgendenAufhebungen">
    <w:name w:val="Liste 2 mit aufeinanderfolgenden Aufhebungen"/>
    <w:basedOn w:val="Liste21"/>
  </w:style>
  <w:style w:type="paragraph" w:customStyle="1" w:styleId="Liste31">
    <w:name w:val="Liste 31"/>
    <w:basedOn w:val="Liste21"/>
    <w:pPr>
      <w:ind w:start="51.05pt"/>
    </w:pPr>
  </w:style>
  <w:style w:type="paragraph" w:styleId="Funotentext">
    <w:name w:val="footnote text"/>
    <w:basedOn w:val="Standard"/>
    <w:pPr>
      <w:spacing w:line="9.40pt" w:lineRule="exact"/>
      <w:ind w:start="10.50pt" w:hanging="10.50pt"/>
    </w:pPr>
    <w:rPr>
      <w:sz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theme" Target="theme/theme1.xml"/><Relationship Id="rId3" Type="http://purl.oclc.org/ooxml/officeDocument/relationships/webSettings" Target="webSettings.xml"/><Relationship Id="rId7" Type="http://purl.oclc.org/ooxml/officeDocument/relationships/header" Target="header2.xml"/><Relationship Id="rId12" Type="http://purl.oclc.org/ooxml/officeDocument/relationships/fontTable" Target="fontTable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header" Target="header1.xml"/><Relationship Id="rId11" Type="http://purl.oclc.org/ooxml/officeDocument/relationships/footer" Target="footer3.xml"/><Relationship Id="rId5" Type="http://purl.oclc.org/ooxml/officeDocument/relationships/endnotes" Target="endnotes.xml"/><Relationship Id="rId10" Type="http://purl.oclc.org/ooxml/officeDocument/relationships/header" Target="header3.xml"/><Relationship Id="rId4" Type="http://purl.oclc.org/ooxml/officeDocument/relationships/footnotes" Target="footnotes.xml"/><Relationship Id="rId9" Type="http://purl.oclc.org/ooxml/officeDocument/relationships/footer" Target="footer2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Yiii" typeface="Microsoft Yi Baiti"/>
        <a:font script="Syrc" typeface="Estrangelo Edessa"/>
        <a:font script="Hebr" typeface="Times New Roman"/>
        <a:font script="Knda" typeface="Tunga"/>
        <a:font script="Arab" typeface="Times New Roman"/>
        <a:font script="Cans" typeface="Euphemia"/>
        <a:font script="Telu" typeface="Gautami"/>
        <a:font script="Khmr" typeface="MoolBoran"/>
        <a:font script="Viet" typeface="Times New Roman"/>
        <a:font script="Mlym" typeface="Kartika"/>
        <a:font script="Mong" typeface="Mongolian Baiti"/>
        <a:font script="Cher" typeface="Plantagenet Cherokee"/>
        <a:font script="Uigh" typeface="Microsoft Uighur"/>
        <a:font script="Taml" typeface="Latha"/>
        <a:font script="Sinh" typeface="Iskoola Pota"/>
        <a:font script="Gujr" typeface="Shruti"/>
        <a:font script="Jpan" typeface="ＭＳ ゴシック"/>
        <a:font script="Tibt" typeface="Microsoft Himalaya"/>
        <a:font script="Thaa" typeface="MV Boli"/>
        <a:font script="Hang" typeface="맑은 고딕"/>
        <a:font script="Laoo" typeface="DokChampa"/>
        <a:font script="Hant" typeface="新細明體"/>
        <a:font script="Thai" typeface="Angsana New"/>
        <a:font script="Hans" typeface="宋体"/>
        <a:font script="Deva" typeface="Mangal"/>
        <a:font script="Ethi" typeface="Nyala"/>
        <a:font script="Orya" typeface="Kalinga"/>
        <a:font script="Beng" typeface="Vrinda"/>
        <a:font script="Guru" typeface="Raavi"/>
      </a:majorFont>
      <a:minorFont>
        <a:latin typeface="Calibri"/>
        <a:ea typeface=""/>
        <a:cs typeface=""/>
        <a:font script="Yiii" typeface="Microsoft Yi Baiti"/>
        <a:font script="Syrc" typeface="Estrangelo Edessa"/>
        <a:font script="Hebr" typeface="Arial"/>
        <a:font script="Knda" typeface="Tunga"/>
        <a:font script="Arab" typeface="Arial"/>
        <a:font script="Cans" typeface="Euphemia"/>
        <a:font script="Telu" typeface="Gautami"/>
        <a:font script="Khmr" typeface="DaunPenh"/>
        <a:font script="Viet" typeface="Arial"/>
        <a:font script="Mlym" typeface="Kartika"/>
        <a:font script="Mong" typeface="Mongolian Baiti"/>
        <a:font script="Cher" typeface="Plantagenet Cherokee"/>
        <a:font script="Uigh" typeface="Microsoft Uighur"/>
        <a:font script="Taml" typeface="Latha"/>
        <a:font script="Sinh" typeface="Iskoola Pota"/>
        <a:font script="Gujr" typeface="Shruti"/>
        <a:font script="Jpan" typeface="ＭＳ 明朝"/>
        <a:font script="Tibt" typeface="Microsoft Himalaya"/>
        <a:font script="Thaa" typeface="MV Boli"/>
        <a:font script="Hang" typeface="맑은 고딕"/>
        <a:font script="Laoo" typeface="DokChampa"/>
        <a:font script="Hant" typeface="新細明體"/>
        <a:font script="Thai" typeface="Cordia New"/>
        <a:font script="Hans" typeface="宋体"/>
        <a:font script="Deva" typeface="Mangal"/>
        <a:font script="Ethi" typeface="Nyala"/>
        <a:font script="Orya" typeface="Kalinga"/>
        <a:font script="Beng" typeface="Vrinda"/>
        <a:font script="Guru" typeface="Raavi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377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Dörig Markus RK</cp:lastModifiedBy>
  <cp:revision>5</cp:revision>
  <cp:lastPrinted>2025-07-31T08:35:00Z</cp:lastPrinted>
  <dcterms:created xsi:type="dcterms:W3CDTF">2025-07-31T08:06:00Z</dcterms:created>
  <dcterms:modified xsi:type="dcterms:W3CDTF">2025-09-19T09:53:00Z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DocumentType">
    <vt:lpwstr>Synopse</vt:lpwstr>
  </property>
</Properties>
</file>