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Personalverordnung</w:t>
        <w:br/>
        <w:t>(PeV)</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172.310</w:t>
      </w:r>
    </w:p>
    <w:p>
      <w:pPr>
        <w:pStyle w:val="ZusammenfassungaufgehobeneErlasse"/>
        <w:bidi w:val="0"/>
      </w:pPr>
      <w:r>
        <w:t>Aufgehoben:</w:t>
        <w:tab/>
        <w:t>–</w:t>
      </w:r>
    </w:p>
    <w:p>
      <w:pPr>
        <w:pStyle w:val="Autor"/>
        <w:bidi w:val="0"/>
      </w:pPr>
      <w:r>
        <w:t>Der Grosse Rat,</w:t>
      </w:r>
    </w:p>
    <w:p>
      <w:pPr>
        <w:pStyle w:val="Grundlage"/>
        <w:bidi w:val="0"/>
      </w:pPr>
      <w:r>
        <w:t>gestützt auf Art. 24 des Staatsorganisationsgesetzes (SOG) vom ...,</w:t>
      </w:r>
    </w:p>
    <w:p>
      <w:pPr>
        <w:pStyle w:val="Aktion"/>
        <w:bidi w:val="0"/>
      </w:pPr>
      <w:r>
        <w:t>beschliesst:</w:t>
      </w:r>
    </w:p>
    <w:p>
      <w:pPr>
        <w:pStyle w:val="Abschnittstitel"/>
        <w:bidi w:val="0"/>
      </w:pPr>
      <w:r>
        <w:t>I.</w:t>
      </w:r>
    </w:p>
    <w:p>
      <w:pPr>
        <w:pStyle w:val="Nebenzitat"/>
        <w:bidi w:val="0"/>
        <w:rPr>
          <w:rStyle w:val="AenderungTitelText"/>
        </w:rPr>
      </w:pPr>
      <w:r>
        <w:t>Änderung Personalverordnung (PeV) vom 30. November 1998:</w:t>
      </w:r>
    </w:p>
    <w:p>
      <w:pPr>
        <w:pStyle w:val="Artikel-nderung"/>
        <w:bidi w:val="0"/>
        <w:rPr>
          <w:vertAlign w:val="superscript"/>
        </w:rPr>
      </w:pPr>
      <w:r>
        <w:rPr>
          <w:rStyle w:val="AenderungTitelText"/>
        </w:rPr>
        <w:t>Art.  1</w:t>
      </w:r>
      <w:r>
        <w:t> </w:t>
      </w:r>
      <w:r>
        <w:rPr>
          <w:rStyle w:val="AenderungTitelText"/>
        </w:rPr>
        <w:t>Abs. 2</w:t>
      </w:r>
      <w:r>
        <w:rPr>
          <w:rStyle w:val="ParagraphAenderungAnmerkung"/>
        </w:rPr>
        <w:t> (geändert)</w:t>
      </w:r>
    </w:p>
    <w:p>
      <w:pPr>
        <w:bidi w:val="0"/>
        <w:rPr>
          <w:rStyle w:val="AenderungTitelText"/>
        </w:rPr>
      </w:pPr>
      <w:r>
        <w:rPr>
          <w:vertAlign w:val="superscript"/>
        </w:rPr>
        <w:t>2</w:t>
      </w:r>
      <w:r>
        <w:t> Die Personalregelungen für die Mitarbeitenden des Kantons gelten sinngemäss auch für die Bezirke und die Gemeinden, sofern diese für sich keine abweichende Regelung haben oder für sie nicht anderweitige kantonale Regelungen bestehen.</w:t>
      </w:r>
    </w:p>
    <w:p>
      <w:pPr>
        <w:pStyle w:val="Artikel-nderung"/>
        <w:bidi w:val="0"/>
        <w:rPr>
          <w:rStyle w:val="ArtikelAenderungTitelaenderung"/>
        </w:rPr>
      </w:pPr>
      <w:r>
        <w:rPr>
          <w:rStyle w:val="AenderungTitelText"/>
        </w:rPr>
        <w:t>Art.  2</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(aufgehoben)</w:t>
      </w:r>
    </w:p>
    <w:p>
      <w:pPr>
        <w:pStyle w:val="Artikeltitel-nderung"/>
        <w:bidi w:val="0"/>
        <w:rPr>
          <w:vertAlign w:val="superscript"/>
        </w:rPr>
      </w:pPr>
      <w:r>
        <w:rPr>
          <w:rStyle w:val="ArtikelAenderungTitelaenderung"/>
        </w:rPr>
        <w:t>Ergänzendes Recht</w:t>
      </w:r>
      <w:r>
        <w:rPr>
          <w:rStyle w:val="ArtikelAenderungAnmerkung"/>
        </w:rPr>
        <w:t> (Überschrift geändert)</w:t>
      </w:r>
    </w:p>
    <w:p>
      <w:pPr>
        <w:bidi w:val="0"/>
        <w:rPr>
          <w:vertAlign w:val="superscript"/>
        </w:rPr>
      </w:pPr>
      <w:r>
        <w:rPr>
          <w:vertAlign w:val="superscript"/>
        </w:rPr>
        <w:t>1</w:t>
      </w:r>
      <w:r>
        <w:t> Soweit das kantonale Recht nichts anderes regelt, gelten die Bestimmungen des Schweizerischen Obligationenrechts sinngemäss.</w:t>
      </w:r>
    </w:p>
    <w:p>
      <w:pPr>
        <w:bidi w:val="0"/>
        <w:rPr>
          <w:rStyle w:val="AenderungTitelText"/>
        </w:rPr>
        <w:sectPr>
          <w:headerReference w:type="even" r:id="rId4"/>
          <w:headerReference w:type="default" r:id="rId5"/>
          <w:footerReference w:type="even" r:id="rId6"/>
          <w:footerReference w:type="default" r:id="rId7"/>
          <w:headerReference w:type="first" r:id="rId8"/>
          <w:footerReference w:type="first" r:id="rId9"/>
          <w:pgSz w:w="8391" w:h="11906"/>
          <w:pgMar w:top="1077" w:right="743" w:bottom="994" w:left="1531" w:header="907" w:footer="711"/>
          <w:pgNumType w:fmt="decimal"/>
          <w:cols w:space="720"/>
          <w:titlePg/>
          <w:textDirection w:val="tb"/>
          <w:bidi w:val="0"/>
          <w:docGrid w:linePitch="360" w:charSpace="36864"/>
        </w:sectPr>
      </w:pPr>
      <w:r>
        <w:rPr>
          <w:vertAlign w:val="superscript"/>
        </w:rPr>
        <w:t>2</w:t>
      </w:r>
      <w:r>
        <w:t> </w:t>
      </w:r>
      <w:r>
        <w:rPr>
          <w:rStyle w:val="ParagraphAusserKraftAnmerkung"/>
        </w:rPr>
        <w:t>Aufgehoben.</w:t>
      </w:r>
    </w:p>
    <w:p>
      <w:pPr>
        <w:pStyle w:val="Artikel-nderung"/>
        <w:bidi w:val="0"/>
        <w:rPr>
          <w:vertAlign w:val="superscript"/>
        </w:rPr>
      </w:pPr>
      <w:r>
        <w:rPr>
          <w:rStyle w:val="AenderungTitelText"/>
        </w:rPr>
        <w:t>Art.  3</w:t>
      </w:r>
      <w:r>
        <w:t> </w:t>
      </w:r>
      <w:r>
        <w:rPr>
          <w:rStyle w:val="AenderungTitelText"/>
        </w:rPr>
        <w:t>Abs. 1</w:t>
      </w:r>
      <w:r>
        <w:rPr>
          <w:rStyle w:val="ParagraphAenderungAnmerkung"/>
        </w:rPr>
        <w:t> (geändert)</w:t>
      </w:r>
    </w:p>
    <w:p>
      <w:pPr>
        <w:bidi w:val="0"/>
        <w:rPr>
          <w:rStyle w:val="AenderungTitelText"/>
        </w:rPr>
      </w:pPr>
      <w:r>
        <w:rPr>
          <w:vertAlign w:val="superscript"/>
        </w:rPr>
        <w:t>1</w:t>
      </w:r>
      <w:r>
        <w:t> Soweit das kantonale Recht nichts anderes regelt, liegen die Aufgaben, Kompetenzen und Verantwortungen im Personalbereich bei der Standeskommission.</w:t>
      </w:r>
    </w:p>
    <w:p>
      <w:pPr>
        <w:pStyle w:val="Artikel-nderung"/>
        <w:bidi w:val="0"/>
        <w:rPr>
          <w:rStyle w:val="ArtikelAusserKraftAnmerkung"/>
        </w:rPr>
      </w:pPr>
      <w:r>
        <w:rPr>
          <w:rStyle w:val="AenderungTitelText"/>
        </w:rPr>
        <w:t>Art.  7a</w:t>
      </w:r>
    </w:p>
    <w:p>
      <w:pPr>
        <w:bidi w:val="0"/>
        <w:rPr>
          <w:rStyle w:val="AenderungTitelText"/>
        </w:rPr>
      </w:pPr>
      <w:r>
        <w:rPr>
          <w:rStyle w:val="ArtikelAusserKraftAnmerkung"/>
        </w:rPr>
        <w:t>Aufgehoben.</w:t>
      </w:r>
    </w:p>
    <w:p>
      <w:pPr>
        <w:pStyle w:val="Artikel-nderung"/>
        <w:bidi w:val="0"/>
        <w:rPr>
          <w:rStyle w:val="ArtikelAenderungTitelaenderung"/>
        </w:rPr>
      </w:pPr>
      <w:r>
        <w:rPr>
          <w:rStyle w:val="AenderungTitelText"/>
        </w:rPr>
        <w:t>Art.  23a</w:t>
      </w:r>
      <w:r>
        <w:rPr>
          <w:rStyle w:val="ArtikelAenderungAnmerkung"/>
        </w:rPr>
        <w:t> (neu)</w:t>
      </w:r>
    </w:p>
    <w:p>
      <w:pPr>
        <w:pStyle w:val="Artikeltitel-nderung"/>
        <w:bidi w:val="0"/>
        <w:rPr>
          <w:vertAlign w:val="superscript"/>
        </w:rPr>
      </w:pPr>
      <w:r>
        <w:rPr>
          <w:rStyle w:val="ArtikelAenderungTitelaenderung"/>
        </w:rPr>
        <w:t>Unvereinbarkeit</w:t>
      </w:r>
    </w:p>
    <w:p>
      <w:pPr>
        <w:pStyle w:val="StandardvorAufzhlung"/>
        <w:bidi w:val="0"/>
      </w:pPr>
      <w:r>
        <w:rPr>
          <w:vertAlign w:val="superscript"/>
        </w:rPr>
        <w:t>1</w:t>
      </w:r>
      <w:r>
        <w:t> Mitarbeitende der kantonalen Verwaltung dürfen nicht dem Grossen Rat oder einem Gericht angehören, wenn:</w:t>
      </w:r>
    </w:p>
    <w:p>
      <w:pPr>
        <w:pStyle w:val="Liste1"/>
        <w:bidi w:val="0"/>
      </w:pPr>
      <w:r>
        <w:t>a)</w:t>
        <w:tab/>
        <w:t>sie als Ratschreiber oder Departementssekretär tätig sind;</w:t>
      </w:r>
    </w:p>
    <w:p>
      <w:pPr>
        <w:pStyle w:val="Liste1"/>
        <w:bidi w:val="0"/>
      </w:pPr>
      <w:r>
        <w:t>b)</w:t>
        <w:tab/>
        <w:t>sie ein Amt oder eine Dienststelle leiten;</w:t>
      </w:r>
    </w:p>
    <w:p>
      <w:pPr>
        <w:pStyle w:val="Liste1"/>
        <w:bidi w:val="0"/>
        <w:spacing w:before="0" w:after="113"/>
        <w:ind w:start="567" w:end="0" w:hanging="567"/>
        <w:rPr>
          <w:vertAlign w:val="superscript"/>
        </w:rPr>
      </w:pPr>
      <w:r>
        <w:t>c)</w:t>
        <w:tab/>
        <w:t>ihre Stelle mindestens der Funktionsstufe 10 zugewiesen ist.</w:t>
      </w:r>
    </w:p>
    <w:p>
      <w:pPr>
        <w:bidi w:val="0"/>
        <w:rPr>
          <w:rStyle w:val="AenderungTitelText"/>
        </w:rPr>
      </w:pPr>
      <w:r>
        <w:rPr>
          <w:vertAlign w:val="superscript"/>
        </w:rPr>
        <w:t>2</w:t>
      </w:r>
      <w:r>
        <w:t> Für Mitarbeitende der unselbständigen kantonalen Anstalten gilt die Regelung nach Abs. 1 sinngemäss.</w:t>
      </w:r>
    </w:p>
    <w:p>
      <w:pPr>
        <w:pStyle w:val="Artikel-nderung"/>
        <w:bidi w:val="0"/>
        <w:rPr>
          <w:rStyle w:val="ArtikelAenderungTitelaenderung"/>
        </w:rPr>
      </w:pPr>
      <w:r>
        <w:rPr>
          <w:rStyle w:val="AenderungTitelText"/>
        </w:rPr>
        <w:t>Art.  26</w:t>
      </w:r>
      <w:r>
        <w:t> </w:t>
      </w:r>
      <w:r>
        <w:rPr>
          <w:rStyle w:val="AenderungTitelText"/>
        </w:rPr>
        <w:t>Abs. 1</w:t>
      </w:r>
      <w:r>
        <w:rPr>
          <w:rStyle w:val="ParagraphAenderungAnmerkung"/>
        </w:rPr>
        <w:t> (aufgehoben)</w:t>
      </w:r>
      <w:r>
        <w:t xml:space="preserve">, </w:t>
      </w:r>
      <w:r>
        <w:rPr>
          <w:rStyle w:val="AenderungTitelText"/>
        </w:rPr>
        <w:t>Abs. 2</w:t>
      </w:r>
      <w:r>
        <w:rPr>
          <w:rStyle w:val="ParagraphAenderungAnmerkung"/>
        </w:rPr>
        <w:t> (aufgehoben)</w:t>
      </w:r>
    </w:p>
    <w:p>
      <w:pPr>
        <w:pStyle w:val="Artikeltitel-nderung"/>
        <w:bidi w:val="0"/>
        <w:rPr>
          <w:vertAlign w:val="superscript"/>
        </w:rPr>
      </w:pPr>
      <w:r>
        <w:rPr>
          <w:rStyle w:val="ArtikelAenderungTitelaenderung"/>
        </w:rPr>
        <w:t>Strafrechtliche Verantwortlichkeit</w:t>
      </w:r>
      <w:r>
        <w:rPr>
          <w:rStyle w:val="ArtikelAenderungAnmerkung"/>
        </w:rPr>
        <w:t> (Überschrift geändert)</w:t>
      </w:r>
    </w:p>
    <w:p>
      <w:pPr>
        <w:bidi w:val="0"/>
        <w:rPr>
          <w:vertAlign w:val="superscript"/>
        </w:rPr>
      </w:pPr>
      <w:r>
        <w:rPr>
          <w:vertAlign w:val="superscript"/>
        </w:rPr>
        <w:t>1</w:t>
      </w:r>
      <w:r>
        <w:t> </w:t>
      </w:r>
      <w:r>
        <w:rPr>
          <w:rStyle w:val="ParagraphAusserKraftAnmerkung"/>
        </w:rPr>
        <w:t>Aufgehoben.</w:t>
      </w:r>
    </w:p>
    <w:p>
      <w:pPr>
        <w:bidi w:val="0"/>
      </w:pPr>
      <w:r>
        <w:rPr>
          <w:vertAlign w:val="superscript"/>
        </w:rPr>
        <w:t>2</w:t>
      </w:r>
      <w:r>
        <w:t> </w:t>
      </w:r>
      <w:r>
        <w:rPr>
          <w:rStyle w:val="ParagraphAusserKraftAnmerkung"/>
        </w:rPr>
        <w:t>Aufgehoben.</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rPr>
          <w:b/>
          <w:sz w:val="24"/>
        </w:rPr>
      </w:pPr>
      <w:r>
        <w:t>Dieser Beschluss tritt am ... in Kraft.</w:t>
      </w:r>
    </w:p>
    <w:sectPr>
      <w:headerReference w:type="even" r:id="rId10"/>
      <w:headerReference w:type="default" r:id="rId11"/>
      <w:footerReference w:type="even" r:id="rId12"/>
      <w:footerReference w:type="default" r:id="rId13"/>
      <w:headerReference w:type="first" r:id="rId14"/>
      <w:footerReference w:type="first" r:id="rId15"/>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2</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3</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172.310-2025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172.310-2025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172.310-2025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172.310-2025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172.310-2025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4.xml" /><Relationship Id="rId11" Type="http://purl.oclc.org/ooxml/officeDocument/relationships/header" Target="header5.xml" /><Relationship Id="rId12" Type="http://purl.oclc.org/ooxml/officeDocument/relationships/footer" Target="footer4.xml" /><Relationship Id="rId13" Type="http://purl.oclc.org/ooxml/officeDocument/relationships/footer" Target="footer5.xml" /><Relationship Id="rId14" Type="http://purl.oclc.org/ooxml/officeDocument/relationships/header" Target="header6.xml" /><Relationship Id="rId15" Type="http://purl.oclc.org/ooxml/officeDocument/relationships/footer" Target="footer6.xml" /><Relationship Id="rId16" Type="http://purl.oclc.org/ooxml/officeDocument/relationships/theme" Target="theme/theme1.xml" /><Relationship Id="rId17"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header" Target="header2.xml" /><Relationship Id="rId6" Type="http://purl.oclc.org/ooxml/officeDocument/relationships/footer" Target="footer1.xml" /><Relationship Id="rId7" Type="http://purl.oclc.org/ooxml/officeDocument/relationships/footer" Target="footer2.xml" /><Relationship Id="rId8" Type="http://purl.oclc.org/ooxml/officeDocument/relationships/header" Target="header3.xml" /><Relationship Id="rId9" Type="http://purl.oclc.org/ooxml/officeDocument/relationships/footer" Target="foot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2025-09-25T11:59:12Z</dcterms:created>
</cp:coreProperties>
</file>