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purl.oclc.org/ooxml/officeDocument/relationships/officeDocument" Target="word/document.xml" /><Relationship Id="rId2" Type="http://purl.oclc.org/ooxml/officeDocument/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conformance="strict">
  <!-- Generated by Aspose.Words for Java 20.12.0 -->
  <w:background w:color="ffffff">
    <mc:AlternateContent>
      <mc:Choice Requires="v">
        <v:background id="_x0000_s1025" filled="t">
          <v:shadow color="#020000"/>
        </v:background>
      </mc:Choice>
      <mc:Fallback>
        <w:drawing>
          <wp:anchor distT="0" distB="0" distL="114300" distR="114300" simplePos="0" relativeHeight="0" behindDoc="0" locked="0" layoutInCell="1" allowOverlap="1">
            <wp:simplePos x="0" y="0"/>
            <wp:positionH relativeFrom="column">
              <wp:posOffset>0</wp:posOffset>
            </wp:positionH>
            <wp:positionV relativeFrom="paragraph">
              <wp:posOffset>0</wp:posOffset>
            </wp:positionV>
            <wp:extent cx="0" cy="0"/>
            <wp:effectExtent l="0" t="0" r="0" b="0"/>
            <wp:wrapNone/>
            <wp:docPr id="1025" name="Rectangle 1025">
              <a:extLst xmlns:a="http://purl.oclc.org/ooxml/drawingml/main">
                <a:ext xmlns:a="http://purl.oclc.org/ooxml/drawingml/main" uri="{A998136B-4AC2-44c3-8CCF-79AB77ABDD1D}">
                  <a15:backgroundPr xmlns:a15="http://schemas.microsoft.com/office/drawing/2012/main" bwMode="white" bwNormal="auto" bwPure="auto" targetScreenSize="1024x768"/>
                </a:ext>
              </a:extLst>
            </wp:docPr>
            <wp:cNvGraphicFramePr/>
            <a:graphic xmlns:a="http://purl.oclc.org/ooxml/drawingml/main">
              <a:graphicData uri="http://schemas.microsoft.com/office/word/2010/wordprocessingShape">
                <wp:wsp>
                  <wp:cNvSpPr>
                    <a:spLocks noChangeArrowheads="1"/>
                  </wp:cNvSpPr>
                  <wp:spPr bwMode="auto">
                    <a:xfrm>
                      <a:off x="0" y="0"/>
                      <a:ext cx="0" cy="0"/>
                    </a:xfrm>
                    <a:prstGeom prst="rect">
                      <a:avLst/>
                    </a:prstGeom>
                    <a:solidFill>
                      <a:srgbClr val="FFFFFF"/>
                    </a:solidFill>
                    <a:ln>
                      <a:noFill/>
                    </a:ln>
                    <a:extLst>
                      <a:ext xmlns:a="http://purl.oclc.org/ooxml/drawingml/main" uri="{91240B29-F687-4F45-9708-019B960494DF}">
                        <a14:hiddenLine xmlns:a14="http://schemas.microsoft.com/office/drawing/2010/main" w="0">
                          <a:solidFill>
                            <a:srgbClr val="010000"/>
                          </a:solidFill>
                          <a:prstDash val="solid"/>
                          <a:miter lim="800%"/>
                          <a:headEnd/>
                          <a:tailEnd/>
                        </a14:hiddenLine>
                      </a:ext>
                    </a:extLst>
                  </wp:spPr>
                  <wp:bodyPr rot="0" vert="horz" wrap="square" lIns="91440" tIns="45720" rIns="91440" bIns="45720" anchor="t" anchorCtr="0" upright="1"/>
                </wp:wsp>
              </a:graphicData>
            </a:graphic>
          </wp:anchor>
        </w:drawing>
      </mc:Fallback>
    </mc:AlternateContent>
  </w:background>
  <w:body>
    <w:p>
      <w:pPr>
        <w:pBdr>
          <w:top w:val="none" w:sz="0" w:space="0" w:color="000000"/>
          <w:left w:val="none" w:sz="0" w:space="0" w:color="000000"/>
          <w:bottom w:val="none" w:sz="0" w:space="0" w:color="000000"/>
          <w:right w:val="none" w:sz="0" w:space="0" w:color="000000"/>
        </w:pBdr>
        <w:tabs>
          <w:tab w:val="end" w:pos="6151"/>
        </w:tabs>
        <w:bidi w:val="0"/>
        <w:spacing w:before="397" w:after="120"/>
        <w:ind w:start="28" w:end="28" w:firstLine="0"/>
        <w:rPr>
          <w:vanish/>
          <w:sz w:val="6"/>
        </w:rPr>
      </w:pPr>
    </w:p>
    <w:p>
      <w:pPr>
        <w:pStyle w:val="TitelArbeitsversion"/>
        <w:bidi w:val="0"/>
      </w:pPr>
      <w:r>
        <w:t>Arbeitsversion</w:t>
      </w:r>
    </w:p>
    <w:p>
      <w:pPr>
        <w:pStyle w:val="Erlasstitel"/>
        <w:bidi w:val="0"/>
      </w:pPr>
      <w:r>
        <w:t>Revision Verordnung über ausserordentliche Urnenabstimmungen</w:t>
        <w:br/>
        <w:t>(VaU)</w:t>
      </w:r>
    </w:p>
    <w:p>
      <w:pPr>
        <w:pStyle w:val="Datum"/>
        <w:bidi w:val="0"/>
      </w:pPr>
      <w:r>
        <w:t>Änderung vom [Datum]</w:t>
      </w:r>
    </w:p>
    <w:p>
      <w:pPr>
        <w:pStyle w:val="ZusammenfassungEinleitung"/>
        <w:bidi w:val="0"/>
      </w:pPr>
      <w:r>
        <w:t>Von diesem Geschäft tangierte Erlasse (GS Nummern)</w:t>
      </w:r>
    </w:p>
    <w:p>
      <w:pPr>
        <w:pStyle w:val="ZusammenfassungneueErlasse"/>
        <w:bidi w:val="0"/>
      </w:pPr>
      <w:r>
        <w:t>Neu:</w:t>
        <w:tab/>
        <w:t>–</w:t>
      </w:r>
    </w:p>
    <w:p>
      <w:pPr>
        <w:pStyle w:val="ZusammenfassunggenderteErlasse"/>
        <w:bidi w:val="0"/>
      </w:pPr>
      <w:r>
        <w:t>Geändert:</w:t>
        <w:tab/>
      </w:r>
      <w:r>
        <w:rPr>
          <w:rStyle w:val="ZusammenfassungHauptnderung"/>
        </w:rPr>
        <w:t>160.020</w:t>
      </w:r>
    </w:p>
    <w:p>
      <w:pPr>
        <w:pStyle w:val="ZusammenfassungaufgehobeneErlasse"/>
        <w:bidi w:val="0"/>
      </w:pPr>
      <w:r>
        <w:t>Aufgehoben:</w:t>
        <w:tab/>
        <w:t>–</w:t>
      </w:r>
    </w:p>
    <w:p>
      <w:pPr>
        <w:pStyle w:val="Autor"/>
        <w:bidi w:val="0"/>
      </w:pPr>
      <w:r>
        <w:t>Der Grosse Rat von Appenzell I.Rh.,</w:t>
      </w:r>
    </w:p>
    <w:p>
      <w:pPr>
        <w:pStyle w:val="Grundlage"/>
        <w:bidi w:val="0"/>
      </w:pPr>
      <w:r>
        <w:t>in Revision der Verordnung über ausserordentliche Urnenabstimmungen (VaU) vom 8. Februar 2021,</w:t>
      </w:r>
    </w:p>
    <w:p>
      <w:pPr>
        <w:pStyle w:val="Aktion"/>
        <w:bidi w:val="0"/>
      </w:pPr>
      <w:r>
        <w:t>beschliesst:</w:t>
      </w:r>
    </w:p>
    <w:p>
      <w:pPr>
        <w:pStyle w:val="Abschnittstitel"/>
        <w:bidi w:val="0"/>
      </w:pPr>
      <w:r>
        <w:t>I.</w:t>
      </w:r>
    </w:p>
    <w:p>
      <w:pPr>
        <w:pStyle w:val="Nebenzitat"/>
        <w:bidi w:val="0"/>
        <w:rPr>
          <w:rStyle w:val="IngressAenderungElement"/>
          <w:sz w:val="18"/>
        </w:rPr>
      </w:pPr>
      <w:r>
        <w:t>Änderung Verordnung über ausserordentliche Urnenabstimmungen (VaU) vom 8. Februar 2021:</w:t>
      </w:r>
    </w:p>
    <w:p>
      <w:pPr>
        <w:keepNext/>
        <w:bidi w:val="0"/>
        <w:spacing w:before="283" w:after="0"/>
      </w:pPr>
      <w:r>
        <w:rPr>
          <w:rStyle w:val="IngressAenderungElement"/>
          <w:sz w:val="18"/>
        </w:rPr>
        <w:t>Titel</w:t>
      </w:r>
      <w:r>
        <w:rPr>
          <w:b/>
          <w:sz w:val="18"/>
        </w:rPr>
        <w:t xml:space="preserve"> </w:t>
      </w:r>
      <w:r>
        <w:rPr>
          <w:rStyle w:val="IngressAenderungAktion"/>
          <w:sz w:val="18"/>
        </w:rPr>
        <w:t>(geändert)</w:t>
      </w:r>
    </w:p>
    <w:p>
      <w:pPr>
        <w:bidi w:val="0"/>
        <w:jc w:val="start"/>
        <w:rPr>
          <w:rStyle w:val="AenderungTitelText"/>
        </w:rPr>
      </w:pPr>
      <w:r>
        <w:t>Verordnung über ausserordentliche Urnenabstimmungen (VAU)</w:t>
      </w:r>
    </w:p>
    <w:p>
      <w:pPr>
        <w:pStyle w:val="Artikel-nderung"/>
        <w:bidi w:val="0"/>
        <w:rPr>
          <w:vertAlign w:val="superscript"/>
        </w:rPr>
      </w:pPr>
      <w:r>
        <w:rPr>
          <w:rStyle w:val="AenderungTitelText"/>
        </w:rPr>
        <w:t>Art.  1</w:t>
      </w:r>
      <w:r>
        <w:t> </w:t>
      </w:r>
      <w:r>
        <w:rPr>
          <w:rStyle w:val="AenderungTitelText"/>
        </w:rPr>
        <w:t>Abs. 1</w:t>
      </w:r>
      <w:r>
        <w:rPr>
          <w:rStyle w:val="ParagraphAenderungAnmerkung"/>
        </w:rPr>
        <w:t> (geändert)</w:t>
      </w:r>
      <w:r>
        <w:t xml:space="preserve">, </w:t>
      </w:r>
      <w:r>
        <w:rPr>
          <w:rStyle w:val="AenderungTitelText"/>
        </w:rPr>
        <w:t>Abs. 2</w:t>
      </w:r>
      <w:r>
        <w:rPr>
          <w:rStyle w:val="ParagraphAenderungAnmerkung"/>
        </w:rPr>
        <w:t> (geändert)</w:t>
      </w:r>
      <w:r>
        <w:t xml:space="preserve">, </w:t>
      </w:r>
      <w:r>
        <w:rPr>
          <w:rStyle w:val="AenderungTitelText"/>
        </w:rPr>
        <w:t>Abs. 3</w:t>
      </w:r>
      <w:r>
        <w:rPr>
          <w:rStyle w:val="ParagraphAenderungAnmerkung"/>
        </w:rPr>
        <w:t> (neu)</w:t>
      </w:r>
    </w:p>
    <w:p>
      <w:pPr>
        <w:bidi w:val="0"/>
        <w:rPr>
          <w:vertAlign w:val="superscript"/>
        </w:rPr>
      </w:pPr>
      <w:r>
        <w:rPr>
          <w:vertAlign w:val="superscript"/>
        </w:rPr>
        <w:t>1</w:t>
      </w:r>
      <w:r>
        <w:t> Diese Verordnung regelt das Erforderliche für Urnenabstimmungen, die als Ersatz für ausserordentlicherweise ausfallende Landsgemeinden, Bezirksgemeinden oder Gemeindeversammlungen durchgeführt werden.</w:t>
      </w:r>
    </w:p>
    <w:p>
      <w:pPr>
        <w:bidi w:val="0"/>
        <w:rPr>
          <w:vertAlign w:val="superscript"/>
        </w:rPr>
      </w:pPr>
      <w:r>
        <w:rPr>
          <w:vertAlign w:val="superscript"/>
        </w:rPr>
        <w:t>2</w:t>
      </w:r>
      <w:r>
        <w:t> Sie gilt für ausserordentliche Wahlen und Sachabstimmungen des Kantons, der Bezirke und der Gemeinden.</w:t>
      </w:r>
    </w:p>
    <w:p>
      <w:pPr>
        <w:bidi w:val="0"/>
        <w:rPr>
          <w:rStyle w:val="AenderungTitelText"/>
        </w:rPr>
        <w:sectPr>
          <w:headerReference w:type="even" r:id="rId4"/>
          <w:headerReference w:type="default" r:id="rId5"/>
          <w:footerReference w:type="even" r:id="rId6"/>
          <w:footerReference w:type="default" r:id="rId7"/>
          <w:headerReference w:type="first" r:id="rId8"/>
          <w:footerReference w:type="first" r:id="rId9"/>
          <w:pgSz w:w="8391" w:h="11906"/>
          <w:pgMar w:top="1077" w:right="743" w:bottom="994" w:left="1531" w:header="907" w:footer="711"/>
          <w:pgNumType w:fmt="decimal"/>
          <w:cols w:space="720"/>
          <w:titlePg/>
          <w:textDirection w:val="tb"/>
          <w:bidi w:val="0"/>
          <w:docGrid w:linePitch="360" w:charSpace="36864"/>
        </w:sectPr>
      </w:pPr>
      <w:r>
        <w:rPr>
          <w:vertAlign w:val="superscript"/>
        </w:rPr>
        <w:t>3</w:t>
      </w:r>
      <w:r>
        <w:t> Als Gemeinden gelten die Schul- und Kirchgemeinden sowie die Feuerschaugemeinde.</w:t>
      </w:r>
    </w:p>
    <w:p>
      <w:pPr>
        <w:pStyle w:val="Artikel-nderung"/>
        <w:bidi w:val="0"/>
        <w:rPr>
          <w:rStyle w:val="ArtikelAenderungTitelaenderung"/>
        </w:rPr>
      </w:pPr>
      <w:r>
        <w:rPr>
          <w:rStyle w:val="AenderungTitelText"/>
        </w:rPr>
        <w:t>Art.  2</w:t>
      </w:r>
      <w:r>
        <w:t> </w:t>
      </w:r>
      <w:r>
        <w:rPr>
          <w:rStyle w:val="AenderungTitelText"/>
        </w:rPr>
        <w:t>Abs. 1</w:t>
      </w:r>
      <w:r>
        <w:rPr>
          <w:rStyle w:val="ParagraphAenderungAnmerkung"/>
        </w:rPr>
        <w:t> (aufgehoben)</w:t>
      </w:r>
      <w:r>
        <w:t xml:space="preserve">, </w:t>
      </w:r>
      <w:r>
        <w:rPr>
          <w:rStyle w:val="AenderungTitelText"/>
        </w:rPr>
        <w:t>Abs. 2</w:t>
      </w:r>
      <w:r>
        <w:rPr>
          <w:rStyle w:val="ParagraphAenderungAnmerkung"/>
        </w:rPr>
        <w:t> (aufgehoben)</w:t>
      </w:r>
      <w:r>
        <w:t xml:space="preserve">, </w:t>
      </w:r>
      <w:r>
        <w:rPr>
          <w:rStyle w:val="AenderungTitelText"/>
        </w:rPr>
        <w:t>Abs. 3</w:t>
      </w:r>
      <w:r>
        <w:rPr>
          <w:rStyle w:val="ParagraphAenderungAnmerkung"/>
        </w:rPr>
        <w:t> (geändert)</w:t>
      </w:r>
    </w:p>
    <w:p>
      <w:pPr>
        <w:pStyle w:val="Artikeltitel-nderung"/>
        <w:bidi w:val="0"/>
        <w:rPr>
          <w:vertAlign w:val="superscript"/>
        </w:rPr>
      </w:pPr>
      <w:r>
        <w:rPr>
          <w:rStyle w:val="ArtikelAenderungTitelaenderung"/>
        </w:rPr>
        <w:t>Anhörungs- und Antragsrecht</w:t>
      </w:r>
      <w:r>
        <w:rPr>
          <w:rStyle w:val="ArtikelAenderungAnmerkung"/>
        </w:rPr>
        <w:t> (Überschrift geändert)</w:t>
      </w:r>
    </w:p>
    <w:p>
      <w:pPr>
        <w:bidi w:val="0"/>
        <w:rPr>
          <w:vertAlign w:val="superscript"/>
        </w:rPr>
      </w:pPr>
      <w:r>
        <w:rPr>
          <w:vertAlign w:val="superscript"/>
        </w:rPr>
        <w:t>1</w:t>
      </w:r>
      <w:r>
        <w:t> </w:t>
      </w:r>
      <w:r>
        <w:rPr>
          <w:rStyle w:val="ParagraphAusserKraftAnmerkung"/>
        </w:rPr>
        <w:t>Aufgehoben.</w:t>
      </w:r>
    </w:p>
    <w:p>
      <w:pPr>
        <w:bidi w:val="0"/>
        <w:rPr>
          <w:vertAlign w:val="superscript"/>
        </w:rPr>
      </w:pPr>
      <w:r>
        <w:rPr>
          <w:vertAlign w:val="superscript"/>
        </w:rPr>
        <w:t>2</w:t>
      </w:r>
      <w:r>
        <w:t> </w:t>
      </w:r>
      <w:r>
        <w:rPr>
          <w:rStyle w:val="ParagraphAusserKraftAnmerkung"/>
        </w:rPr>
        <w:t>Aufgehoben.</w:t>
      </w:r>
    </w:p>
    <w:p>
      <w:pPr>
        <w:bidi w:val="0"/>
        <w:rPr>
          <w:rStyle w:val="AenderungTitelText"/>
        </w:rPr>
      </w:pPr>
      <w:r>
        <w:rPr>
          <w:vertAlign w:val="superscript"/>
        </w:rPr>
        <w:t>3</w:t>
      </w:r>
      <w:r>
        <w:t> Ordnet die Standeskommission für Bezirksgemeinden oder Gemeindeversammlungen Notmassnahmen an, haben die betroffenen Körperschaften ein Anhörungs- und Antragsrecht; bei Dringlichkeit kann auf eine Anhörung verzichtet werden.</w:t>
      </w:r>
    </w:p>
    <w:p>
      <w:pPr>
        <w:pStyle w:val="Artikel-nderung"/>
        <w:bidi w:val="0"/>
        <w:rPr>
          <w:rStyle w:val="ArtikelAusserKraftAnmerkung"/>
        </w:rPr>
      </w:pPr>
      <w:r>
        <w:rPr>
          <w:rStyle w:val="AenderungTitelText"/>
        </w:rPr>
        <w:t>Art.  3</w:t>
      </w:r>
    </w:p>
    <w:p>
      <w:pPr>
        <w:bidi w:val="0"/>
        <w:rPr>
          <w:rStyle w:val="AenderungTitelText"/>
        </w:rPr>
      </w:pPr>
      <w:r>
        <w:rPr>
          <w:rStyle w:val="ArtikelAusserKraftAnmerkung"/>
        </w:rPr>
        <w:t>Aufgehoben.</w:t>
      </w:r>
    </w:p>
    <w:p>
      <w:pPr>
        <w:pStyle w:val="Artikel-nderung"/>
        <w:bidi w:val="0"/>
        <w:rPr>
          <w:rStyle w:val="ArtikelAenderungTitelaenderung"/>
        </w:rPr>
      </w:pPr>
      <w:r>
        <w:rPr>
          <w:rStyle w:val="AenderungTitelText"/>
        </w:rPr>
        <w:t>Art.  5</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(aufgehoben)</w:t>
      </w:r>
    </w:p>
    <w:p>
      <w:pPr>
        <w:pStyle w:val="Artikeltitel-nderung"/>
        <w:bidi w:val="0"/>
        <w:rPr>
          <w:vertAlign w:val="superscript"/>
        </w:rPr>
      </w:pPr>
      <w:r>
        <w:rPr>
          <w:rStyle w:val="ArtikelAenderungTitelaenderung"/>
        </w:rPr>
        <w:t>Stimmberechtigung und Stimmrechtsausweis</w:t>
      </w:r>
      <w:r>
        <w:rPr>
          <w:rStyle w:val="ArtikelAenderungAnmerkung"/>
        </w:rPr>
        <w:t> (Überschrift geändert)</w:t>
      </w:r>
    </w:p>
    <w:p>
      <w:pPr>
        <w:bidi w:val="0"/>
        <w:rPr>
          <w:vertAlign w:val="superscript"/>
        </w:rPr>
      </w:pPr>
      <w:r>
        <w:rPr>
          <w:vertAlign w:val="superscript"/>
        </w:rPr>
        <w:t>2</w:t>
      </w:r>
      <w:r>
        <w:t> Wird gleichzeitig eine eidgenössische Abstimmung und eine ausserordentliche Urnenabstimmung im Kanton, in einem Bezirk oder einer Gemeinde abgehalten, können die Stimmrechtsausweise für die eidgenössische Abstimmung auch für die ausserordentlichen Urnenabstimmungen verwendet werden.</w:t>
      </w:r>
    </w:p>
    <w:p>
      <w:pPr>
        <w:bidi w:val="0"/>
        <w:rPr>
          <w:rStyle w:val="AenderungTitelText"/>
        </w:rPr>
      </w:pPr>
      <w:r>
        <w:rPr>
          <w:vertAlign w:val="superscript"/>
        </w:rPr>
        <w:t>3</w:t>
      </w:r>
      <w:r>
        <w:t> </w:t>
      </w:r>
      <w:r>
        <w:rPr>
          <w:rStyle w:val="ParagraphAusserKraftAnmerkung"/>
        </w:rPr>
        <w:t>Aufgehoben.</w:t>
      </w:r>
    </w:p>
    <w:p>
      <w:pPr>
        <w:pStyle w:val="Artikel-nderung"/>
        <w:bidi w:val="0"/>
        <w:rPr>
          <w:vertAlign w:val="superscript"/>
        </w:rPr>
      </w:pPr>
      <w:r>
        <w:rPr>
          <w:rStyle w:val="AenderungTitelText"/>
        </w:rPr>
        <w:t>Art.  6</w:t>
      </w:r>
      <w:r>
        <w:t> </w:t>
      </w:r>
      <w:r>
        <w:rPr>
          <w:rStyle w:val="AenderungTitelText"/>
        </w:rPr>
        <w:t>Abs. 2</w:t>
      </w:r>
      <w:r>
        <w:rPr>
          <w:rStyle w:val="ParagraphAenderungAnmerkung"/>
        </w:rPr>
        <w:t> (geändert)</w:t>
      </w:r>
      <w:r>
        <w:t xml:space="preserve">, </w:t>
      </w:r>
      <w:r>
        <w:rPr>
          <w:rStyle w:val="AenderungTitelText"/>
        </w:rPr>
        <w:t>Abs. 3</w:t>
      </w:r>
      <w:r>
        <w:rPr>
          <w:rStyle w:val="ParagraphAenderungAnmerkung"/>
        </w:rPr>
        <w:t> (geändert)</w:t>
      </w:r>
    </w:p>
    <w:p>
      <w:pPr>
        <w:bidi w:val="0"/>
        <w:rPr>
          <w:vertAlign w:val="superscript"/>
        </w:rPr>
      </w:pPr>
      <w:r>
        <w:rPr>
          <w:vertAlign w:val="superscript"/>
        </w:rPr>
        <w:t>2</w:t>
      </w:r>
      <w:r>
        <w:t> Die Gemeinden besorgen die Durchführung ihrer eigenen Urnenabstimmungen. Sie sorgen für die notwendigen organisatorischen Vorkehrungen, wobei sie die Durchführung vertraglich einem Bezirk übertragen können.</w:t>
      </w:r>
    </w:p>
    <w:p>
      <w:pPr>
        <w:bidi w:val="0"/>
        <w:rPr>
          <w:rStyle w:val="AenderungTitelText"/>
        </w:rPr>
      </w:pPr>
      <w:r>
        <w:rPr>
          <w:vertAlign w:val="superscript"/>
        </w:rPr>
        <w:t>3</w:t>
      </w:r>
      <w:r>
        <w:t> Die Standeskommission kann für die Abstimmungen der Gemeinden das Weitere regeln.</w:t>
      </w:r>
    </w:p>
    <w:p>
      <w:pPr>
        <w:pStyle w:val="Artikel-nderung"/>
        <w:bidi w:val="0"/>
        <w:rPr>
          <w:rStyle w:val="ArtikelAusserKraftAnmerkung"/>
        </w:rPr>
      </w:pPr>
      <w:r>
        <w:rPr>
          <w:rStyle w:val="AenderungTitelText"/>
        </w:rPr>
        <w:t>Art.  11</w:t>
      </w:r>
    </w:p>
    <w:p>
      <w:pPr>
        <w:bidi w:val="0"/>
        <w:rPr>
          <w:rStyle w:val="AenderungTitelText"/>
        </w:rPr>
      </w:pPr>
      <w:r>
        <w:rPr>
          <w:rStyle w:val="ArtikelAusserKraftAnmerkung"/>
        </w:rPr>
        <w:t>Aufgehoben.</w:t>
      </w:r>
    </w:p>
    <w:p>
      <w:pPr>
        <w:pStyle w:val="Artikel-nderung"/>
        <w:bidi w:val="0"/>
        <w:rPr>
          <w:vertAlign w:val="superscript"/>
        </w:rPr>
      </w:pPr>
      <w:r>
        <w:rPr>
          <w:rStyle w:val="AenderungTitelText"/>
        </w:rPr>
        <w:t>Art.  14</w:t>
      </w:r>
      <w:r>
        <w:t> </w:t>
      </w:r>
      <w:r>
        <w:rPr>
          <w:rStyle w:val="AenderungTitelText"/>
        </w:rPr>
        <w:t>Abs. 1</w:t>
      </w:r>
      <w:r>
        <w:rPr>
          <w:rStyle w:val="ParagraphAenderungAnmerkung"/>
        </w:rPr>
        <w:t> (geändert)</w:t>
      </w:r>
    </w:p>
    <w:p>
      <w:pPr>
        <w:bidi w:val="0"/>
      </w:pPr>
      <w:r>
        <w:rPr>
          <w:vertAlign w:val="superscript"/>
        </w:rPr>
        <w:t>1</w:t>
      </w:r>
      <w:r>
        <w:t> Als Tag des Amtsantritts gilt der Tag nach dem Urnengang, in dem man gewählt wurde. Die Standeskommission kann in begründeten Fällen eine abweichende Festlegung vornehmen.</w:t>
      </w:r>
    </w:p>
    <w:p>
      <w:pPr>
        <w:pStyle w:val="Abschnittstitel"/>
        <w:bidi w:val="0"/>
      </w:pPr>
      <w:r>
        <w:t>II.</w:t>
      </w:r>
    </w:p>
    <w:p>
      <w:pPr>
        <w:pStyle w:val="EmptySectionRemark"/>
        <w:bidi w:val="0"/>
      </w:pPr>
      <w:r>
        <w:t>Keine Fremdänderungen.</w:t>
      </w:r>
    </w:p>
    <w:p>
      <w:pPr>
        <w:pStyle w:val="Abschnittstitel"/>
        <w:bidi w:val="0"/>
      </w:pPr>
      <w:r>
        <w:t>III.</w:t>
      </w:r>
    </w:p>
    <w:p>
      <w:pPr>
        <w:pStyle w:val="EmptySectionRemark"/>
        <w:bidi w:val="0"/>
      </w:pPr>
      <w:r>
        <w:t>Keine Fremdaufhebungen.</w:t>
      </w:r>
    </w:p>
    <w:p>
      <w:pPr>
        <w:pStyle w:val="Abschnittstitel"/>
        <w:bidi w:val="0"/>
      </w:pPr>
      <w:r>
        <w:t>IV.</w:t>
      </w:r>
    </w:p>
    <w:p>
      <w:pPr>
        <w:pStyle w:val="InkrafttretensklauselErsterAbsatz"/>
        <w:bidi w:val="0"/>
        <w:spacing w:before="0" w:after="0"/>
        <w:rPr>
          <w:b/>
          <w:sz w:val="24"/>
        </w:rPr>
      </w:pPr>
      <w:r>
        <w:t>Dieser Beschluss tritt am ... in Kraft.</w:t>
      </w:r>
    </w:p>
    <w:sectPr>
      <w:headerReference w:type="even" r:id="rId10"/>
      <w:headerReference w:type="default" r:id="rId11"/>
      <w:footerReference w:type="even" r:id="rId12"/>
      <w:footerReference w:type="default" r:id="rId13"/>
      <w:headerReference w:type="first" r:id="rId14"/>
      <w:footerReference w:type="first" r:id="rId15"/>
      <w:pgSz w:w="8391" w:h="11906"/>
      <w:pgMar w:top="1871" w:right="743" w:bottom="994" w:left="1531" w:header="907" w:footer="711"/>
      <w:pgNumType w:fmt="decimal"/>
      <w:cols w:space="720"/>
      <w:textDirection w:val="tb"/>
      <w:bidi w:val="0"/>
      <w:docGrid w:linePitch="360" w:charSpace="36864"/>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Times New Roman">
    <w:panose1 w:val="00000000000000000000"/>
    <w:charset w:characterSet="iso-8859-1"/>
    <w:family w:val="roman"/>
    <w:pitch w:val="variable"/>
    <w:sig w:usb0="00000000" w:usb1="00000000" w:usb2="00000000" w:usb3="00000000" w:csb0="00000000" w:csb1="00000000"/>
  </w:font>
  <w:font w:name="Symbol">
    <w:panose1 w:val="00000000000000000000"/>
    <w:family w:val="roman"/>
    <w:pitch w:val="variable"/>
    <w:sig w:usb0="00000000" w:usb1="00000000" w:usb2="00000000" w:usb3="00000000" w:csb0="00000000" w:csb1="00000000"/>
  </w:font>
  <w:font w:name="Arial">
    <w:panose1 w:val="00000000000000000000"/>
    <w:family w:val="swiss"/>
    <w:pitch w:val="variable"/>
    <w:sig w:usb0="00000000" w:usb1="00000000" w:usb2="00000000" w:usb3="00000000" w:csb0="00000000" w:csb1="00000000"/>
  </w:font>
  <w:font w:name="Liberation Serif">
    <w:altName w:val="Times New Roman"/>
    <w:panose1 w:val="00000000000000000000"/>
    <w:family w:val="roman"/>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0</w:t>
    </w:r>
    <w:r>
      <w:rPr>
        <w:color w:val="auto"/>
        <w:position w:val="0"/>
        <w:sz w:val="18"/>
        <w:vertAlign w:val="baseline"/>
        <w:lang w:val="de-CH"/>
      </w:rPr>
      <w:fldChar w:fldCharType="end"/>
    </w:r>
  </w:p>
  <w:p>
    <w:pPr>
      <w:pStyle w:val="Footer"/>
      <w:bidi w:val="0"/>
      <w:jc w:val="star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1</w:t>
    </w:r>
    <w:r>
      <w:rPr>
        <w:color w:val="auto"/>
        <w:position w:val="0"/>
        <w:sz w:val="18"/>
        <w:vertAlign w:val="baseline"/>
        <w:lang w:val="de-CH"/>
      </w:rPr>
      <w:fldChar w:fldCharType="end"/>
    </w:r>
  </w:p>
  <w:p>
    <w:pPr>
      <w:pStyle w:val="Footer"/>
      <w:bidi w:val="0"/>
      <w:jc w:val="star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96"/>
      </w:tabs>
      <w:bidi w:val="0"/>
      <w:spacing w:before="0" w:after="6"/>
      <w:ind w:start="-1134" w:end="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2</w:t>
    </w:r>
    <w:r>
      <w:rPr>
        <w:color w:val="auto"/>
        <w:position w:val="0"/>
        <w:sz w:val="18"/>
        <w:vertAlign w:val="baseline"/>
        <w:lang w:val="de-CH"/>
      </w:rPr>
      <w:fldChar w:fldCharType="end"/>
    </w:r>
  </w:p>
  <w:p>
    <w:pPr>
      <w:pStyle w:val="Footer"/>
      <w:bidi w:val="0"/>
      <w:jc w:val="star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tabs>
        <w:tab w:val="end" w:pos="6123"/>
      </w:tabs>
      <w:bidi w:val="0"/>
      <w:spacing w:before="0" w:after="6"/>
      <w:ind w:start="0" w:end="-1080" w:firstLine="0"/>
      <w:jc w:val="start"/>
    </w:pPr>
    <w:r>
      <w:rPr>
        <w:color w:val="auto"/>
        <w:sz w:val="18"/>
        <w:lang w:val="de-CH"/>
      </w:rPr>
      <w:tab/>
    </w:r>
    <w:r>
      <w:rPr>
        <w:color w:val="auto"/>
        <w:position w:val="0"/>
        <w:sz w:val="18"/>
        <w:vertAlign w:val="baseline"/>
        <w:lang w:val="de-CH"/>
      </w:rPr>
      <w:fldChar w:fldCharType="begin"/>
    </w:r>
    <w:r>
      <w:rPr>
        <w:color w:val="auto"/>
        <w:position w:val="0"/>
        <w:sz w:val="18"/>
        <w:vertAlign w:val="baseline"/>
        <w:lang w:val="de-CH"/>
      </w:rPr>
      <w:instrText xml:space="preserve"> PAGE </w:instrText>
    </w:r>
    <w:r>
      <w:rPr>
        <w:color w:val="auto"/>
        <w:position w:val="0"/>
        <w:sz w:val="18"/>
        <w:vertAlign w:val="baseline"/>
        <w:lang w:val="de-CH"/>
      </w:rPr>
      <w:fldChar w:fldCharType="separate"/>
    </w:r>
    <w:r>
      <w:rPr>
        <w:color w:val="auto"/>
        <w:position w:val="0"/>
        <w:sz w:val="18"/>
        <w:vertAlign w:val="baseline"/>
        <w:lang w:val="de-CH"/>
      </w:rPr>
      <w:t>3</w:t>
    </w:r>
    <w:r>
      <w:rPr>
        <w:color w:val="auto"/>
        <w:position w:val="0"/>
        <w:sz w:val="18"/>
        <w:vertAlign w:val="baseline"/>
        <w:lang w:val="de-CH"/>
      </w:rPr>
      <w:fldChar w:fldCharType="end"/>
    </w:r>
  </w:p>
  <w:p>
    <w:pPr>
      <w:pStyle w:val="Footer"/>
      <w:bidi w:val="0"/>
      <w:jc w:val="star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160.020 - 2025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160.020 - 2025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ind w:start="0" w:end="11" w:firstLine="850"/>
      <w:jc w:val="start"/>
    </w:pPr>
    <w:r>
      <w:drawing>
        <wp:anchor distT="0" distB="0" distL="17780" distR="114935" simplePos="0" relativeHeight="251658240" behindDoc="1" locked="0" layoutInCell="0" allowOverlap="1">
          <wp:simplePos x="0" y="0"/>
          <wp:positionH relativeFrom="column">
            <wp:align>left</wp:align>
          </wp:positionH>
          <wp:positionV relativeFrom="paragraph">
            <wp:posOffset>5080</wp:posOffset>
          </wp:positionV>
          <wp:extent cx="398145" cy="441960"/>
          <wp:effectExtent l="0" t="0" r="0" b="0"/>
          <wp:wrapNone/>
          <wp:docPr id="2049" name="Image 2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 name="Image 2049"/>
                  <pic:cNvPicPr>
                    <a:picLocks noChangeAspect="1" noChangeArrowheads="1"/>
                  </pic:cNvPicPr>
                </pic:nvPicPr>
                <pic:blipFill>
                  <a:blip xmlns:r="http://purl.oclc.org/ooxml/officeDocument/relationships" r:embed="rId1">
                    <a:extLst>
                      <a:ext xmlns:a="http://purl.oclc.org/ooxml/drawingml/main" uri="{28A0092B-C50C-407E-A947-70E740481C1C}">
                        <a14:useLocalDpi xmlns:a14="http://schemas.microsoft.com/office/drawing/2010/main" val="0"/>
                      </a:ext>
                    </a:extLst>
                  </a:blip>
                  <a:stretch>
                    <a:fillRect/>
                  </a:stretch>
                </pic:blipFill>
                <pic:spPr>
                  <a:xfrm>
                    <a:off x="0" y="0"/>
                    <a:ext cx="398145" cy="441960"/>
                  </a:xfrm>
                  <a:prstGeom prst="rect">
                    <a:avLst/>
                  </a:prstGeom>
                  <a:solidFill>
                    <a:srgbClr val="FFFFFF">
                      <a:alpha val="0%"/>
                    </a:srgbClr>
                  </a:solidFill>
                  <a:ln>
                    <a:noFill/>
                  </a:ln>
                </pic:spPr>
              </pic:pic>
            </a:graphicData>
          </a:graphic>
        </wp:anchor>
      </w:drawing>
    </w:r>
    <w:r>
      <w:rPr>
        <w:b/>
        <w:sz w:val="18"/>
      </w:rPr>
      <w:t>Kanton Appenzell Innerrhoden</w:t>
    </w:r>
    <w:r>
      <w:t xml:space="preserve">  </w:t>
      <w:tab/>
    </w:r>
    <w:r>
      <w:rPr>
        <w:b/>
        <w:sz w:val="24"/>
      </w:rPr>
      <w:t>E 160.020 - 2025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9"/>
      </w:tabs>
      <w:bidi w:val="0"/>
      <w:spacing w:before="352" w:after="165" w:line="240" w:lineRule="exact"/>
      <w:ind w:start="6" w:end="0" w:firstLine="0"/>
      <w:jc w:val="start"/>
    </w:pPr>
    <w:r>
      <w:rPr>
        <w:b/>
        <w:sz w:val="24"/>
      </w:rPr>
      <w:t>E 160.020 - 2025</w:t>
    </w:r>
    <w:r>
      <w:tab/>
    </w:r>
    <w:r>
      <w:rPr>
        <w:b/>
        <w:sz w:val="18"/>
      </w:rPr>
      <w:t>Kanton Appenzell Innerrhoden</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28" w:end="-28" w:firstLine="0"/>
      <w:jc w:val="star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tabs>
        <w:tab w:val="end" w:pos="6123"/>
      </w:tabs>
      <w:bidi w:val="0"/>
      <w:spacing w:before="352" w:after="165" w:line="240" w:lineRule="exact"/>
      <w:ind w:start="0" w:end="11" w:firstLine="0"/>
      <w:jc w:val="start"/>
    </w:pPr>
    <w:r>
      <w:rPr>
        <w:b/>
        <w:sz w:val="18"/>
      </w:rPr>
      <w:t>Kanton Appenzell Innerrhoden</w:t>
    </w:r>
    <w:r>
      <w:tab/>
    </w:r>
    <w:r>
      <w:rPr>
        <w:b/>
        <w:sz w:val="24"/>
      </w:rPr>
      <w:t>E 160.020 - 2025</w:t>
    </w:r>
  </w:p>
  <w:p>
    <w:pPr>
      <w:pStyle w:val="Header"/>
      <w:pBdr>
        <w:top w:val="single" w:sz="4" w:space="1" w:color="000000"/>
        <w:left w:val="none" w:sz="0" w:space="0" w:color="000000"/>
        <w:bottom w:val="none" w:sz="0" w:space="0" w:color="000000"/>
        <w:right w:val="none" w:sz="0" w:space="0" w:color="000000"/>
      </w:pBdr>
      <w:bidi w:val="0"/>
      <w:spacing w:before="20" w:after="0" w:line="20" w:lineRule="exact"/>
      <w:ind w:start="0" w:end="0" w:firstLine="0"/>
      <w:jc w:val="star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bidi w:val="0"/>
    </w:pPr>
  </w:p>
</w:hdr>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mirrorMargins/>
  <w:stylePaneFormatFilter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revisionView w:comments="1" w:formatting="0" w:inkAnnotations="1" w:insDel="0" w:markup="1"/>
  <w:defaultTabStop w:val="709"/>
  <w:defaultTableStyle w:val="Normal"/>
  <w:autoHyphenation/>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EmbedSmartTag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keepLines/>
      <w:widowControl w:val="0"/>
      <w:suppressAutoHyphens w:val="0"/>
      <w:kinsoku/>
      <w:overflowPunct/>
      <w:autoSpaceDE/>
      <w:bidi w:val="0"/>
      <w:spacing w:before="0" w:after="113"/>
      <w:jc w:val="both"/>
    </w:pPr>
    <w:rPr>
      <w:rFonts w:ascii="Arial" w:hAnsi="Arial"/>
      <w:color w:val="auto"/>
      <w:sz w:val="18"/>
      <w:lang w:val="de-CH" w:eastAsia="zh-CN" w:bidi="hi-IN"/>
    </w:rPr>
  </w:style>
  <w:style w:type="character" w:default="1" w:styleId="DefaultParagraphFont">
    <w:name w:val="Default Paragraph Font"/>
    <w:semiHidden/>
  </w:style>
  <w:style w:type="character" w:customStyle="1" w:styleId="Absatz-Standardschriftart">
    <w:name w:val="Absatz-Standardschriftart"/>
  </w:style>
  <w:style w:type="character" w:customStyle="1" w:styleId="ZusammenfassungHauptnderung">
    <w:name w:val="Zusammenfassung Hauptänderung"/>
    <w:rPr>
      <w:b/>
    </w:rPr>
  </w:style>
  <w:style w:type="character" w:customStyle="1" w:styleId="Zusammenfassungnderung">
    <w:name w:val="Zusammenfassung Änderung"/>
  </w:style>
  <w:style w:type="character" w:styleId="FootnoteReference">
    <w:name w:val="footnote reference"/>
    <w:rPr>
      <w:b w:val="0"/>
      <w:shd w:val="clear" w:color="auto" w:fill="auto"/>
      <w:vertAlign w:val="superscript"/>
    </w:rPr>
  </w:style>
  <w:style w:type="character" w:customStyle="1" w:styleId="FootnoteCharacters">
    <w:name w:val="Footnote Characters"/>
    <w:rPr>
      <w:rFonts w:ascii="Arial" w:hAnsi="Arial"/>
      <w:vertAlign w:val="superscript"/>
    </w:rPr>
  </w:style>
  <w:style w:type="character" w:customStyle="1" w:styleId="IngressAenderungElement">
    <w:name w:val="Ingress_Aenderung_Element"/>
    <w:rPr>
      <w:b/>
    </w:rPr>
  </w:style>
  <w:style w:type="character" w:customStyle="1" w:styleId="IngressAenderungAktion">
    <w:name w:val="Ingress_Aenderung_Aktion"/>
    <w:rPr>
      <w:b/>
    </w:rPr>
  </w:style>
  <w:style w:type="character" w:customStyle="1" w:styleId="AenderungTitelText">
    <w:name w:val="Aenderung_Titel_Text"/>
    <w:rPr>
      <w:b/>
    </w:rPr>
  </w:style>
  <w:style w:type="character" w:customStyle="1" w:styleId="ArtikelAenderungTitelaenderung">
    <w:name w:val="Artikel_Aenderung_Titel_aenderung"/>
    <w:rPr>
      <w:b w:val="0"/>
    </w:rPr>
  </w:style>
  <w:style w:type="character" w:customStyle="1" w:styleId="TitelAenderungAnmerkung">
    <w:name w:val="Titel_Aenderung_Anmerkung"/>
    <w:rPr>
      <w:b w:val="0"/>
      <w:sz w:val="14"/>
    </w:rPr>
  </w:style>
  <w:style w:type="character" w:customStyle="1" w:styleId="ArtikelAenderungAnmerkung">
    <w:name w:val="Artikel_Aenderung_Anmerkung"/>
    <w:rPr>
      <w:b w:val="0"/>
      <w:sz w:val="14"/>
    </w:rPr>
  </w:style>
  <w:style w:type="character" w:customStyle="1" w:styleId="ParagraphAenderungAnmerkung">
    <w:name w:val="Paragraph_Aenderung_Anmerkung"/>
    <w:rPr>
      <w:b w:val="0"/>
      <w:sz w:val="14"/>
    </w:rPr>
  </w:style>
  <w:style w:type="character" w:customStyle="1" w:styleId="AbbildungAnmerkung">
    <w:name w:val="Abbildung_Anmerkung"/>
    <w:rPr>
      <w:i/>
    </w:rPr>
  </w:style>
  <w:style w:type="character" w:customStyle="1" w:styleId="ListelementAenderungAnmerkung">
    <w:name w:val="Listelement_Aenderung_Anmerkung"/>
    <w:rPr>
      <w:b w:val="0"/>
      <w:sz w:val="14"/>
    </w:rPr>
  </w:style>
  <w:style w:type="character" w:customStyle="1" w:styleId="TabelleAenderungAnmerkung">
    <w:name w:val="Tabelle_Aenderung_Anmerkung"/>
    <w:rPr>
      <w:i/>
    </w:rPr>
  </w:style>
  <w:style w:type="character" w:customStyle="1" w:styleId="AnnexAenderungAnmerkung">
    <w:name w:val="Annex_Aenderung_Anmerkung"/>
    <w:rPr>
      <w:b w:val="0"/>
      <w:sz w:val="14"/>
    </w:rPr>
  </w:style>
  <w:style w:type="character" w:customStyle="1" w:styleId="ItalicAnmerkung">
    <w:name w:val="Italic_Anmerkung"/>
    <w:rPr>
      <w:i/>
    </w:rPr>
  </w:style>
  <w:style w:type="character" w:customStyle="1" w:styleId="TitelLoeschungAnmerkung">
    <w:name w:val="Titel_Loeschung_Anmerkung"/>
    <w:basedOn w:val="ItalicAnmerkung"/>
  </w:style>
  <w:style w:type="character" w:customStyle="1" w:styleId="TitelAusserKraftAnmerkung">
    <w:name w:val="Titel_Ausser_Kraft_Anmerkung"/>
    <w:basedOn w:val="ItalicAnmerkung"/>
  </w:style>
  <w:style w:type="character" w:customStyle="1" w:styleId="TitelWiederInKraftAnmerkung">
    <w:name w:val="Titel_Wieder_In_Kraft_Anmerkung"/>
    <w:basedOn w:val="ItalicAnmerkung"/>
  </w:style>
  <w:style w:type="character" w:customStyle="1" w:styleId="ArtikelLoeschungAnmerkung">
    <w:name w:val="Artikel_Loeschung_Anmerkung"/>
    <w:basedOn w:val="ItalicAnmerkung"/>
  </w:style>
  <w:style w:type="character" w:customStyle="1" w:styleId="ArtikelAusserKraftAnmerkung">
    <w:name w:val="Artikel_Ausser_Kraft_Anmerkung"/>
    <w:basedOn w:val="ItalicAnmerkung"/>
  </w:style>
  <w:style w:type="character" w:customStyle="1" w:styleId="ArtikelWiederInKraftAnmerkung">
    <w:name w:val="Artikel_Wieder_In_Kraft_Anmerkung"/>
    <w:basedOn w:val="ArtikelAenderungAnmerkung"/>
  </w:style>
  <w:style w:type="character" w:customStyle="1" w:styleId="ParagraphLoeschungAnmerkung">
    <w:name w:val="Paragraph_Loeschung_Anmerkung"/>
    <w:basedOn w:val="ItalicAnmerkung"/>
  </w:style>
  <w:style w:type="character" w:customStyle="1" w:styleId="ParagraphAusserKraftAnmerkung">
    <w:name w:val="Paragraph_Ausser_Kraft_Anmerkung"/>
    <w:basedOn w:val="ItalicAnmerkung"/>
  </w:style>
  <w:style w:type="character" w:customStyle="1" w:styleId="ParagraphWiederInKraftAnmerkung">
    <w:name w:val="Paragraph_Wieder_In_Kraft_Anmerkung"/>
    <w:basedOn w:val="ItalicAnmerkung"/>
  </w:style>
  <w:style w:type="character" w:customStyle="1" w:styleId="ListelementLoeschungAnmerkung">
    <w:name w:val="Listelement_Loeschung_Anmerkung"/>
    <w:basedOn w:val="ItalicAnmerkung"/>
  </w:style>
  <w:style w:type="character" w:customStyle="1" w:styleId="ListelementUnveraendertAnmerkung">
    <w:name w:val="Listelement_Unveraendert_Anmerkung"/>
    <w:basedOn w:val="ItalicAnmerkung"/>
  </w:style>
  <w:style w:type="character" w:customStyle="1" w:styleId="ListelementAusserKraftAnmerkung">
    <w:name w:val="Listelement_Ausser_Kraft_Anmerkung"/>
    <w:basedOn w:val="ItalicAnmerkung"/>
  </w:style>
  <w:style w:type="character" w:customStyle="1" w:styleId="ListelementWiederInKraftAnmerkung">
    <w:name w:val="Listelement_Wieder_In_Kraft_Anmerkung"/>
    <w:basedOn w:val="ItalicAnmerkung"/>
  </w:style>
  <w:style w:type="character" w:customStyle="1" w:styleId="AnnexLoeschungAnmerkung">
    <w:name w:val="Annex_Loeschung_Anmerkung"/>
    <w:basedOn w:val="ItalicAnmerkung"/>
  </w:style>
  <w:style w:type="character" w:customStyle="1" w:styleId="AnnexAusserKraftAnmerkung">
    <w:name w:val="Annex_Ausser_Kraft_Anmerkung"/>
    <w:basedOn w:val="ItalicAnmerkung"/>
  </w:style>
  <w:style w:type="character" w:customStyle="1" w:styleId="AnnexWiederInKraftAnmerkung">
    <w:name w:val="Annex_Wieder_In_Kraft_Anmerkung"/>
    <w:basedOn w:val="ItalicAnmerkung"/>
  </w:style>
  <w:style w:type="character" w:customStyle="1" w:styleId="TabelleLoeschungAnmerkung">
    <w:name w:val="Tabelle_Loeschung_Anmerkung"/>
    <w:basedOn w:val="ItalicAnmerkung"/>
  </w:style>
  <w:style w:type="character" w:customStyle="1" w:styleId="TabelleUnveraendertAnmerkung">
    <w:name w:val="Tabelle_Unveraendert_Anmerkung"/>
    <w:basedOn w:val="ItalicAnmerkung"/>
  </w:style>
  <w:style w:type="character" w:customStyle="1" w:styleId="TabelleAusserKraftAnmerkung">
    <w:name w:val="Tabelle_Ausser_Kraft_Anmerkung"/>
    <w:basedOn w:val="ItalicAnmerkung"/>
  </w:style>
  <w:style w:type="character" w:customStyle="1" w:styleId="TabelleWiederInKraftAnmerkung">
    <w:name w:val="Tabelle_Wieder_In_Kraft_Anmerkung"/>
    <w:basedOn w:val="ItalicAnmerkung"/>
  </w:style>
  <w:style w:type="paragraph" w:customStyle="1" w:styleId="StandardvorAufzhlung">
    <w:name w:val="Standard vor Aufzählung"/>
    <w:basedOn w:val="Normal"/>
    <w:pPr>
      <w:keepNext/>
      <w:spacing w:before="0" w:after="80"/>
    </w:pPr>
  </w:style>
  <w:style w:type="paragraph" w:customStyle="1" w:styleId="StandardvorTabelle">
    <w:name w:val="Standard vor Tabelle"/>
    <w:basedOn w:val="Normal"/>
    <w:pPr>
      <w:spacing w:before="0" w:after="80"/>
    </w:pPr>
  </w:style>
  <w:style w:type="paragraph" w:customStyle="1" w:styleId="StandardvorBild">
    <w:name w:val="Standard vor Bild"/>
    <w:basedOn w:val="Normal"/>
    <w:pPr>
      <w:keepNext/>
      <w:spacing w:before="0" w:after="80"/>
    </w:pPr>
  </w:style>
  <w:style w:type="paragraph" w:customStyle="1" w:styleId="StandardBild">
    <w:name w:val="Standard Bild"/>
    <w:basedOn w:val="Normal"/>
    <w:pPr>
      <w:spacing w:line="240" w:lineRule="auto"/>
      <w:jc w:val="center"/>
    </w:pPr>
  </w:style>
  <w:style w:type="paragraph" w:customStyle="1" w:styleId="HeaderandFooter">
    <w:name w:val="Header and Footer"/>
    <w:basedOn w:val="Normal"/>
    <w:pPr>
      <w:suppressLineNumbers/>
      <w:tabs>
        <w:tab w:val="center" w:pos="4986"/>
        <w:tab w:val="end" w:pos="9972"/>
      </w:tabs>
    </w:pPr>
  </w:style>
  <w:style w:type="paragraph" w:styleId="Header">
    <w:name w:val="header"/>
    <w:pPr>
      <w:widowControl w:val="0"/>
      <w:suppressAutoHyphens/>
      <w:kinsoku/>
      <w:overflowPunct/>
      <w:autoSpaceDE/>
      <w:bidi w:val="0"/>
    </w:pPr>
    <w:rPr>
      <w:rFonts w:ascii="Arial" w:hAnsi="Arial"/>
      <w:color w:val="auto"/>
      <w:sz w:val="18"/>
      <w:lang w:val="de-CH" w:eastAsia="zh-CN" w:bidi="hi-IN"/>
    </w:rPr>
  </w:style>
  <w:style w:type="paragraph" w:styleId="Footer">
    <w:name w:val="footer"/>
    <w:basedOn w:val="Header"/>
  </w:style>
  <w:style w:type="paragraph" w:customStyle="1" w:styleId="Erlasstitel">
    <w:name w:val="Erlasstitel"/>
    <w:basedOn w:val="Normal"/>
    <w:next w:val="Datum"/>
    <w:pPr>
      <w:keepNext/>
      <w:keepLines/>
      <w:suppressAutoHyphens/>
      <w:spacing w:before="57" w:after="286"/>
      <w:jc w:val="start"/>
    </w:pPr>
    <w:rPr>
      <w:b/>
      <w:sz w:val="28"/>
    </w:rPr>
  </w:style>
  <w:style w:type="paragraph" w:customStyle="1" w:styleId="TitelArbeitsversion">
    <w:name w:val="Titel Arbeitsversion"/>
    <w:basedOn w:val="Erlasstitel"/>
    <w:next w:val="Datum"/>
    <w:pPr>
      <w:keepNext w:val="0"/>
      <w:keepLines w:val="0"/>
      <w:suppressAutoHyphens/>
      <w:spacing w:before="57" w:after="0"/>
      <w:jc w:val="start"/>
    </w:pPr>
    <w:rPr>
      <w:b/>
      <w:sz w:val="22"/>
    </w:rPr>
  </w:style>
  <w:style w:type="paragraph" w:customStyle="1" w:styleId="ZusammenfassungEinleitung">
    <w:name w:val="Zusammenfassung Einleitung"/>
    <w:basedOn w:val="Normal"/>
    <w:pPr>
      <w:keepNext/>
      <w:keepLines/>
      <w:spacing w:before="85" w:after="85"/>
      <w:ind w:start="0" w:end="0" w:firstLine="0"/>
      <w:jc w:val="start"/>
    </w:pPr>
  </w:style>
  <w:style w:type="paragraph" w:customStyle="1" w:styleId="ZusammenfassungneueErlasse">
    <w:name w:val="Zusammenfassung neue Erlasse"/>
    <w:basedOn w:val="Normal"/>
    <w:pPr>
      <w:keepNext/>
      <w:keepLines/>
      <w:tabs>
        <w:tab w:val="start" w:pos="2518"/>
      </w:tabs>
      <w:spacing w:before="0" w:after="0" w:line="232" w:lineRule="exact"/>
      <w:ind w:start="1259" w:end="0" w:hanging="1259"/>
      <w:jc w:val="start"/>
    </w:pPr>
  </w:style>
  <w:style w:type="paragraph" w:customStyle="1" w:styleId="ZusammenfassunggenderteErlasse">
    <w:name w:val="Zusammenfassung geänderte Erlasse"/>
    <w:basedOn w:val="ZusammenfassungneueErlasse"/>
  </w:style>
  <w:style w:type="paragraph" w:customStyle="1" w:styleId="ZusammenfassungaufgehobeneErlasse">
    <w:name w:val="Zusammenfassung aufgehobene Erlasse"/>
    <w:basedOn w:val="Datum"/>
    <w:pPr>
      <w:keepNext/>
      <w:keepLines/>
      <w:tabs>
        <w:tab w:val="start" w:pos="2518"/>
      </w:tabs>
      <w:ind w:start="1259" w:end="0" w:hanging="1259"/>
      <w:jc w:val="start"/>
    </w:pPr>
  </w:style>
  <w:style w:type="paragraph" w:customStyle="1" w:styleId="Datum">
    <w:name w:val="Datum"/>
    <w:basedOn w:val="Normal"/>
    <w:next w:val="Autor"/>
    <w:pPr>
      <w:keepNext/>
      <w:keepLines/>
      <w:pBdr>
        <w:top w:val="none" w:sz="0" w:space="0" w:color="000000"/>
        <w:left w:val="none" w:sz="0" w:space="0" w:color="000000"/>
        <w:bottom w:val="single" w:sz="4" w:space="4" w:color="000000"/>
        <w:right w:val="none" w:sz="0" w:space="0" w:color="000000"/>
      </w:pBdr>
      <w:spacing w:before="0" w:after="0"/>
      <w:ind w:start="0" w:end="0" w:firstLine="0"/>
      <w:jc w:val="start"/>
    </w:pPr>
    <w:rPr>
      <w:position w:val="2"/>
    </w:rPr>
  </w:style>
  <w:style w:type="paragraph" w:customStyle="1" w:styleId="Autor">
    <w:name w:val="Autor"/>
    <w:basedOn w:val="Normal"/>
    <w:next w:val="Grundlage"/>
    <w:pPr>
      <w:keepNext/>
      <w:keepLines/>
      <w:spacing w:before="278" w:after="113"/>
    </w:pPr>
    <w:rPr>
      <w:i/>
    </w:rPr>
  </w:style>
  <w:style w:type="paragraph" w:customStyle="1" w:styleId="Grundlage">
    <w:name w:val="Grundlage"/>
    <w:basedOn w:val="Normal"/>
    <w:next w:val="Aktion"/>
    <w:pPr>
      <w:spacing w:before="119" w:after="113"/>
    </w:pPr>
  </w:style>
  <w:style w:type="paragraph" w:customStyle="1" w:styleId="Aktion">
    <w:name w:val="Aktion"/>
    <w:basedOn w:val="Autor"/>
    <w:next w:val="Normal"/>
    <w:pPr>
      <w:spacing w:before="113" w:after="113"/>
    </w:pPr>
  </w:style>
  <w:style w:type="paragraph" w:customStyle="1" w:styleId="Schluss">
    <w:name w:val="Schluss"/>
    <w:basedOn w:val="Normal"/>
    <w:pPr>
      <w:tabs>
        <w:tab w:val="start" w:pos="6124"/>
      </w:tabs>
      <w:spacing w:before="621" w:after="0"/>
      <w:ind w:start="3062" w:end="0" w:hanging="3062"/>
      <w:jc w:val="start"/>
    </w:pPr>
  </w:style>
  <w:style w:type="paragraph" w:customStyle="1" w:styleId="TitelnderungstabelleDatum">
    <w:name w:val="Titel Änderungstabelle (Datum)"/>
    <w:basedOn w:val="Normal"/>
    <w:next w:val="Artikel"/>
    <w:pPr>
      <w:keepLines/>
      <w:pageBreakBefore/>
      <w:suppressAutoHyphens/>
      <w:spacing w:before="363" w:after="170"/>
      <w:jc w:val="start"/>
    </w:pPr>
    <w:rPr>
      <w:b/>
      <w:sz w:val="18"/>
    </w:rPr>
  </w:style>
  <w:style w:type="paragraph" w:customStyle="1" w:styleId="TitelnderungstabelleElement">
    <w:name w:val="Titel Änderungstabelle (Element)"/>
    <w:basedOn w:val="TitelnderungstabelleDatum"/>
    <w:next w:val="Artikel"/>
  </w:style>
  <w:style w:type="paragraph" w:customStyle="1" w:styleId="TitelAnnex">
    <w:name w:val="Titel Annex"/>
    <w:basedOn w:val="Normal"/>
    <w:pPr>
      <w:keepNext/>
      <w:keepLines/>
      <w:spacing w:before="363" w:after="170"/>
    </w:pPr>
    <w:rPr>
      <w:b/>
      <w:sz w:val="18"/>
    </w:rPr>
  </w:style>
  <w:style w:type="paragraph" w:customStyle="1" w:styleId="Nebenzitat">
    <w:name w:val="Nebenzitat"/>
    <w:basedOn w:val="Normal"/>
  </w:style>
  <w:style w:type="paragraph" w:customStyle="1" w:styleId="Abschnittstitel">
    <w:name w:val="Abschnittstitel"/>
    <w:basedOn w:val="Normal"/>
    <w:pPr>
      <w:keepNext/>
      <w:keepLines/>
      <w:tabs>
        <w:tab w:val="end" w:pos="6123"/>
      </w:tabs>
      <w:suppressAutoHyphens/>
      <w:spacing w:before="363" w:after="113"/>
      <w:jc w:val="start"/>
    </w:pPr>
    <w:rPr>
      <w:b/>
      <w:sz w:val="20"/>
    </w:rPr>
  </w:style>
  <w:style w:type="paragraph" w:customStyle="1" w:styleId="EmptySectionRemark">
    <w:name w:val="Empty_Section_Remark"/>
    <w:basedOn w:val="Normal"/>
    <w:rPr>
      <w:i/>
    </w:rPr>
  </w:style>
  <w:style w:type="paragraph" w:customStyle="1" w:styleId="InkrafttretensklauselErsterAbsatz">
    <w:name w:val="Inkrafttretensklausel_Erster_Absatz"/>
    <w:basedOn w:val="Normal"/>
  </w:style>
  <w:style w:type="paragraph" w:customStyle="1" w:styleId="Inkrafttretensklausel">
    <w:name w:val="Inkrafttretensklausel"/>
    <w:basedOn w:val="Normal"/>
  </w:style>
  <w:style w:type="paragraph" w:customStyle="1" w:styleId="TitelStufe1">
    <w:name w:val="Titel Stufe 1"/>
    <w:basedOn w:val="Normal"/>
    <w:next w:val="Artikel"/>
    <w:pPr>
      <w:keepNext/>
      <w:keepLines/>
      <w:numPr>
        <w:ilvl w:val="0"/>
        <w:numId w:val="0"/>
      </w:numPr>
      <w:tabs>
        <w:tab w:val="end" w:pos="6123"/>
      </w:tabs>
      <w:suppressAutoHyphens/>
      <w:spacing w:before="363" w:after="113"/>
      <w:jc w:val="start"/>
    </w:pPr>
    <w:rPr>
      <w:b/>
      <w:sz w:val="20"/>
    </w:rPr>
  </w:style>
  <w:style w:type="paragraph" w:customStyle="1" w:styleId="TitelStufe2">
    <w:name w:val="Titel Stufe 2"/>
    <w:basedOn w:val="TitelStufe1"/>
    <w:next w:val="Artikel"/>
    <w:pPr>
      <w:spacing w:before="238" w:after="113"/>
    </w:pPr>
    <w:rPr>
      <w:b/>
      <w:sz w:val="18"/>
    </w:rPr>
  </w:style>
  <w:style w:type="paragraph" w:customStyle="1" w:styleId="TitelStufe3">
    <w:name w:val="Titel Stufe 3"/>
    <w:basedOn w:val="TitelStufe2"/>
    <w:next w:val="Artikel"/>
    <w:pPr>
      <w:spacing w:before="238" w:after="113"/>
    </w:pPr>
    <w:rPr>
      <w:b/>
      <w:sz w:val="18"/>
    </w:rPr>
  </w:style>
  <w:style w:type="paragraph" w:customStyle="1" w:styleId="TitelStufe4">
    <w:name w:val="Titel Stufe 4"/>
    <w:basedOn w:val="TitelStufe2"/>
    <w:next w:val="Artikel"/>
    <w:rPr>
      <w:sz w:val="18"/>
    </w:rPr>
  </w:style>
  <w:style w:type="paragraph" w:customStyle="1" w:styleId="TitelStufe5">
    <w:name w:val="Titel Stufe 5"/>
    <w:basedOn w:val="TitelStufe2"/>
    <w:next w:val="Artikel"/>
    <w:rPr>
      <w:sz w:val="18"/>
    </w:rPr>
  </w:style>
  <w:style w:type="paragraph" w:customStyle="1" w:styleId="TitelStufe1nachTitel">
    <w:name w:val="Titel Stufe 1 nach Titel"/>
    <w:basedOn w:val="TitelStufe1"/>
    <w:next w:val="Artikel"/>
  </w:style>
  <w:style w:type="paragraph" w:customStyle="1" w:styleId="TitelStufe2nachTitel">
    <w:name w:val="Titel Stufe 2 nach Titel"/>
    <w:basedOn w:val="TitelStufe2"/>
    <w:next w:val="Artikel"/>
  </w:style>
  <w:style w:type="paragraph" w:customStyle="1" w:styleId="TitelStufe3nachTitel">
    <w:name w:val="Titel Stufe 3 nach Titel"/>
    <w:basedOn w:val="TitelStufe3"/>
    <w:next w:val="Artikel"/>
  </w:style>
  <w:style w:type="paragraph" w:customStyle="1" w:styleId="TitelStufe4nachTitel">
    <w:name w:val="Titel Stufe 4 nach Titel"/>
    <w:basedOn w:val="TitelStufe4"/>
    <w:next w:val="Artikel"/>
  </w:style>
  <w:style w:type="paragraph" w:customStyle="1" w:styleId="TitelStufe5nachTitel">
    <w:name w:val="Titel Stufe 5 nach Titel"/>
    <w:basedOn w:val="TitelStufe5"/>
    <w:next w:val="Artikel"/>
  </w:style>
  <w:style w:type="paragraph" w:styleId="BodyText">
    <w:name w:val="Body Text"/>
    <w:basedOn w:val="Normal"/>
    <w:pPr>
      <w:spacing w:before="0" w:after="140" w:line="276" w:lineRule="auto"/>
    </w:pPr>
  </w:style>
  <w:style w:type="paragraph" w:styleId="CommentText">
    <w:name w:val="annotation text"/>
    <w:basedOn w:val="Normal"/>
    <w:pPr>
      <w:keepNext/>
      <w:keepLines/>
      <w:suppressAutoHyphens w:val="0"/>
      <w:spacing w:line="317" w:lineRule="exact"/>
      <w:jc w:val="start"/>
    </w:pPr>
    <w:rPr>
      <w:sz w:val="14"/>
    </w:rPr>
  </w:style>
  <w:style w:type="paragraph" w:customStyle="1" w:styleId="Artikel">
    <w:name w:val="Artikel"/>
    <w:basedOn w:val="Normal"/>
    <w:next w:val="Normal"/>
    <w:pPr>
      <w:keepNext/>
      <w:keepLines/>
      <w:numPr>
        <w:ilvl w:val="0"/>
        <w:numId w:val="0"/>
      </w:numPr>
      <w:tabs>
        <w:tab w:val="start" w:pos="1275"/>
      </w:tabs>
      <w:spacing w:before="227" w:after="119"/>
      <w:ind w:start="992" w:end="0" w:hanging="992"/>
      <w:jc w:val="start"/>
    </w:pPr>
  </w:style>
  <w:style w:type="paragraph" w:customStyle="1" w:styleId="Artikelaufgehoben">
    <w:name w:val="Artikel (aufgehoben)"/>
    <w:basedOn w:val="Artikel"/>
  </w:style>
  <w:style w:type="paragraph" w:customStyle="1" w:styleId="Artikel-nderung">
    <w:name w:val="Artikel-Änderung"/>
    <w:basedOn w:val="Artikel"/>
    <w:next w:val="Normal"/>
    <w:pPr>
      <w:ind w:start="0" w:end="0" w:firstLine="0"/>
    </w:pPr>
  </w:style>
  <w:style w:type="paragraph" w:customStyle="1" w:styleId="Artikeltitel-nderung">
    <w:name w:val="Artikeltitel-Änderung"/>
    <w:basedOn w:val="Normal"/>
    <w:next w:val="Normal"/>
    <w:pPr>
      <w:jc w:val="start"/>
    </w:pPr>
  </w:style>
  <w:style w:type="paragraph" w:customStyle="1" w:styleId="TableContents">
    <w:name w:val="Table Contents"/>
    <w:basedOn w:val="Normal"/>
    <w:pPr>
      <w:suppressLineNumbers/>
      <w:spacing w:before="0" w:after="0"/>
      <w:jc w:val="start"/>
    </w:pPr>
    <w:rPr>
      <w:sz w:val="14"/>
    </w:rPr>
  </w:style>
  <w:style w:type="paragraph" w:customStyle="1" w:styleId="TableHeading">
    <w:name w:val="Table Heading"/>
    <w:basedOn w:val="TableContents"/>
    <w:pPr>
      <w:suppressLineNumbers/>
      <w:spacing w:before="0" w:after="0"/>
      <w:jc w:val="center"/>
    </w:pPr>
    <w:rPr>
      <w:b/>
      <w:bCs/>
    </w:rPr>
  </w:style>
  <w:style w:type="paragraph" w:customStyle="1" w:styleId="AnnexListe">
    <w:name w:val="Annex Liste"/>
    <w:basedOn w:val="Normal"/>
    <w:pPr>
      <w:spacing w:before="0" w:after="80" w:line="220" w:lineRule="exact"/>
      <w:ind w:start="1134" w:end="0" w:hanging="1134"/>
    </w:pPr>
  </w:style>
  <w:style w:type="paragraph" w:customStyle="1" w:styleId="Liste1">
    <w:name w:val="Liste 1"/>
    <w:basedOn w:val="Normal"/>
    <w:pPr>
      <w:tabs>
        <w:tab w:val="start" w:pos="794"/>
        <w:tab w:val="start" w:pos="1021"/>
        <w:tab w:val="start" w:pos="1247"/>
        <w:tab w:val="start" w:pos="1474"/>
        <w:tab w:val="start" w:pos="1701"/>
      </w:tabs>
      <w:spacing w:before="0" w:after="30"/>
      <w:ind w:start="567" w:end="0" w:hanging="567"/>
      <w:jc w:val="start"/>
    </w:pPr>
  </w:style>
  <w:style w:type="paragraph" w:customStyle="1" w:styleId="Liste1mitUnterelementen">
    <w:name w:val="Liste 1 mit Unterelementen"/>
    <w:basedOn w:val="Liste1"/>
  </w:style>
  <w:style w:type="paragraph" w:customStyle="1" w:styleId="Liste2">
    <w:name w:val="Liste 2"/>
    <w:basedOn w:val="Liste1"/>
    <w:pPr>
      <w:tabs>
        <w:tab w:val="clear" w:pos="794"/>
        <w:tab w:val="clear" w:pos="1021"/>
        <w:tab w:val="clear" w:pos="1247"/>
        <w:tab w:val="start" w:pos="1361"/>
        <w:tab w:val="clear" w:pos="1474"/>
        <w:tab w:val="start" w:pos="1588"/>
        <w:tab w:val="clear" w:pos="1701"/>
        <w:tab w:val="start" w:pos="1814"/>
        <w:tab w:val="start" w:pos="2041"/>
        <w:tab w:val="start" w:pos="2268"/>
      </w:tabs>
      <w:ind w:start="1134" w:end="0" w:hanging="567"/>
    </w:pPr>
  </w:style>
  <w:style w:type="paragraph" w:customStyle="1" w:styleId="Liste2mitaufeinanderfolgendenAufhebungen">
    <w:name w:val="Liste 2 mit aufeinanderfolgenden Aufhebungen"/>
    <w:basedOn w:val="Liste2"/>
    <w:pPr>
      <w:tabs>
        <w:tab w:val="clear" w:pos="1361"/>
        <w:tab w:val="clear" w:pos="1588"/>
        <w:tab w:val="clear" w:pos="1814"/>
        <w:tab w:val="clear" w:pos="2041"/>
        <w:tab w:val="clear" w:pos="2268"/>
      </w:tabs>
    </w:pPr>
  </w:style>
  <w:style w:type="paragraph" w:customStyle="1" w:styleId="Liste3">
    <w:name w:val="Liste 3"/>
    <w:basedOn w:val="Liste2"/>
    <w:pPr>
      <w:ind w:start="1134" w:end="0" w:hanging="567"/>
    </w:pPr>
  </w:style>
  <w:style w:type="paragraph" w:styleId="FootnoteText">
    <w:name w:val="footnote text"/>
    <w:basedOn w:val="Normal"/>
    <w:pPr>
      <w:keepLines/>
      <w:spacing w:before="0" w:after="0" w:line="185" w:lineRule="exact"/>
      <w:ind w:start="113" w:end="0" w:hanging="113"/>
    </w:pPr>
    <w:rPr>
      <w:sz w:val="16"/>
    </w:rPr>
  </w:style>
  <w:style w:type="paragraph" w:customStyle="1" w:styleId="Kommentierungen">
    <w:name w:val="Kommentierungen"/>
    <w:basedOn w:val="Normal"/>
    <w:pPr>
      <w:pBdr>
        <w:top w:val="single" w:sz="1" w:space="1" w:color="333333"/>
        <w:left w:val="single" w:sz="1" w:space="1" w:color="333333"/>
        <w:bottom w:val="single" w:sz="1" w:space="1" w:color="333333"/>
        <w:right w:val="single" w:sz="1" w:space="1" w:color="333333"/>
      </w:pBdr>
      <w:shd w:val="clear" w:color="auto" w:fill="EEEEEE"/>
    </w:pPr>
    <w:rPr>
      <w:color w:val="333333"/>
      <w:sz w:val="18"/>
    </w:rPr>
  </w:style>
  <w:style w:type="paragraph" w:customStyle="1" w:styleId="KommentierungenAufzhlungungeordnet">
    <w:name w:val="Kommentierungen Aufzählung ungeordnet"/>
    <w:basedOn w:val="Kommentierungen"/>
    <w:pPr>
      <w:spacing w:before="0" w:after="0"/>
      <w:ind w:start="737" w:end="0" w:hanging="737"/>
    </w:pPr>
  </w:style>
  <w:style w:type="paragraph" w:customStyle="1" w:styleId="KommentierungenAufzhlunggeordnet">
    <w:name w:val="Kommentierungen Aufzählung geordnet"/>
    <w:basedOn w:val="KommentierungenAufzhlungungeordnet"/>
  </w:style>
  <w:style w:type="paragraph" w:customStyle="1" w:styleId="Pcenter">
    <w:name w:val="Pcenter"/>
    <w:basedOn w:val="TableContents"/>
    <w:pPr>
      <w:jc w:val="center"/>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purl.oclc.org/ooxml/officeDocument/relationships/settings" Target="settings.xml" /><Relationship Id="rId10" Type="http://purl.oclc.org/ooxml/officeDocument/relationships/header" Target="header4.xml" /><Relationship Id="rId11" Type="http://purl.oclc.org/ooxml/officeDocument/relationships/header" Target="header5.xml" /><Relationship Id="rId12" Type="http://purl.oclc.org/ooxml/officeDocument/relationships/footer" Target="footer4.xml" /><Relationship Id="rId13" Type="http://purl.oclc.org/ooxml/officeDocument/relationships/footer" Target="footer5.xml" /><Relationship Id="rId14" Type="http://purl.oclc.org/ooxml/officeDocument/relationships/header" Target="header6.xml" /><Relationship Id="rId15" Type="http://purl.oclc.org/ooxml/officeDocument/relationships/footer" Target="footer6.xml" /><Relationship Id="rId16" Type="http://purl.oclc.org/ooxml/officeDocument/relationships/theme" Target="theme/theme1.xml" /><Relationship Id="rId17" Type="http://purl.oclc.org/ooxml/officeDocument/relationships/styles" Target="styles.xml" /><Relationship Id="rId2" Type="http://purl.oclc.org/ooxml/officeDocument/relationships/webSettings" Target="webSettings.xml" /><Relationship Id="rId3" Type="http://purl.oclc.org/ooxml/officeDocument/relationships/fontTable" Target="fontTable.xml" /><Relationship Id="rId4" Type="http://purl.oclc.org/ooxml/officeDocument/relationships/header" Target="header1.xml" /><Relationship Id="rId5" Type="http://purl.oclc.org/ooxml/officeDocument/relationships/header" Target="header2.xml" /><Relationship Id="rId6" Type="http://purl.oclc.org/ooxml/officeDocument/relationships/footer" Target="footer1.xml" /><Relationship Id="rId7" Type="http://purl.oclc.org/ooxml/officeDocument/relationships/footer" Target="footer2.xml" /><Relationship Id="rId8" Type="http://purl.oclc.org/ooxml/officeDocument/relationships/header" Target="header3.xml" /><Relationship Id="rId9" Type="http://purl.oclc.org/ooxml/officeDocument/relationships/footer" Target="footer3.xml" /></Relationships>
</file>

<file path=word/_rels/header3.xml.rels>&#65279;<?xml version="1.0" encoding="utf-8" standalone="yes"?><Relationships xmlns="http://schemas.openxmlformats.org/package/2006/relationships"><Relationship Id="rId1" Type="http://purl.oclc.org/ooxml/officeDocument/relationships/image" Target="media/image1.png" /></Relationships>
</file>

<file path=word/theme/theme1.xml><?xml version="1.0" encoding="utf-8"?>
<a:theme xmlns:a="http://purl.oclc.org/ooxml/drawingml/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Tibt" typeface="Microsoft Himalaya"/>
        <a:font script="Khmr" typeface="MoolBoran"/>
        <a:font script="Beng" typeface="Vrinda"/>
        <a:font script="Taml" typeface="Latha"/>
        <a:font script="Hebr" typeface="Times New Roman"/>
        <a:font script="Syrc" typeface="Estrangelo Edessa"/>
        <a:font script="Laoo" typeface="DokChampa"/>
        <a:font script="Cher" typeface="Plantagenet Cherokee"/>
        <a:font script="Thaa" typeface="MV Boli"/>
        <a:font script="Sinh" typeface="Iskoola Pota"/>
        <a:font script="Thai" typeface="Angsana New"/>
        <a:font script="Cans" typeface="Euphemia"/>
        <a:font script="Mong" typeface="Mongolian Baiti"/>
        <a:font script="Knda" typeface="Tunga"/>
        <a:font script="Viet" typeface="Times New Roman"/>
        <a:font script="Deva" typeface="Mangal"/>
        <a:font script="Arab" typeface="Times New Roman"/>
        <a:font script="Orya" typeface="Kalinga"/>
        <a:font script="Jpan" typeface="ＭＳ ゴシック"/>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ajorFont>
      <a:minorFont>
        <a:latin typeface="Calibri"/>
        <a:ea typeface=""/>
        <a:cs typeface=""/>
        <a:font script="Tibt" typeface="Microsoft Himalaya"/>
        <a:font script="Khmr" typeface="DaunPenh"/>
        <a:font script="Beng" typeface="Vrinda"/>
        <a:font script="Taml" typeface="Latha"/>
        <a:font script="Hebr" typeface="Arial"/>
        <a:font script="Syrc" typeface="Estrangelo Edessa"/>
        <a:font script="Laoo" typeface="DokChampa"/>
        <a:font script="Cher" typeface="Plantagenet Cherokee"/>
        <a:font script="Thaa" typeface="MV Boli"/>
        <a:font script="Sinh" typeface="Iskoola Pota"/>
        <a:font script="Thai" typeface="Cordia New"/>
        <a:font script="Cans" typeface="Euphemia"/>
        <a:font script="Mong" typeface="Mongolian Baiti"/>
        <a:font script="Knda" typeface="Tunga"/>
        <a:font script="Viet" typeface="Arial"/>
        <a:font script="Deva" typeface="Mangal"/>
        <a:font script="Arab" typeface="Arial"/>
        <a:font script="Orya" typeface="Kalinga"/>
        <a:font script="Jpan" typeface="ＭＳ 明朝"/>
        <a:font script="Hang" typeface="맑은 고딕"/>
        <a:font script="Ethi" typeface="Nyala"/>
        <a:font script="Guru" typeface="Raavi"/>
        <a:font script="Gujr" typeface="Shruti"/>
        <a:font script="Mlym" typeface="Kartika"/>
        <a:font script="Yiii" typeface="Microsoft Yi Baiti"/>
        <a:font script="Hans" typeface="宋体"/>
        <a:font script="Hant" typeface="新細明體"/>
        <a:font script="Telu" typeface="Gautami"/>
        <a:font script="Uigh" typeface="Microsoft Uighur"/>
      </a:minorFont>
    </a:fontScheme>
    <a:fmtScheme name="Office">
      <a:fillStyleLst>
        <a:solidFill>
          <a:schemeClr val="phClr"/>
        </a:solidFill>
        <a:gradFill rotWithShape="1">
          <a:gsLst>
            <a:gs pos="0%">
              <a:schemeClr val="phClr">
                <a:tint val="50%"/>
                <a:satMod val="300%"/>
              </a:schemeClr>
            </a:gs>
            <a:gs pos="35%">
              <a:schemeClr val="phClr">
                <a:tint val="37%"/>
                <a:satMod val="300%"/>
              </a:schemeClr>
            </a:gs>
            <a:gs pos="100%">
              <a:schemeClr val="phClr">
                <a:tint val="15%"/>
                <a:satMod val="350%"/>
              </a:schemeClr>
            </a:gs>
          </a:gsLst>
          <a:lin ang="16200000" scaled="1"/>
        </a:gradFill>
        <a:gradFill rotWithShape="1">
          <a:gsLst>
            <a:gs pos="0%">
              <a:schemeClr val="phClr">
                <a:shade val="51%"/>
                <a:satMod val="130%"/>
              </a:schemeClr>
            </a:gs>
            <a:gs pos="80%">
              <a:schemeClr val="phClr">
                <a:shade val="93%"/>
                <a:satMod val="130%"/>
              </a:schemeClr>
            </a:gs>
            <a:gs pos="100%">
              <a:schemeClr val="phClr">
                <a:shade val="94%"/>
                <a:satMod val="135%"/>
              </a:schemeClr>
            </a:gs>
          </a:gsLst>
          <a:lin ang="16200000" scaled="0"/>
        </a:gradFill>
      </a:fillStyleLst>
      <a:lnStyleLst>
        <a:ln w="9525">
          <a:solidFill>
            <a:schemeClr val="phClr">
              <a:shade val="95%"/>
              <a:satMod val="105%"/>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 sy="100%" kx="0" ky="0" algn="b" rotWithShape="0">
              <a:srgbClr val="000000">
                <a:alpha val="38%"/>
              </a:srgbClr>
            </a:outerShdw>
          </a:effectLst>
        </a:effectStyle>
        <a:effectStyle>
          <a:effectLst>
            <a:outerShdw blurRad="40000" dist="23000" dir="5400000" sx="100%" sy="100%" kx="0" ky="0" algn="b" rotWithShape="0">
              <a:srgbClr val="000000">
                <a:alpha val="35%"/>
              </a:srgbClr>
            </a:outerShdw>
          </a:effectLst>
        </a:effectStyle>
        <a:effectStyle>
          <a:effectLst>
            <a:outerShdw blurRad="40000" dist="23000" dir="5400000" sx="100%" sy="100%" kx="0" ky="0" algn="b" rotWithShape="0">
              <a:srgbClr val="000000">
                <a:alpha val="35%"/>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
                <a:satMod val="350%"/>
              </a:schemeClr>
            </a:gs>
            <a:gs pos="40%">
              <a:schemeClr val="phClr">
                <a:tint val="45%"/>
                <a:shade val="99%"/>
                <a:satMod val="350%"/>
              </a:schemeClr>
            </a:gs>
            <a:gs pos="100%">
              <a:schemeClr val="phClr">
                <a:shade val="20%"/>
                <a:satMod val="255%"/>
              </a:schemeClr>
            </a:gs>
          </a:gsLst>
          <a:path path="circle">
            <a:fillToRect l="50%" t="-80%" r="50%" b="180%"/>
          </a:path>
        </a:gradFill>
        <a:gradFill rotWithShape="1">
          <a:gsLst>
            <a:gs pos="0%">
              <a:schemeClr val="phClr">
                <a:tint val="80%"/>
                <a:satMod val="300%"/>
              </a:schemeClr>
            </a:gs>
            <a:gs pos="100%">
              <a:schemeClr val="phClr">
                <a:shade val="30%"/>
                <a:satMod val="200%"/>
              </a:schemeClr>
            </a:gs>
          </a:gsLst>
          <a:path path="circle">
            <a:fillToRect l="50%" t="50%" r="50%" b="50%"/>
          </a:path>
        </a:gradFill>
      </a:bgFillStyleLst>
    </a:fmtScheme>
  </a:themeElements>
  <a:objectDefaults/>
  <a:extraClrSchemeLst xmlns:a="http://purl.oclc.org/ooxml/drawingml/main"/>
</a:theme>
</file>

<file path=docProps/app.xml><?xml version="1.0" encoding="utf-8"?>
<Properties xmlns="http://purl.oclc.org/ooxml/officeDocument/extendedProperties" xmlns:vt="http://purl.oclc.org/ooxml/officeDocument/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2025-09-25T11:55:50Z</dcterms:created>
</cp:coreProperties>
</file>