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Java 20.12.0 -->
  <w:background w:color="ffffff">
    <mc:AlternateContent>
      <mc:Choice Requires="v">
        <v:background id="_x0000_s1025" filled="t">
          <v:shadow color="#020000"/>
        </v:background>
      </mc:Choice>
      <mc:Fallback>
        <w:drawing>
          <wp:anchor distT="0" distB="0" distL="114300" distR="11430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0" cy="0"/>
            <wp:effectExtent l="0" t="0" r="0" b="0"/>
            <wp:wrapNone/>
            <wp:docPr id="1025" name="Rectangle 1025">
              <a:extLst xmlns:a="http://purl.oclc.org/ooxml/drawingml/main">
                <a:ext xmlns:a="http://purl.oclc.org/ooxml/drawingml/main" uri="{A998136B-4AC2-44c3-8CCF-79AB77ABDD1D}">
                  <a15:backgroundPr xmlns:a15="http://schemas.microsoft.com/office/drawing/2012/main" bwMode="white" bwNormal="auto" bwPure="auto" targetScreenSize="1024x768"/>
                </a:ext>
              </a:extLst>
            </wp:docPr>
            <wp:cNvGraphicFramePr/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xmlns:a="http://purl.oclc.org/ooxml/drawingml/main" uri="{91240B29-F687-4F45-9708-019B960494DF}">
                        <a14:hiddenLine xmlns:a14="http://schemas.microsoft.com/office/drawing/2010/main" w="0">
                          <a:solidFill>
                            <a:srgbClr val="010000"/>
                          </a:solidFill>
                          <a:prstDash val="solid"/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bodyPr rot="0" vert="horz" wrap="square" lIns="91440" tIns="45720" rIns="91440" bIns="45720" anchor="t" anchorCtr="0" upright="1"/>
                </wp:wsp>
              </a:graphicData>
            </a:graphic>
          </wp:anchor>
        </w:drawing>
      </mc:Fallback>
    </mc:AlternateContent>
  </w:background>
  <w:body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end" w:pos="6151"/>
        </w:tabs>
        <w:bidi w:val="0"/>
        <w:spacing w:before="397" w:after="120"/>
        <w:ind w:start="28" w:end="28" w:firstLine="0"/>
        <w:rPr>
          <w:vanish/>
          <w:sz w:val="6"/>
        </w:rPr>
      </w:pPr>
    </w:p>
    <w:p>
      <w:pPr>
        <w:pStyle w:val="TitelArbeitsversion"/>
        <w:bidi w:val="0"/>
      </w:pPr>
      <w:r>
        <w:t>Arbeitsversion</w:t>
      </w:r>
    </w:p>
    <w:p>
      <w:pPr>
        <w:pStyle w:val="Erlasstitel"/>
        <w:bidi w:val="0"/>
      </w:pPr>
      <w:r>
        <w:t>Revision Verordnung über das fakultative Referendum</w:t>
      </w:r>
    </w:p>
    <w:p>
      <w:pPr>
        <w:pStyle w:val="Datum"/>
        <w:bidi w:val="0"/>
      </w:pPr>
      <w:r>
        <w:t>Änderung vom [Datum]</w:t>
      </w:r>
    </w:p>
    <w:p>
      <w:pPr>
        <w:pStyle w:val="ZusammenfassungEinleitung"/>
        <w:bidi w:val="0"/>
      </w:pPr>
      <w:r>
        <w:t>Von diesem Geschäft tangierte Erlasse (GS Nummern)</w:t>
      </w:r>
    </w:p>
    <w:p>
      <w:pPr>
        <w:pStyle w:val="ZusammenfassungneueErlasse"/>
        <w:bidi w:val="0"/>
      </w:pPr>
      <w:r>
        <w:t>Neu:</w:t>
        <w:tab/>
        <w:t>–</w:t>
      </w:r>
    </w:p>
    <w:p>
      <w:pPr>
        <w:pStyle w:val="ZusammenfassunggenderteErlasse"/>
        <w:bidi w:val="0"/>
      </w:pPr>
      <w:r>
        <w:t>Geändert:</w:t>
        <w:tab/>
      </w:r>
      <w:r>
        <w:rPr>
          <w:rStyle w:val="ZusammenfassungHauptnderung"/>
        </w:rPr>
        <w:t>600.010</w:t>
      </w:r>
    </w:p>
    <w:p>
      <w:pPr>
        <w:pStyle w:val="ZusammenfassungaufgehobeneErlasse"/>
        <w:bidi w:val="0"/>
      </w:pPr>
      <w:r>
        <w:t>Aufgehoben:</w:t>
        <w:tab/>
        <w:t>–</w:t>
      </w:r>
    </w:p>
    <w:p>
      <w:pPr>
        <w:pStyle w:val="Autor"/>
        <w:bidi w:val="0"/>
      </w:pPr>
      <w:r>
        <w:t>Der Grosse Rat des Kantons Appenzell I.Rh.,</w:t>
      </w:r>
    </w:p>
    <w:p>
      <w:pPr>
        <w:pStyle w:val="Grundlage"/>
        <w:bidi w:val="0"/>
      </w:pPr>
      <w:r>
        <w:t>in Revision der Verordnung über das fakultative Finanzreferendum vom 20. Oktober 2014,</w:t>
      </w:r>
    </w:p>
    <w:p>
      <w:pPr>
        <w:pStyle w:val="Aktion"/>
        <w:bidi w:val="0"/>
      </w:pPr>
      <w:r>
        <w:t>beschliesst:</w:t>
      </w:r>
    </w:p>
    <w:p>
      <w:pPr>
        <w:pStyle w:val="Abschnittstitel"/>
        <w:bidi w:val="0"/>
      </w:pPr>
      <w:r>
        <w:t>I.</w:t>
      </w:r>
    </w:p>
    <w:p>
      <w:pPr>
        <w:pStyle w:val="Nebenzitat"/>
        <w:bidi w:val="0"/>
        <w:rPr>
          <w:rStyle w:val="IngressAenderungElement"/>
          <w:sz w:val="18"/>
        </w:rPr>
      </w:pPr>
      <w:r>
        <w:t>Änderung Verordnung über das fakultative Finanzreferendum vom 20. Oktober 2014:</w:t>
      </w:r>
    </w:p>
    <w:p>
      <w:pPr>
        <w:keepNext/>
        <w:bidi w:val="0"/>
        <w:spacing w:before="283" w:after="0"/>
      </w:pPr>
      <w:r>
        <w:rPr>
          <w:rStyle w:val="IngressAenderungElement"/>
          <w:sz w:val="18"/>
        </w:rPr>
        <w:t>Titel</w:t>
      </w:r>
      <w:r>
        <w:rPr>
          <w:b/>
          <w:sz w:val="18"/>
        </w:rPr>
        <w:t xml:space="preserve"> </w:t>
      </w:r>
      <w:r>
        <w:rPr>
          <w:rStyle w:val="IngressAenderungAktion"/>
          <w:sz w:val="18"/>
        </w:rPr>
        <w:t>(geändert)</w:t>
      </w:r>
    </w:p>
    <w:p>
      <w:pPr>
        <w:bidi w:val="0"/>
        <w:jc w:val="start"/>
        <w:rPr>
          <w:rStyle w:val="AenderungTitelText"/>
        </w:rPr>
      </w:pPr>
      <w:r>
        <w:t>Verordnung über das fakultative Referendum (VFR)</w:t>
      </w:r>
    </w:p>
    <w:p>
      <w:pPr>
        <w:pStyle w:val="Artikel-nderung"/>
        <w:bidi w:val="0"/>
        <w:rPr>
          <w:vertAlign w:val="superscript"/>
        </w:rPr>
      </w:pPr>
      <w:r>
        <w:rPr>
          <w:rStyle w:val="AenderungTitelText"/>
        </w:rPr>
        <w:t>Art.  1</w:t>
      </w:r>
      <w:r>
        <w:t> </w:t>
      </w:r>
      <w:r>
        <w:rPr>
          <w:rStyle w:val="AenderungTitelText"/>
        </w:rPr>
        <w:t>Abs. 1</w:t>
      </w:r>
      <w:r>
        <w:rPr>
          <w:rStyle w:val="ParagraphAenderungAnmerkung"/>
        </w:rPr>
        <w:t> (geändert)</w:t>
      </w:r>
    </w:p>
    <w:p>
      <w:pPr>
        <w:bidi w:val="0"/>
        <w:rPr>
          <w:rStyle w:val="AenderungTitelText"/>
        </w:rPr>
      </w:pPr>
      <w:r>
        <w:rPr>
          <w:vertAlign w:val="superscript"/>
        </w:rPr>
        <w:t>1</w:t>
      </w:r>
      <w:r>
        <w:t> Diese Verordnung regelt in Ausführung des Gesetzes über die politischen Rechte vom .... (GPR) das Verfahren für fakultative Referenden.</w:t>
      </w:r>
    </w:p>
    <w:p>
      <w:pPr>
        <w:pStyle w:val="Artikel-nderung"/>
        <w:bidi w:val="0"/>
        <w:rPr>
          <w:vertAlign w:val="superscript"/>
        </w:rPr>
      </w:pPr>
      <w:r>
        <w:rPr>
          <w:rStyle w:val="AenderungTitelText"/>
        </w:rPr>
        <w:t>Art.  2</w:t>
      </w:r>
      <w:r>
        <w:t> </w:t>
      </w:r>
      <w:r>
        <w:rPr>
          <w:rStyle w:val="AenderungTitelText"/>
        </w:rPr>
        <w:t>Abs. 2</w:t>
      </w:r>
      <w:r>
        <w:rPr>
          <w:rStyle w:val="ParagraphAenderungAnmerkung"/>
        </w:rPr>
        <w:t> (geändert)</w:t>
      </w:r>
    </w:p>
    <w:p>
      <w:pPr>
        <w:bidi w:val="0"/>
        <w:rPr>
          <w:rStyle w:val="AenderungTitelText"/>
        </w:rPr>
        <w:sectPr>
          <w:headerReference w:type="even" r:id="rId4"/>
          <w:headerReference w:type="default" r:id="rId5"/>
          <w:footerReference w:type="even" r:id="rId6"/>
          <w:footerReference w:type="default" r:id="rId7"/>
          <w:headerReference w:type="first" r:id="rId8"/>
          <w:footerReference w:type="first" r:id="rId9"/>
          <w:pgSz w:w="8391" w:h="11906"/>
          <w:pgMar w:top="1077" w:right="743" w:bottom="994" w:left="1531" w:header="907" w:footer="711"/>
          <w:pgNumType w:fmt="decimal"/>
          <w:cols w:space="720"/>
          <w:titlePg/>
          <w:textDirection w:val="tb"/>
          <w:bidi w:val="0"/>
          <w:docGrid w:linePitch="360" w:charSpace="36864"/>
        </w:sectPr>
      </w:pPr>
      <w:r>
        <w:rPr>
          <w:vertAlign w:val="superscript"/>
        </w:rPr>
        <w:t>2</w:t>
      </w:r>
      <w:r>
        <w:t> Die dem fakultativen Referendum unterstehenden Grossratsbeschlüsse werden im kantonalen Publikationsorgan mitgeteilt.</w:t>
      </w:r>
    </w:p>
    <w:p>
      <w:pPr>
        <w:pStyle w:val="Artikel-nderung"/>
        <w:bidi w:val="0"/>
        <w:rPr>
          <w:vertAlign w:val="superscript"/>
        </w:rPr>
      </w:pPr>
      <w:r>
        <w:rPr>
          <w:rStyle w:val="AenderungTitelText"/>
        </w:rPr>
        <w:t>Art.  3</w:t>
      </w:r>
      <w:r>
        <w:t> </w:t>
      </w:r>
      <w:r>
        <w:rPr>
          <w:rStyle w:val="AenderungTitelText"/>
        </w:rPr>
        <w:t>Abs. 3</w:t>
      </w:r>
      <w:r>
        <w:rPr>
          <w:rStyle w:val="ParagraphAenderungAnmerkung"/>
        </w:rPr>
        <w:t> (geändert)</w:t>
      </w:r>
    </w:p>
    <w:p>
      <w:pPr>
        <w:bidi w:val="0"/>
        <w:rPr>
          <w:rStyle w:val="AenderungTitelText"/>
        </w:rPr>
      </w:pPr>
      <w:r>
        <w:rPr>
          <w:vertAlign w:val="superscript"/>
        </w:rPr>
        <w:t>3</w:t>
      </w:r>
      <w:r>
        <w:t> Der letzte Tag der Referendumsfrist ist in der Veröffentlichung festzuhalten.</w:t>
      </w:r>
    </w:p>
    <w:p>
      <w:pPr>
        <w:pStyle w:val="Artikel-nderung"/>
        <w:bidi w:val="0"/>
        <w:rPr>
          <w:rStyle w:val="ArtikelAusserKraftAnmerkung"/>
        </w:rPr>
      </w:pPr>
      <w:r>
        <w:rPr>
          <w:rStyle w:val="AenderungTitelText"/>
        </w:rPr>
        <w:t>Art.  11</w:t>
      </w:r>
    </w:p>
    <w:p>
      <w:pPr>
        <w:bidi w:val="0"/>
        <w:rPr>
          <w:rStyle w:val="AenderungTitelText"/>
        </w:rPr>
      </w:pPr>
      <w:r>
        <w:rPr>
          <w:rStyle w:val="ArtikelAusserKraftAnmerkung"/>
        </w:rPr>
        <w:t>Aufgehoben.</w:t>
      </w:r>
    </w:p>
    <w:p>
      <w:pPr>
        <w:pStyle w:val="Artikel-nderung"/>
        <w:bidi w:val="0"/>
        <w:rPr>
          <w:rStyle w:val="ArtikelAenderungTitelaenderung"/>
        </w:rPr>
      </w:pPr>
      <w:r>
        <w:rPr>
          <w:rStyle w:val="AenderungTitelText"/>
        </w:rPr>
        <w:t>Art.  11a</w:t>
      </w:r>
      <w:r>
        <w:rPr>
          <w:rStyle w:val="ArtikelAenderungAnmerkung"/>
        </w:rPr>
        <w:t> (neu)</w:t>
      </w:r>
    </w:p>
    <w:p>
      <w:pPr>
        <w:pStyle w:val="Artikeltitel-nderung"/>
        <w:bidi w:val="0"/>
        <w:rPr>
          <w:vertAlign w:val="superscript"/>
        </w:rPr>
      </w:pPr>
      <w:r>
        <w:rPr>
          <w:rStyle w:val="ArtikelAenderungTitelaenderung"/>
        </w:rPr>
        <w:t>Referenden Bezirke und Gemeinden</w:t>
      </w:r>
    </w:p>
    <w:p>
      <w:pPr>
        <w:bidi w:val="0"/>
        <w:rPr>
          <w:vertAlign w:val="superscript"/>
        </w:rPr>
      </w:pPr>
      <w:r>
        <w:rPr>
          <w:vertAlign w:val="superscript"/>
        </w:rPr>
        <w:t>1</w:t>
      </w:r>
      <w:r>
        <w:t> Die Bezirke und Gemeinden können das kantonale Verfahren für die Abwicklung von Referenden und die Zuständigkeiten auf ihre Bedürfnisse und die örtlichen Verhältnisse anpassen.</w:t>
      </w:r>
    </w:p>
    <w:p>
      <w:pPr>
        <w:bidi w:val="0"/>
      </w:pPr>
      <w:r>
        <w:rPr>
          <w:vertAlign w:val="superscript"/>
        </w:rPr>
        <w:t>2</w:t>
      </w:r>
      <w:r>
        <w:t> Soweit eine entsprechende Regelung im Bezirks- oder Gemeinderecht fehlt, wird das kantonale Recht sinngemäss angewandt.</w:t>
      </w:r>
    </w:p>
    <w:p>
      <w:pPr>
        <w:pStyle w:val="Abschnittstitel"/>
        <w:bidi w:val="0"/>
      </w:pPr>
      <w:r>
        <w:t>II.</w:t>
      </w:r>
    </w:p>
    <w:p>
      <w:pPr>
        <w:pStyle w:val="EmptySectionRemark"/>
        <w:bidi w:val="0"/>
      </w:pPr>
      <w:r>
        <w:t>Keine Fremdänderungen.</w:t>
      </w:r>
    </w:p>
    <w:p>
      <w:pPr>
        <w:pStyle w:val="Abschnittstitel"/>
        <w:bidi w:val="0"/>
      </w:pPr>
      <w:r>
        <w:t>III.</w:t>
      </w:r>
    </w:p>
    <w:p>
      <w:pPr>
        <w:pStyle w:val="EmptySectionRemark"/>
        <w:bidi w:val="0"/>
      </w:pPr>
      <w:r>
        <w:t>Keine Fremdaufhebungen.</w:t>
      </w:r>
    </w:p>
    <w:p>
      <w:pPr>
        <w:pStyle w:val="Abschnittstitel"/>
        <w:bidi w:val="0"/>
      </w:pPr>
      <w:r>
        <w:t>IV.</w:t>
      </w:r>
    </w:p>
    <w:p>
      <w:pPr>
        <w:pStyle w:val="InkrafttretensklauselErsterAbsatz"/>
        <w:bidi w:val="0"/>
        <w:spacing w:before="0" w:after="0"/>
        <w:rPr>
          <w:b/>
          <w:sz w:val="24"/>
        </w:rPr>
      </w:pPr>
      <w:r>
        <w:t>Dieser Beschluss tritt am ... in Kraft.</w:t>
      </w:r>
    </w:p>
    <w:sectPr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8391" w:h="11906"/>
      <w:pgMar w:top="1871" w:right="743" w:bottom="994" w:left="1531" w:header="907" w:footer="711"/>
      <w:pgNumType w:fmt="decimal"/>
      <w:cols w:space="720"/>
      <w:textDirection w:val="tb"/>
      <w:bidi w:val="0"/>
      <w:docGrid w:linePitch="360" w:charSpace="36864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font w:name="Times New Roman">
    <w:panose1 w:val="00000000000000000000"/>
    <w:charset w:characterSet="iso-8859-1"/>
    <w:family w:val="roman"/>
    <w:pitch w:val="variable"/>
    <w:sig w:usb0="00000000" w:usb1="00000000" w:usb2="00000000" w:usb3="00000000" w:csb0="00000000" w:csb1="00000000"/>
  </w:font>
  <w:font w:name="Symbol">
    <w:panose1 w:val="00000000000000000000"/>
    <w:family w:val="roman"/>
    <w:pitch w:val="variable"/>
    <w:sig w:usb0="00000000" w:usb1="00000000" w:usb2="00000000" w:usb3="00000000" w:csb0="00000000" w:csb1="00000000"/>
  </w:font>
  <w:font w:name="Arial">
    <w:panose1 w:val="00000000000000000000"/>
    <w:family w:val="swiss"/>
    <w:pitch w:val="variable"/>
    <w:sig w:usb0="00000000" w:usb1="00000000" w:usb2="00000000" w:usb3="00000000" w:csb0="00000000" w:csb1="00000000"/>
  </w:font>
  <w:font w:name="Liberation Serif">
    <w:altName w:val="Times New Roman"/>
    <w:panose1 w:val="000000000000000000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tabs>
        <w:tab w:val="end" w:pos="96"/>
      </w:tabs>
      <w:bidi w:val="0"/>
      <w:spacing w:before="0" w:after="6"/>
      <w:ind w:start="-1134" w:end="0" w:firstLine="0"/>
      <w:jc w:val="start"/>
    </w:pPr>
    <w:r>
      <w:rPr>
        <w:color w:val="auto"/>
        <w:sz w:val="18"/>
        <w:lang w:val="de-CH"/>
      </w:rPr>
      <w:tab/>
    </w:r>
    <w:r>
      <w:rPr>
        <w:color w:val="auto"/>
        <w:position w:val="0"/>
        <w:sz w:val="18"/>
        <w:vertAlign w:val="baseline"/>
        <w:lang w:val="de-CH"/>
      </w:rPr>
      <w:fldChar w:fldCharType="begin"/>
    </w:r>
    <w:r>
      <w:rPr>
        <w:color w:val="auto"/>
        <w:position w:val="0"/>
        <w:sz w:val="18"/>
        <w:vertAlign w:val="baseline"/>
        <w:lang w:val="de-CH"/>
      </w:rPr>
      <w:instrText xml:space="preserve"> PAGE </w:instrText>
    </w:r>
    <w:r>
      <w:rPr>
        <w:color w:val="auto"/>
        <w:position w:val="0"/>
        <w:sz w:val="18"/>
        <w:vertAlign w:val="baseline"/>
        <w:lang w:val="de-CH"/>
      </w:rPr>
      <w:fldChar w:fldCharType="separate"/>
    </w:r>
    <w:r>
      <w:rPr>
        <w:color w:val="auto"/>
        <w:position w:val="0"/>
        <w:sz w:val="18"/>
        <w:vertAlign w:val="baseline"/>
        <w:lang w:val="de-CH"/>
      </w:rPr>
      <w:t>0</w:t>
    </w:r>
    <w:r>
      <w:rPr>
        <w:color w:val="auto"/>
        <w:position w:val="0"/>
        <w:sz w:val="18"/>
        <w:vertAlign w:val="baseline"/>
        <w:lang w:val="de-CH"/>
      </w:rPr>
      <w:fldChar w:fldCharType="end"/>
    </w:r>
  </w:p>
  <w:p>
    <w:pPr>
      <w:pStyle w:val="Footer"/>
      <w:bidi w:val="0"/>
      <w:jc w:val="star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tabs>
        <w:tab w:val="end" w:pos="6123"/>
      </w:tabs>
      <w:bidi w:val="0"/>
      <w:spacing w:before="0" w:after="6"/>
      <w:ind w:start="0" w:end="-1080" w:firstLine="0"/>
      <w:jc w:val="start"/>
    </w:pPr>
    <w:r>
      <w:rPr>
        <w:color w:val="auto"/>
        <w:sz w:val="18"/>
        <w:lang w:val="de-CH"/>
      </w:rPr>
      <w:tab/>
    </w:r>
    <w:r>
      <w:rPr>
        <w:color w:val="auto"/>
        <w:position w:val="0"/>
        <w:sz w:val="18"/>
        <w:vertAlign w:val="baseline"/>
        <w:lang w:val="de-CH"/>
      </w:rPr>
      <w:fldChar w:fldCharType="begin"/>
    </w:r>
    <w:r>
      <w:rPr>
        <w:color w:val="auto"/>
        <w:position w:val="0"/>
        <w:sz w:val="18"/>
        <w:vertAlign w:val="baseline"/>
        <w:lang w:val="de-CH"/>
      </w:rPr>
      <w:instrText xml:space="preserve"> PAGE </w:instrText>
    </w:r>
    <w:r>
      <w:rPr>
        <w:color w:val="auto"/>
        <w:position w:val="0"/>
        <w:sz w:val="18"/>
        <w:vertAlign w:val="baseline"/>
        <w:lang w:val="de-CH"/>
      </w:rPr>
      <w:fldChar w:fldCharType="separate"/>
    </w:r>
    <w:r>
      <w:rPr>
        <w:color w:val="auto"/>
        <w:position w:val="0"/>
        <w:sz w:val="18"/>
        <w:vertAlign w:val="baseline"/>
        <w:lang w:val="de-CH"/>
      </w:rPr>
      <w:t>0</w:t>
    </w:r>
    <w:r>
      <w:rPr>
        <w:color w:val="auto"/>
        <w:position w:val="0"/>
        <w:sz w:val="18"/>
        <w:vertAlign w:val="baseline"/>
        <w:lang w:val="de-CH"/>
      </w:rPr>
      <w:fldChar w:fldCharType="end"/>
    </w:r>
  </w:p>
  <w:p>
    <w:pPr>
      <w:pStyle w:val="Footer"/>
      <w:bidi w:val="0"/>
      <w:jc w:val="star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tabs>
        <w:tab w:val="end" w:pos="6123"/>
      </w:tabs>
      <w:bidi w:val="0"/>
      <w:spacing w:before="0" w:after="6"/>
      <w:ind w:start="0" w:end="-1080" w:firstLine="0"/>
      <w:jc w:val="start"/>
    </w:pPr>
    <w:r>
      <w:rPr>
        <w:color w:val="auto"/>
        <w:sz w:val="18"/>
        <w:lang w:val="de-CH"/>
      </w:rPr>
      <w:tab/>
    </w:r>
    <w:r>
      <w:rPr>
        <w:color w:val="auto"/>
        <w:position w:val="0"/>
        <w:sz w:val="18"/>
        <w:vertAlign w:val="baseline"/>
        <w:lang w:val="de-CH"/>
      </w:rPr>
      <w:fldChar w:fldCharType="begin"/>
    </w:r>
    <w:r>
      <w:rPr>
        <w:color w:val="auto"/>
        <w:position w:val="0"/>
        <w:sz w:val="18"/>
        <w:vertAlign w:val="baseline"/>
        <w:lang w:val="de-CH"/>
      </w:rPr>
      <w:instrText xml:space="preserve"> PAGE </w:instrText>
    </w:r>
    <w:r>
      <w:rPr>
        <w:color w:val="auto"/>
        <w:position w:val="0"/>
        <w:sz w:val="18"/>
        <w:vertAlign w:val="baseline"/>
        <w:lang w:val="de-CH"/>
      </w:rPr>
      <w:fldChar w:fldCharType="separate"/>
    </w:r>
    <w:r>
      <w:rPr>
        <w:color w:val="auto"/>
        <w:position w:val="0"/>
        <w:sz w:val="18"/>
        <w:vertAlign w:val="baseline"/>
        <w:lang w:val="de-CH"/>
      </w:rPr>
      <w:t>1</w:t>
    </w:r>
    <w:r>
      <w:rPr>
        <w:color w:val="auto"/>
        <w:position w:val="0"/>
        <w:sz w:val="18"/>
        <w:vertAlign w:val="baseline"/>
        <w:lang w:val="de-CH"/>
      </w:rPr>
      <w:fldChar w:fldCharType="end"/>
    </w:r>
  </w:p>
  <w:p>
    <w:pPr>
      <w:pStyle w:val="Footer"/>
      <w:bidi w:val="0"/>
      <w:jc w:val="star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tabs>
        <w:tab w:val="end" w:pos="96"/>
      </w:tabs>
      <w:bidi w:val="0"/>
      <w:spacing w:before="0" w:after="6"/>
      <w:ind w:start="-1134" w:end="0" w:firstLine="0"/>
      <w:jc w:val="start"/>
    </w:pPr>
    <w:r>
      <w:rPr>
        <w:color w:val="auto"/>
        <w:sz w:val="18"/>
        <w:lang w:val="de-CH"/>
      </w:rPr>
      <w:tab/>
    </w:r>
    <w:r>
      <w:rPr>
        <w:color w:val="auto"/>
        <w:position w:val="0"/>
        <w:sz w:val="18"/>
        <w:vertAlign w:val="baseline"/>
        <w:lang w:val="de-CH"/>
      </w:rPr>
      <w:fldChar w:fldCharType="begin"/>
    </w:r>
    <w:r>
      <w:rPr>
        <w:color w:val="auto"/>
        <w:position w:val="0"/>
        <w:sz w:val="18"/>
        <w:vertAlign w:val="baseline"/>
        <w:lang w:val="de-CH"/>
      </w:rPr>
      <w:instrText xml:space="preserve"> PAGE </w:instrText>
    </w:r>
    <w:r>
      <w:rPr>
        <w:color w:val="auto"/>
        <w:position w:val="0"/>
        <w:sz w:val="18"/>
        <w:vertAlign w:val="baseline"/>
        <w:lang w:val="de-CH"/>
      </w:rPr>
      <w:fldChar w:fldCharType="separate"/>
    </w:r>
    <w:r>
      <w:rPr>
        <w:color w:val="auto"/>
        <w:position w:val="0"/>
        <w:sz w:val="18"/>
        <w:vertAlign w:val="baseline"/>
        <w:lang w:val="de-CH"/>
      </w:rPr>
      <w:t>2</w:t>
    </w:r>
    <w:r>
      <w:rPr>
        <w:color w:val="auto"/>
        <w:position w:val="0"/>
        <w:sz w:val="18"/>
        <w:vertAlign w:val="baseline"/>
        <w:lang w:val="de-CH"/>
      </w:rPr>
      <w:fldChar w:fldCharType="end"/>
    </w:r>
  </w:p>
  <w:p>
    <w:pPr>
      <w:pStyle w:val="Footer"/>
      <w:bidi w:val="0"/>
      <w:jc w:val="star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tabs>
        <w:tab w:val="end" w:pos="6123"/>
      </w:tabs>
      <w:bidi w:val="0"/>
      <w:spacing w:before="0" w:after="6"/>
      <w:ind w:start="0" w:end="-1080" w:firstLine="0"/>
      <w:jc w:val="start"/>
    </w:pPr>
    <w:r>
      <w:rPr>
        <w:color w:val="auto"/>
        <w:sz w:val="18"/>
        <w:lang w:val="de-CH"/>
      </w:rPr>
      <w:tab/>
    </w:r>
    <w:r>
      <w:rPr>
        <w:color w:val="auto"/>
        <w:position w:val="0"/>
        <w:sz w:val="18"/>
        <w:vertAlign w:val="baseline"/>
        <w:lang w:val="de-CH"/>
      </w:rPr>
      <w:fldChar w:fldCharType="begin"/>
    </w:r>
    <w:r>
      <w:rPr>
        <w:color w:val="auto"/>
        <w:position w:val="0"/>
        <w:sz w:val="18"/>
        <w:vertAlign w:val="baseline"/>
        <w:lang w:val="de-CH"/>
      </w:rPr>
      <w:instrText xml:space="preserve"> PAGE </w:instrText>
    </w:r>
    <w:r>
      <w:rPr>
        <w:color w:val="auto"/>
        <w:position w:val="0"/>
        <w:sz w:val="18"/>
        <w:vertAlign w:val="baseline"/>
        <w:lang w:val="de-CH"/>
      </w:rPr>
      <w:fldChar w:fldCharType="separate"/>
    </w:r>
    <w:r>
      <w:rPr>
        <w:color w:val="auto"/>
        <w:position w:val="0"/>
        <w:sz w:val="18"/>
        <w:vertAlign w:val="baseline"/>
        <w:lang w:val="de-CH"/>
      </w:rPr>
      <w:t>0</w:t>
    </w:r>
    <w:r>
      <w:rPr>
        <w:color w:val="auto"/>
        <w:position w:val="0"/>
        <w:sz w:val="18"/>
        <w:vertAlign w:val="baseline"/>
        <w:lang w:val="de-CH"/>
      </w:rPr>
      <w:fldChar w:fldCharType="end"/>
    </w:r>
  </w:p>
  <w:p>
    <w:pPr>
      <w:pStyle w:val="Footer"/>
      <w:bidi w:val="0"/>
      <w:jc w:val="star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bidi w:val="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tabs>
        <w:tab w:val="end" w:pos="6129"/>
      </w:tabs>
      <w:bidi w:val="0"/>
      <w:spacing w:before="352" w:after="165" w:line="240" w:lineRule="exact"/>
      <w:ind w:start="6" w:end="0" w:firstLine="0"/>
      <w:jc w:val="start"/>
    </w:pPr>
    <w:r>
      <w:rPr>
        <w:b/>
        <w:sz w:val="24"/>
      </w:rPr>
      <w:t>E 600.010 - 2025</w:t>
    </w:r>
    <w:r>
      <w:tab/>
    </w:r>
    <w:r>
      <w:rPr>
        <w:b/>
        <w:sz w:val="18"/>
      </w:rPr>
      <w:t>Kanton Appenzell Innerrhoden</w:t>
    </w:r>
  </w:p>
  <w:p>
    <w:pPr>
      <w:pStyle w:val="Header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bidi w:val="0"/>
      <w:spacing w:before="20" w:after="0" w:line="20" w:lineRule="exact"/>
      <w:ind w:start="-28" w:end="-28" w:firstLine="0"/>
      <w:jc w:val="star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tabs>
        <w:tab w:val="end" w:pos="6123"/>
      </w:tabs>
      <w:bidi w:val="0"/>
      <w:spacing w:before="352" w:after="165" w:line="240" w:lineRule="exact"/>
      <w:ind w:start="0" w:end="11" w:firstLine="0"/>
      <w:jc w:val="start"/>
    </w:pPr>
    <w:r>
      <w:rPr>
        <w:b/>
        <w:sz w:val="18"/>
      </w:rPr>
      <w:t>Kanton Appenzell Innerrhoden</w:t>
    </w:r>
    <w:r>
      <w:tab/>
    </w:r>
    <w:r>
      <w:rPr>
        <w:b/>
        <w:sz w:val="24"/>
      </w:rPr>
      <w:t>E 600.010 - 2025</w:t>
    </w:r>
  </w:p>
  <w:p>
    <w:pPr>
      <w:pStyle w:val="Header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bidi w:val="0"/>
      <w:spacing w:before="20" w:after="0" w:line="20" w:lineRule="exact"/>
      <w:ind w:start="0" w:end="0" w:firstLine="0"/>
      <w:jc w:val="star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tabs>
        <w:tab w:val="end" w:pos="6123"/>
      </w:tabs>
      <w:bidi w:val="0"/>
      <w:spacing w:before="352" w:after="165"/>
      <w:ind w:start="0" w:end="11" w:firstLine="850"/>
      <w:jc w:val="start"/>
    </w:pPr>
    <w:r>
      <w:drawing>
        <wp:anchor distT="0" distB="0" distL="17780" distR="114935" simplePos="0" relativeHeight="251658240" behindDoc="1" locked="0" layoutInCell="0" allowOverlap="1">
          <wp:simplePos x="0" y="0"/>
          <wp:positionH relativeFrom="column">
            <wp:align>left</wp:align>
          </wp:positionH>
          <wp:positionV relativeFrom="paragraph">
            <wp:posOffset>5080</wp:posOffset>
          </wp:positionV>
          <wp:extent cx="398145" cy="441960"/>
          <wp:effectExtent l="0" t="0" r="0" b="0"/>
          <wp:wrapNone/>
          <wp:docPr id="2049" name="Image 2049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2049" name="Image 2049"/>
                  <pic:cNvPicPr>
                    <a:picLocks noChangeAspect="1" noChangeArrowheads="1"/>
                  </pic:cNvPicPr>
                </pic:nvPicPr>
                <pic:blipFill>
                  <a:blip xmlns:r="http://purl.oclc.org/ooxml/officeDocument/relationships" r:embed="rId1">
                    <a:extLst>
                      <a:ext xmlns:a="http://purl.oclc.org/ooxml/drawingml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8145" cy="441960"/>
                  </a:xfrm>
                  <a:prstGeom prst="rect">
                    <a:avLst/>
                  </a:prstGeom>
                  <a:solidFill>
                    <a:srgbClr val="FFFFFF">
                      <a:alpha val="0%"/>
                    </a:srgbClr>
                  </a:solidFill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18"/>
      </w:rPr>
      <w:t>Kanton Appenzell Innerrhoden</w:t>
    </w:r>
    <w:r>
      <w:t xml:space="preserve">  </w:t>
      <w:tab/>
    </w:r>
    <w:r>
      <w:rPr>
        <w:b/>
        <w:sz w:val="24"/>
      </w:rPr>
      <w:t>E 600.010 - 2025</w:t>
    </w:r>
  </w:p>
  <w:p>
    <w:pPr>
      <w:pStyle w:val="Header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bidi w:val="0"/>
      <w:spacing w:before="20" w:after="0" w:line="20" w:lineRule="exact"/>
      <w:ind w:start="0" w:end="0" w:firstLine="0"/>
      <w:jc w:val="star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tabs>
        <w:tab w:val="end" w:pos="6129"/>
      </w:tabs>
      <w:bidi w:val="0"/>
      <w:spacing w:before="352" w:after="165" w:line="240" w:lineRule="exact"/>
      <w:ind w:start="6" w:end="0" w:firstLine="0"/>
      <w:jc w:val="start"/>
    </w:pPr>
    <w:r>
      <w:rPr>
        <w:b/>
        <w:sz w:val="24"/>
      </w:rPr>
      <w:t>E 600.010 - 2025</w:t>
    </w:r>
    <w:r>
      <w:tab/>
    </w:r>
    <w:r>
      <w:rPr>
        <w:b/>
        <w:sz w:val="18"/>
      </w:rPr>
      <w:t>Kanton Appenzell Innerrhoden</w:t>
    </w:r>
  </w:p>
  <w:p>
    <w:pPr>
      <w:pStyle w:val="Header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bidi w:val="0"/>
      <w:spacing w:before="20" w:after="0" w:line="20" w:lineRule="exact"/>
      <w:ind w:start="-28" w:end="-28" w:firstLine="0"/>
      <w:jc w:val="star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tabs>
        <w:tab w:val="end" w:pos="6123"/>
      </w:tabs>
      <w:bidi w:val="0"/>
      <w:spacing w:before="352" w:after="165" w:line="240" w:lineRule="exact"/>
      <w:ind w:start="0" w:end="11" w:firstLine="0"/>
      <w:jc w:val="start"/>
    </w:pPr>
    <w:r>
      <w:rPr>
        <w:b/>
        <w:sz w:val="18"/>
      </w:rPr>
      <w:t>Kanton Appenzell Innerrhoden</w:t>
    </w:r>
    <w:r>
      <w:tab/>
    </w:r>
    <w:r>
      <w:rPr>
        <w:b/>
        <w:sz w:val="24"/>
      </w:rPr>
      <w:t>E 600.010 - 2025</w:t>
    </w:r>
  </w:p>
  <w:p>
    <w:pPr>
      <w:pStyle w:val="Header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bidi w:val="0"/>
      <w:spacing w:before="20" w:after="0" w:line="20" w:lineRule="exact"/>
      <w:ind w:start="0" w:end="0" w:firstLine="0"/>
      <w:jc w:val="star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zoom w:percent="100%"/>
  <w:embedSystemFonts/>
  <w:mirrorMargins/>
  <w:stylePaneFormatFilter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isibleStyles="0"/>
  <w:revisionView w:comments="1" w:formatting="0" w:inkAnnotations="1" w:insDel="0" w:markup="1"/>
  <w:defaultTabStop w:val="709"/>
  <w:defaultTableStyle w:val="Normal"/>
  <w:autoHyphenation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EmbedSmartTags/>
  <w:footnotePr>
    <w:pos w:val="beneathText"/>
  </w:foot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keepLines/>
      <w:widowControl w:val="0"/>
      <w:suppressAutoHyphens w:val="0"/>
      <w:kinsoku/>
      <w:overflowPunct/>
      <w:autoSpaceDE/>
      <w:bidi w:val="0"/>
      <w:spacing w:before="0" w:after="113"/>
      <w:jc w:val="both"/>
    </w:pPr>
    <w:rPr>
      <w:rFonts w:ascii="Arial" w:hAnsi="Arial"/>
      <w:color w:val="auto"/>
      <w:sz w:val="18"/>
      <w:lang w:val="de-CH" w:eastAsia="zh-CN" w:bidi="hi-IN"/>
    </w:rPr>
  </w:style>
  <w:style w:type="character" w:default="1" w:styleId="DefaultParagraphFont">
    <w:name w:val="Default Paragraph Font"/>
    <w:semiHidden/>
  </w:style>
  <w:style w:type="character" w:customStyle="1" w:styleId="Absatz-Standardschriftart">
    <w:name w:val="Absatz-Standardschriftart"/>
  </w:style>
  <w:style w:type="character" w:customStyle="1" w:styleId="ZusammenfassungHauptnderung">
    <w:name w:val="Zusammenfassung Hauptänderung"/>
    <w:rPr>
      <w:b/>
    </w:rPr>
  </w:style>
  <w:style w:type="character" w:customStyle="1" w:styleId="Zusammenfassungnderung">
    <w:name w:val="Zusammenfassung Änderung"/>
  </w:style>
  <w:style w:type="character" w:styleId="FootnoteReference">
    <w:name w:val="footnote reference"/>
    <w:rPr>
      <w:b w:val="0"/>
      <w:shd w:val="clear" w:color="auto" w:fill="auto"/>
      <w:vertAlign w:val="superscript"/>
    </w:rPr>
  </w:style>
  <w:style w:type="character" w:customStyle="1" w:styleId="FootnoteCharacters">
    <w:name w:val="Footnote Characters"/>
    <w:rPr>
      <w:rFonts w:ascii="Arial" w:hAnsi="Arial"/>
      <w:vertAlign w:val="superscript"/>
    </w:rPr>
  </w:style>
  <w:style w:type="character" w:customStyle="1" w:styleId="IngressAenderungElement">
    <w:name w:val="Ingress_Aenderung_Element"/>
    <w:rPr>
      <w:b/>
    </w:rPr>
  </w:style>
  <w:style w:type="character" w:customStyle="1" w:styleId="IngressAenderungAktion">
    <w:name w:val="Ingress_Aenderung_Aktion"/>
    <w:rPr>
      <w:b/>
    </w:rPr>
  </w:style>
  <w:style w:type="character" w:customStyle="1" w:styleId="AenderungTitelText">
    <w:name w:val="Aenderung_Titel_Text"/>
    <w:rPr>
      <w:b/>
    </w:rPr>
  </w:style>
  <w:style w:type="character" w:customStyle="1" w:styleId="ArtikelAenderungTitelaenderung">
    <w:name w:val="Artikel_Aenderung_Titel_aenderung"/>
    <w:rPr>
      <w:b w:val="0"/>
    </w:rPr>
  </w:style>
  <w:style w:type="character" w:customStyle="1" w:styleId="TitelAenderungAnmerkung">
    <w:name w:val="Titel_Aenderung_Anmerkung"/>
    <w:rPr>
      <w:b w:val="0"/>
      <w:sz w:val="14"/>
    </w:rPr>
  </w:style>
  <w:style w:type="character" w:customStyle="1" w:styleId="ArtikelAenderungAnmerkung">
    <w:name w:val="Artikel_Aenderung_Anmerkung"/>
    <w:rPr>
      <w:b w:val="0"/>
      <w:sz w:val="14"/>
    </w:rPr>
  </w:style>
  <w:style w:type="character" w:customStyle="1" w:styleId="ParagraphAenderungAnmerkung">
    <w:name w:val="Paragraph_Aenderung_Anmerkung"/>
    <w:rPr>
      <w:b w:val="0"/>
      <w:sz w:val="14"/>
    </w:rPr>
  </w:style>
  <w:style w:type="character" w:customStyle="1" w:styleId="AbbildungAnmerkung">
    <w:name w:val="Abbildung_Anmerkung"/>
    <w:rPr>
      <w:i/>
    </w:rPr>
  </w:style>
  <w:style w:type="character" w:customStyle="1" w:styleId="ListelementAenderungAnmerkung">
    <w:name w:val="Listelement_Aenderung_Anmerkung"/>
    <w:rPr>
      <w:b w:val="0"/>
      <w:sz w:val="14"/>
    </w:rPr>
  </w:style>
  <w:style w:type="character" w:customStyle="1" w:styleId="TabelleAenderungAnmerkung">
    <w:name w:val="Tabelle_Aenderung_Anmerkung"/>
    <w:rPr>
      <w:i/>
    </w:rPr>
  </w:style>
  <w:style w:type="character" w:customStyle="1" w:styleId="AnnexAenderungAnmerkung">
    <w:name w:val="Annex_Aenderung_Anmerkung"/>
    <w:rPr>
      <w:b w:val="0"/>
      <w:sz w:val="14"/>
    </w:rPr>
  </w:style>
  <w:style w:type="character" w:customStyle="1" w:styleId="ItalicAnmerkung">
    <w:name w:val="Italic_Anmerkung"/>
    <w:rPr>
      <w:i/>
    </w:rPr>
  </w:style>
  <w:style w:type="character" w:customStyle="1" w:styleId="TitelLoeschungAnmerkung">
    <w:name w:val="Titel_Loeschung_Anmerkung"/>
    <w:basedOn w:val="ItalicAnmerkung"/>
  </w:style>
  <w:style w:type="character" w:customStyle="1" w:styleId="TitelAusserKraftAnmerkung">
    <w:name w:val="Titel_Ausser_Kraft_Anmerkung"/>
    <w:basedOn w:val="ItalicAnmerkung"/>
  </w:style>
  <w:style w:type="character" w:customStyle="1" w:styleId="TitelWiederInKraftAnmerkung">
    <w:name w:val="Titel_Wieder_In_Kraft_Anmerkung"/>
    <w:basedOn w:val="ItalicAnmerkung"/>
  </w:style>
  <w:style w:type="character" w:customStyle="1" w:styleId="ArtikelLoeschungAnmerkung">
    <w:name w:val="Artikel_Loeschung_Anmerkung"/>
    <w:basedOn w:val="ItalicAnmerkung"/>
  </w:style>
  <w:style w:type="character" w:customStyle="1" w:styleId="ArtikelAusserKraftAnmerkung">
    <w:name w:val="Artikel_Ausser_Kraft_Anmerkung"/>
    <w:basedOn w:val="ItalicAnmerkung"/>
  </w:style>
  <w:style w:type="character" w:customStyle="1" w:styleId="ArtikelWiederInKraftAnmerkung">
    <w:name w:val="Artikel_Wieder_In_Kraft_Anmerkung"/>
    <w:basedOn w:val="ArtikelAenderungAnmerkung"/>
  </w:style>
  <w:style w:type="character" w:customStyle="1" w:styleId="ParagraphLoeschungAnmerkung">
    <w:name w:val="Paragraph_Loeschung_Anmerkung"/>
    <w:basedOn w:val="ItalicAnmerkung"/>
  </w:style>
  <w:style w:type="character" w:customStyle="1" w:styleId="ParagraphAusserKraftAnmerkung">
    <w:name w:val="Paragraph_Ausser_Kraft_Anmerkung"/>
    <w:basedOn w:val="ItalicAnmerkung"/>
  </w:style>
  <w:style w:type="character" w:customStyle="1" w:styleId="ParagraphWiederInKraftAnmerkung">
    <w:name w:val="Paragraph_Wieder_In_Kraft_Anmerkung"/>
    <w:basedOn w:val="ItalicAnmerkung"/>
  </w:style>
  <w:style w:type="character" w:customStyle="1" w:styleId="ListelementLoeschungAnmerkung">
    <w:name w:val="Listelement_Loeschung_Anmerkung"/>
    <w:basedOn w:val="ItalicAnmerkung"/>
  </w:style>
  <w:style w:type="character" w:customStyle="1" w:styleId="ListelementUnveraendertAnmerkung">
    <w:name w:val="Listelement_Unveraendert_Anmerkung"/>
    <w:basedOn w:val="ItalicAnmerkung"/>
  </w:style>
  <w:style w:type="character" w:customStyle="1" w:styleId="ListelementAusserKraftAnmerkung">
    <w:name w:val="Listelement_Ausser_Kraft_Anmerkung"/>
    <w:basedOn w:val="ItalicAnmerkung"/>
  </w:style>
  <w:style w:type="character" w:customStyle="1" w:styleId="ListelementWiederInKraftAnmerkung">
    <w:name w:val="Listelement_Wieder_In_Kraft_Anmerkung"/>
    <w:basedOn w:val="ItalicAnmerkung"/>
  </w:style>
  <w:style w:type="character" w:customStyle="1" w:styleId="AnnexLoeschungAnmerkung">
    <w:name w:val="Annex_Loeschung_Anmerkung"/>
    <w:basedOn w:val="ItalicAnmerkung"/>
  </w:style>
  <w:style w:type="character" w:customStyle="1" w:styleId="AnnexAusserKraftAnmerkung">
    <w:name w:val="Annex_Ausser_Kraft_Anmerkung"/>
    <w:basedOn w:val="ItalicAnmerkung"/>
  </w:style>
  <w:style w:type="character" w:customStyle="1" w:styleId="AnnexWiederInKraftAnmerkung">
    <w:name w:val="Annex_Wieder_In_Kraft_Anmerkung"/>
    <w:basedOn w:val="ItalicAnmerkung"/>
  </w:style>
  <w:style w:type="character" w:customStyle="1" w:styleId="TabelleLoeschungAnmerkung">
    <w:name w:val="Tabelle_Loeschung_Anmerkung"/>
    <w:basedOn w:val="ItalicAnmerkung"/>
  </w:style>
  <w:style w:type="character" w:customStyle="1" w:styleId="TabelleUnveraendertAnmerkung">
    <w:name w:val="Tabelle_Unveraendert_Anmerkung"/>
    <w:basedOn w:val="ItalicAnmerkung"/>
  </w:style>
  <w:style w:type="character" w:customStyle="1" w:styleId="TabelleAusserKraftAnmerkung">
    <w:name w:val="Tabelle_Ausser_Kraft_Anmerkung"/>
    <w:basedOn w:val="ItalicAnmerkung"/>
  </w:style>
  <w:style w:type="character" w:customStyle="1" w:styleId="TabelleWiederInKraftAnmerkung">
    <w:name w:val="Tabelle_Wieder_In_Kraft_Anmerkung"/>
    <w:basedOn w:val="ItalicAnmerkung"/>
  </w:style>
  <w:style w:type="paragraph" w:customStyle="1" w:styleId="StandardvorAufzhlung">
    <w:name w:val="Standard vor Aufzählung"/>
    <w:basedOn w:val="Normal"/>
    <w:pPr>
      <w:keepNext/>
      <w:spacing w:before="0" w:after="80"/>
    </w:pPr>
  </w:style>
  <w:style w:type="paragraph" w:customStyle="1" w:styleId="StandardvorTabelle">
    <w:name w:val="Standard vor Tabelle"/>
    <w:basedOn w:val="Normal"/>
    <w:pPr>
      <w:spacing w:before="0" w:after="80"/>
    </w:pPr>
  </w:style>
  <w:style w:type="paragraph" w:customStyle="1" w:styleId="StandardvorBild">
    <w:name w:val="Standard vor Bild"/>
    <w:basedOn w:val="Normal"/>
    <w:pPr>
      <w:keepNext/>
      <w:spacing w:before="0" w:after="80"/>
    </w:pPr>
  </w:style>
  <w:style w:type="paragraph" w:customStyle="1" w:styleId="StandardBild">
    <w:name w:val="Standard Bild"/>
    <w:basedOn w:val="Normal"/>
    <w:pPr>
      <w:spacing w:line="240" w:lineRule="auto"/>
      <w:jc w:val="center"/>
    </w:p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end" w:pos="9972"/>
      </w:tabs>
    </w:pPr>
  </w:style>
  <w:style w:type="paragraph" w:styleId="Header">
    <w:name w:val="header"/>
    <w:pPr>
      <w:widowControl w:val="0"/>
      <w:suppressAutoHyphens/>
      <w:kinsoku/>
      <w:overflowPunct/>
      <w:autoSpaceDE/>
      <w:bidi w:val="0"/>
    </w:pPr>
    <w:rPr>
      <w:rFonts w:ascii="Arial" w:hAnsi="Arial"/>
      <w:color w:val="auto"/>
      <w:sz w:val="18"/>
      <w:lang w:val="de-CH" w:eastAsia="zh-CN" w:bidi="hi-IN"/>
    </w:rPr>
  </w:style>
  <w:style w:type="paragraph" w:styleId="Footer">
    <w:name w:val="footer"/>
    <w:basedOn w:val="Header"/>
  </w:style>
  <w:style w:type="paragraph" w:customStyle="1" w:styleId="Erlasstitel">
    <w:name w:val="Erlasstitel"/>
    <w:basedOn w:val="Normal"/>
    <w:next w:val="Datum"/>
    <w:pPr>
      <w:keepNext/>
      <w:keepLines/>
      <w:suppressAutoHyphens/>
      <w:spacing w:before="57" w:after="286"/>
      <w:jc w:val="start"/>
    </w:pPr>
    <w:rPr>
      <w:b/>
      <w:sz w:val="28"/>
    </w:rPr>
  </w:style>
  <w:style w:type="paragraph" w:customStyle="1" w:styleId="TitelArbeitsversion">
    <w:name w:val="Titel Arbeitsversion"/>
    <w:basedOn w:val="Erlasstitel"/>
    <w:next w:val="Datum"/>
    <w:pPr>
      <w:keepNext w:val="0"/>
      <w:keepLines w:val="0"/>
      <w:suppressAutoHyphens/>
      <w:spacing w:before="57" w:after="0"/>
      <w:jc w:val="start"/>
    </w:pPr>
    <w:rPr>
      <w:b/>
      <w:sz w:val="22"/>
    </w:rPr>
  </w:style>
  <w:style w:type="paragraph" w:customStyle="1" w:styleId="ZusammenfassungEinleitung">
    <w:name w:val="Zusammenfassung Einleitung"/>
    <w:basedOn w:val="Normal"/>
    <w:pPr>
      <w:keepNext/>
      <w:keepLines/>
      <w:spacing w:before="85" w:after="85"/>
      <w:ind w:start="0" w:end="0" w:firstLine="0"/>
      <w:jc w:val="start"/>
    </w:pPr>
  </w:style>
  <w:style w:type="paragraph" w:customStyle="1" w:styleId="ZusammenfassungneueErlasse">
    <w:name w:val="Zusammenfassung neue Erlasse"/>
    <w:basedOn w:val="Normal"/>
    <w:pPr>
      <w:keepNext/>
      <w:keepLines/>
      <w:tabs>
        <w:tab w:val="start" w:pos="2518"/>
      </w:tabs>
      <w:spacing w:before="0" w:after="0" w:line="232" w:lineRule="exact"/>
      <w:ind w:start="1259" w:end="0" w:hanging="1259"/>
      <w:jc w:val="start"/>
    </w:pPr>
  </w:style>
  <w:style w:type="paragraph" w:customStyle="1" w:styleId="ZusammenfassunggenderteErlasse">
    <w:name w:val="Zusammenfassung geänderte Erlasse"/>
    <w:basedOn w:val="ZusammenfassungneueErlasse"/>
  </w:style>
  <w:style w:type="paragraph" w:customStyle="1" w:styleId="ZusammenfassungaufgehobeneErlasse">
    <w:name w:val="Zusammenfassung aufgehobene Erlasse"/>
    <w:basedOn w:val="Datum"/>
    <w:pPr>
      <w:keepNext/>
      <w:keepLines/>
      <w:tabs>
        <w:tab w:val="start" w:pos="2518"/>
      </w:tabs>
      <w:ind w:start="1259" w:end="0" w:hanging="1259"/>
      <w:jc w:val="start"/>
    </w:pPr>
  </w:style>
  <w:style w:type="paragraph" w:customStyle="1" w:styleId="Datum">
    <w:name w:val="Datum"/>
    <w:basedOn w:val="Normal"/>
    <w:next w:val="Autor"/>
    <w:pPr>
      <w:keepNext/>
      <w:keepLines/>
      <w:pBdr>
        <w:top w:val="none" w:sz="0" w:space="0" w:color="000000"/>
        <w:left w:val="none" w:sz="0" w:space="0" w:color="000000"/>
        <w:bottom w:val="single" w:sz="4" w:space="4" w:color="000000"/>
        <w:right w:val="none" w:sz="0" w:space="0" w:color="000000"/>
      </w:pBdr>
      <w:spacing w:before="0" w:after="0"/>
      <w:ind w:start="0" w:end="0" w:firstLine="0"/>
      <w:jc w:val="start"/>
    </w:pPr>
    <w:rPr>
      <w:position w:val="2"/>
    </w:rPr>
  </w:style>
  <w:style w:type="paragraph" w:customStyle="1" w:styleId="Autor">
    <w:name w:val="Autor"/>
    <w:basedOn w:val="Normal"/>
    <w:next w:val="Grundlage"/>
    <w:pPr>
      <w:keepNext/>
      <w:keepLines/>
      <w:spacing w:before="278" w:after="113"/>
    </w:pPr>
    <w:rPr>
      <w:i/>
    </w:rPr>
  </w:style>
  <w:style w:type="paragraph" w:customStyle="1" w:styleId="Grundlage">
    <w:name w:val="Grundlage"/>
    <w:basedOn w:val="Normal"/>
    <w:next w:val="Aktion"/>
    <w:pPr>
      <w:spacing w:before="119" w:after="113"/>
    </w:pPr>
  </w:style>
  <w:style w:type="paragraph" w:customStyle="1" w:styleId="Aktion">
    <w:name w:val="Aktion"/>
    <w:basedOn w:val="Autor"/>
    <w:next w:val="Normal"/>
    <w:pPr>
      <w:spacing w:before="113" w:after="113"/>
    </w:pPr>
  </w:style>
  <w:style w:type="paragraph" w:customStyle="1" w:styleId="Schluss">
    <w:name w:val="Schluss"/>
    <w:basedOn w:val="Normal"/>
    <w:pPr>
      <w:tabs>
        <w:tab w:val="start" w:pos="6124"/>
      </w:tabs>
      <w:spacing w:before="621" w:after="0"/>
      <w:ind w:start="3062" w:end="0" w:hanging="3062"/>
      <w:jc w:val="start"/>
    </w:pPr>
  </w:style>
  <w:style w:type="paragraph" w:customStyle="1" w:styleId="TitelnderungstabelleDatum">
    <w:name w:val="Titel Änderungstabelle (Datum)"/>
    <w:basedOn w:val="Normal"/>
    <w:next w:val="Artikel"/>
    <w:pPr>
      <w:keepLines/>
      <w:pageBreakBefore/>
      <w:suppressAutoHyphens/>
      <w:spacing w:before="363" w:after="170"/>
      <w:jc w:val="start"/>
    </w:pPr>
    <w:rPr>
      <w:b/>
      <w:sz w:val="18"/>
    </w:rPr>
  </w:style>
  <w:style w:type="paragraph" w:customStyle="1" w:styleId="TitelnderungstabelleElement">
    <w:name w:val="Titel Änderungstabelle (Element)"/>
    <w:basedOn w:val="TitelnderungstabelleDatum"/>
    <w:next w:val="Artikel"/>
  </w:style>
  <w:style w:type="paragraph" w:customStyle="1" w:styleId="TitelAnnex">
    <w:name w:val="Titel Annex"/>
    <w:basedOn w:val="Normal"/>
    <w:pPr>
      <w:keepNext/>
      <w:keepLines/>
      <w:spacing w:before="363" w:after="170"/>
    </w:pPr>
    <w:rPr>
      <w:b/>
      <w:sz w:val="18"/>
    </w:rPr>
  </w:style>
  <w:style w:type="paragraph" w:customStyle="1" w:styleId="Nebenzitat">
    <w:name w:val="Nebenzitat"/>
    <w:basedOn w:val="Normal"/>
  </w:style>
  <w:style w:type="paragraph" w:customStyle="1" w:styleId="Abschnittstitel">
    <w:name w:val="Abschnittstitel"/>
    <w:basedOn w:val="Normal"/>
    <w:pPr>
      <w:keepNext/>
      <w:keepLines/>
      <w:tabs>
        <w:tab w:val="end" w:pos="6123"/>
      </w:tabs>
      <w:suppressAutoHyphens/>
      <w:spacing w:before="363" w:after="113"/>
      <w:jc w:val="start"/>
    </w:pPr>
    <w:rPr>
      <w:b/>
      <w:sz w:val="20"/>
    </w:rPr>
  </w:style>
  <w:style w:type="paragraph" w:customStyle="1" w:styleId="EmptySectionRemark">
    <w:name w:val="Empty_Section_Remark"/>
    <w:basedOn w:val="Normal"/>
    <w:rPr>
      <w:i/>
    </w:rPr>
  </w:style>
  <w:style w:type="paragraph" w:customStyle="1" w:styleId="InkrafttretensklauselErsterAbsatz">
    <w:name w:val="Inkrafttretensklausel_Erster_Absatz"/>
    <w:basedOn w:val="Normal"/>
  </w:style>
  <w:style w:type="paragraph" w:customStyle="1" w:styleId="Inkrafttretensklausel">
    <w:name w:val="Inkrafttretensklausel"/>
    <w:basedOn w:val="Normal"/>
  </w:style>
  <w:style w:type="paragraph" w:customStyle="1" w:styleId="TitelStufe1">
    <w:name w:val="Titel Stufe 1"/>
    <w:basedOn w:val="Normal"/>
    <w:next w:val="Artikel"/>
    <w:pPr>
      <w:keepNext/>
      <w:keepLines/>
      <w:numPr>
        <w:ilvl w:val="0"/>
        <w:numId w:val="0"/>
      </w:numPr>
      <w:tabs>
        <w:tab w:val="end" w:pos="6123"/>
      </w:tabs>
      <w:suppressAutoHyphens/>
      <w:spacing w:before="363" w:after="113"/>
      <w:jc w:val="start"/>
    </w:pPr>
    <w:rPr>
      <w:b/>
      <w:sz w:val="20"/>
    </w:rPr>
  </w:style>
  <w:style w:type="paragraph" w:customStyle="1" w:styleId="TitelStufe2">
    <w:name w:val="Titel Stufe 2"/>
    <w:basedOn w:val="TitelStufe1"/>
    <w:next w:val="Artikel"/>
    <w:pPr>
      <w:spacing w:before="238" w:after="113"/>
    </w:pPr>
    <w:rPr>
      <w:b/>
      <w:sz w:val="18"/>
    </w:rPr>
  </w:style>
  <w:style w:type="paragraph" w:customStyle="1" w:styleId="TitelStufe3">
    <w:name w:val="Titel Stufe 3"/>
    <w:basedOn w:val="TitelStufe2"/>
    <w:next w:val="Artikel"/>
    <w:pPr>
      <w:spacing w:before="238" w:after="113"/>
    </w:pPr>
    <w:rPr>
      <w:b/>
      <w:sz w:val="18"/>
    </w:rPr>
  </w:style>
  <w:style w:type="paragraph" w:customStyle="1" w:styleId="TitelStufe4">
    <w:name w:val="Titel Stufe 4"/>
    <w:basedOn w:val="TitelStufe2"/>
    <w:next w:val="Artikel"/>
    <w:rPr>
      <w:sz w:val="18"/>
    </w:rPr>
  </w:style>
  <w:style w:type="paragraph" w:customStyle="1" w:styleId="TitelStufe5">
    <w:name w:val="Titel Stufe 5"/>
    <w:basedOn w:val="TitelStufe2"/>
    <w:next w:val="Artikel"/>
    <w:rPr>
      <w:sz w:val="18"/>
    </w:rPr>
  </w:style>
  <w:style w:type="paragraph" w:customStyle="1" w:styleId="TitelStufe1nachTitel">
    <w:name w:val="Titel Stufe 1 nach Titel"/>
    <w:basedOn w:val="TitelStufe1"/>
    <w:next w:val="Artikel"/>
  </w:style>
  <w:style w:type="paragraph" w:customStyle="1" w:styleId="TitelStufe2nachTitel">
    <w:name w:val="Titel Stufe 2 nach Titel"/>
    <w:basedOn w:val="TitelStufe2"/>
    <w:next w:val="Artikel"/>
  </w:style>
  <w:style w:type="paragraph" w:customStyle="1" w:styleId="TitelStufe3nachTitel">
    <w:name w:val="Titel Stufe 3 nach Titel"/>
    <w:basedOn w:val="TitelStufe3"/>
    <w:next w:val="Artikel"/>
  </w:style>
  <w:style w:type="paragraph" w:customStyle="1" w:styleId="TitelStufe4nachTitel">
    <w:name w:val="Titel Stufe 4 nach Titel"/>
    <w:basedOn w:val="TitelStufe4"/>
    <w:next w:val="Artikel"/>
  </w:style>
  <w:style w:type="paragraph" w:customStyle="1" w:styleId="TitelStufe5nachTitel">
    <w:name w:val="Titel Stufe 5 nach Titel"/>
    <w:basedOn w:val="TitelStufe5"/>
    <w:next w:val="Artikel"/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CommentText">
    <w:name w:val="annotation text"/>
    <w:basedOn w:val="Normal"/>
    <w:pPr>
      <w:keepNext/>
      <w:keepLines/>
      <w:suppressAutoHyphens w:val="0"/>
      <w:spacing w:line="317" w:lineRule="exact"/>
      <w:jc w:val="start"/>
    </w:pPr>
    <w:rPr>
      <w:sz w:val="14"/>
    </w:rPr>
  </w:style>
  <w:style w:type="paragraph" w:customStyle="1" w:styleId="Artikel">
    <w:name w:val="Artikel"/>
    <w:basedOn w:val="Normal"/>
    <w:next w:val="Normal"/>
    <w:pPr>
      <w:keepNext/>
      <w:keepLines/>
      <w:numPr>
        <w:ilvl w:val="0"/>
        <w:numId w:val="0"/>
      </w:numPr>
      <w:tabs>
        <w:tab w:val="start" w:pos="1275"/>
      </w:tabs>
      <w:spacing w:before="227" w:after="119"/>
      <w:ind w:start="992" w:end="0" w:hanging="992"/>
      <w:jc w:val="start"/>
    </w:pPr>
  </w:style>
  <w:style w:type="paragraph" w:customStyle="1" w:styleId="Artikelaufgehoben">
    <w:name w:val="Artikel (aufgehoben)"/>
    <w:basedOn w:val="Artikel"/>
  </w:style>
  <w:style w:type="paragraph" w:customStyle="1" w:styleId="Artikel-nderung">
    <w:name w:val="Artikel-Änderung"/>
    <w:basedOn w:val="Artikel"/>
    <w:next w:val="Normal"/>
    <w:pPr>
      <w:ind w:start="0" w:end="0" w:firstLine="0"/>
    </w:pPr>
  </w:style>
  <w:style w:type="paragraph" w:customStyle="1" w:styleId="Artikeltitel-nderung">
    <w:name w:val="Artikeltitel-Änderung"/>
    <w:basedOn w:val="Normal"/>
    <w:next w:val="Normal"/>
    <w:pPr>
      <w:jc w:val="start"/>
    </w:pPr>
  </w:style>
  <w:style w:type="paragraph" w:customStyle="1" w:styleId="TableContents">
    <w:name w:val="Table Contents"/>
    <w:basedOn w:val="Normal"/>
    <w:pPr>
      <w:suppressLineNumbers/>
      <w:spacing w:before="0" w:after="0"/>
      <w:jc w:val="start"/>
    </w:pPr>
    <w:rPr>
      <w:sz w:val="14"/>
    </w:rPr>
  </w:style>
  <w:style w:type="paragraph" w:customStyle="1" w:styleId="TableHeading">
    <w:name w:val="Table Heading"/>
    <w:basedOn w:val="TableContents"/>
    <w:pPr>
      <w:suppressLineNumbers/>
      <w:spacing w:before="0" w:after="0"/>
      <w:jc w:val="center"/>
    </w:pPr>
    <w:rPr>
      <w:b/>
      <w:bCs/>
    </w:rPr>
  </w:style>
  <w:style w:type="paragraph" w:customStyle="1" w:styleId="AnnexListe">
    <w:name w:val="Annex Liste"/>
    <w:basedOn w:val="Normal"/>
    <w:pPr>
      <w:spacing w:before="0" w:after="80" w:line="220" w:lineRule="exact"/>
      <w:ind w:start="1134" w:end="0" w:hanging="1134"/>
    </w:pPr>
  </w:style>
  <w:style w:type="paragraph" w:customStyle="1" w:styleId="Liste1">
    <w:name w:val="Liste 1"/>
    <w:basedOn w:val="Normal"/>
    <w:pPr>
      <w:tabs>
        <w:tab w:val="start" w:pos="794"/>
        <w:tab w:val="start" w:pos="1021"/>
        <w:tab w:val="start" w:pos="1247"/>
        <w:tab w:val="start" w:pos="1474"/>
        <w:tab w:val="start" w:pos="1701"/>
      </w:tabs>
      <w:spacing w:before="0" w:after="30"/>
      <w:ind w:start="567" w:end="0" w:hanging="567"/>
      <w:jc w:val="start"/>
    </w:pPr>
  </w:style>
  <w:style w:type="paragraph" w:customStyle="1" w:styleId="Liste1mitUnterelementen">
    <w:name w:val="Liste 1 mit Unterelementen"/>
    <w:basedOn w:val="Liste1"/>
  </w:style>
  <w:style w:type="paragraph" w:customStyle="1" w:styleId="Liste2">
    <w:name w:val="Liste 2"/>
    <w:basedOn w:val="Liste1"/>
    <w:pPr>
      <w:tabs>
        <w:tab w:val="clear" w:pos="794"/>
        <w:tab w:val="clear" w:pos="1021"/>
        <w:tab w:val="clear" w:pos="1247"/>
        <w:tab w:val="start" w:pos="1361"/>
        <w:tab w:val="clear" w:pos="1474"/>
        <w:tab w:val="start" w:pos="1588"/>
        <w:tab w:val="clear" w:pos="1701"/>
        <w:tab w:val="start" w:pos="1814"/>
        <w:tab w:val="start" w:pos="2041"/>
        <w:tab w:val="start" w:pos="2268"/>
      </w:tabs>
      <w:ind w:start="1134" w:end="0" w:hanging="567"/>
    </w:pPr>
  </w:style>
  <w:style w:type="paragraph" w:customStyle="1" w:styleId="Liste2mitaufeinanderfolgendenAufhebungen">
    <w:name w:val="Liste 2 mit aufeinanderfolgenden Aufhebungen"/>
    <w:basedOn w:val="Liste2"/>
    <w:pPr>
      <w:tabs>
        <w:tab w:val="clear" w:pos="1361"/>
        <w:tab w:val="clear" w:pos="1588"/>
        <w:tab w:val="clear" w:pos="1814"/>
        <w:tab w:val="clear" w:pos="2041"/>
        <w:tab w:val="clear" w:pos="2268"/>
      </w:tabs>
    </w:pPr>
  </w:style>
  <w:style w:type="paragraph" w:customStyle="1" w:styleId="Liste3">
    <w:name w:val="Liste 3"/>
    <w:basedOn w:val="Liste2"/>
    <w:pPr>
      <w:ind w:start="1134" w:end="0" w:hanging="567"/>
    </w:pPr>
  </w:style>
  <w:style w:type="paragraph" w:styleId="FootnoteText">
    <w:name w:val="footnote text"/>
    <w:basedOn w:val="Normal"/>
    <w:pPr>
      <w:keepLines/>
      <w:spacing w:before="0" w:after="0" w:line="185" w:lineRule="exact"/>
      <w:ind w:start="113" w:end="0" w:hanging="113"/>
    </w:pPr>
    <w:rPr>
      <w:sz w:val="16"/>
    </w:rPr>
  </w:style>
  <w:style w:type="paragraph" w:customStyle="1" w:styleId="Kommentierungen">
    <w:name w:val="Kommentierungen"/>
    <w:basedOn w:val="Normal"/>
    <w:pPr>
      <w:pBdr>
        <w:top w:val="single" w:sz="1" w:space="1" w:color="333333"/>
        <w:left w:val="single" w:sz="1" w:space="1" w:color="333333"/>
        <w:bottom w:val="single" w:sz="1" w:space="1" w:color="333333"/>
        <w:right w:val="single" w:sz="1" w:space="1" w:color="333333"/>
      </w:pBdr>
      <w:shd w:val="clear" w:color="auto" w:fill="EEEEEE"/>
    </w:pPr>
    <w:rPr>
      <w:color w:val="333333"/>
      <w:sz w:val="18"/>
    </w:rPr>
  </w:style>
  <w:style w:type="paragraph" w:customStyle="1" w:styleId="KommentierungenAufzhlungungeordnet">
    <w:name w:val="Kommentierungen Aufzählung ungeordnet"/>
    <w:basedOn w:val="Kommentierungen"/>
    <w:pPr>
      <w:spacing w:before="0" w:after="0"/>
      <w:ind w:start="737" w:end="0" w:hanging="737"/>
    </w:pPr>
  </w:style>
  <w:style w:type="paragraph" w:customStyle="1" w:styleId="KommentierungenAufzhlunggeordnet">
    <w:name w:val="Kommentierungen Aufzählung geordnet"/>
    <w:basedOn w:val="KommentierungenAufzhlungungeordnet"/>
  </w:style>
  <w:style w:type="paragraph" w:customStyle="1" w:styleId="Pcenter">
    <w:name w:val="Pcenter"/>
    <w:basedOn w:val="TableContents"/>
    <w:pPr>
      <w:jc w:val="center"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10" Type="http://purl.oclc.org/ooxml/officeDocument/relationships/header" Target="header4.xml" /><Relationship Id="rId11" Type="http://purl.oclc.org/ooxml/officeDocument/relationships/header" Target="header5.xml" /><Relationship Id="rId12" Type="http://purl.oclc.org/ooxml/officeDocument/relationships/footer" Target="footer4.xml" /><Relationship Id="rId13" Type="http://purl.oclc.org/ooxml/officeDocument/relationships/footer" Target="footer5.xml" /><Relationship Id="rId14" Type="http://purl.oclc.org/ooxml/officeDocument/relationships/header" Target="header6.xml" /><Relationship Id="rId15" Type="http://purl.oclc.org/ooxml/officeDocument/relationships/footer" Target="footer6.xml" /><Relationship Id="rId16" Type="http://purl.oclc.org/ooxml/officeDocument/relationships/theme" Target="theme/theme1.xml" /><Relationship Id="rId17" Type="http://purl.oclc.org/ooxml/officeDocument/relationships/styles" Target="style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header" Target="header2.xml" /><Relationship Id="rId6" Type="http://purl.oclc.org/ooxml/officeDocument/relationships/footer" Target="footer1.xml" /><Relationship Id="rId7" Type="http://purl.oclc.org/ooxml/officeDocument/relationships/footer" Target="footer2.xml" /><Relationship Id="rId8" Type="http://purl.oclc.org/ooxml/officeDocument/relationships/header" Target="header3.xml" /><Relationship Id="rId9" Type="http://purl.oclc.org/ooxml/officeDocument/relationships/footer" Target="footer3.xml" /></Relationships>
</file>

<file path=word/_rels/header3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Tibt" typeface="Microsoft Himalaya"/>
        <a:font script="Khmr" typeface="MoolBoran"/>
        <a:font script="Beng" typeface="Vrinda"/>
        <a:font script="Taml" typeface="Latha"/>
        <a:font script="Hebr" typeface="Times New Roman"/>
        <a:font script="Syrc" typeface="Estrangelo Edessa"/>
        <a:font script="Laoo" typeface="DokChampa"/>
        <a:font script="Cher" typeface="Plantagenet Cherokee"/>
        <a:font script="Thaa" typeface="MV Boli"/>
        <a:font script="Sinh" typeface="Iskoola Pota"/>
        <a:font script="Thai" typeface="Angsana New"/>
        <a:font script="Cans" typeface="Euphemia"/>
        <a:font script="Mong" typeface="Mongolian Baiti"/>
        <a:font script="Knda" typeface="Tunga"/>
        <a:font script="Viet" typeface="Times New Roman"/>
        <a:font script="Deva" typeface="Mangal"/>
        <a:font script="Arab" typeface="Times New Roman"/>
        <a:font script="Orya" typeface="Kalinga"/>
        <a:font script="Jpan" typeface="ＭＳ ゴシック"/>
        <a:font script="Hang" typeface="맑은 고딕"/>
        <a:font script="Ethi" typeface="Nyala"/>
        <a:font script="Guru" typeface="Raavi"/>
        <a:font script="Gujr" typeface="Shruti"/>
        <a:font script="Mlym" typeface="Kartika"/>
        <a:font script="Yiii" typeface="Microsoft Yi Baiti"/>
        <a:font script="Hans" typeface="宋体"/>
        <a:font script="Hant" typeface="新細明體"/>
        <a:font script="Telu" typeface="Gautami"/>
        <a:font script="Uigh" typeface="Microsoft Uighur"/>
      </a:majorFont>
      <a:minorFont>
        <a:latin typeface="Calibri"/>
        <a:ea typeface=""/>
        <a:cs typeface=""/>
        <a:font script="Tibt" typeface="Microsoft Himalaya"/>
        <a:font script="Khmr" typeface="DaunPenh"/>
        <a:font script="Beng" typeface="Vrinda"/>
        <a:font script="Taml" typeface="Latha"/>
        <a:font script="Hebr" typeface="Arial"/>
        <a:font script="Syrc" typeface="Estrangelo Edessa"/>
        <a:font script="Laoo" typeface="DokChampa"/>
        <a:font script="Cher" typeface="Plantagenet Cherokee"/>
        <a:font script="Thaa" typeface="MV Boli"/>
        <a:font script="Sinh" typeface="Iskoola Pota"/>
        <a:font script="Thai" typeface="Cordia New"/>
        <a:font script="Cans" typeface="Euphemia"/>
        <a:font script="Mong" typeface="Mongolian Baiti"/>
        <a:font script="Knda" typeface="Tunga"/>
        <a:font script="Viet" typeface="Arial"/>
        <a:font script="Deva" typeface="Mangal"/>
        <a:font script="Arab" typeface="Arial"/>
        <a:font script="Orya" typeface="Kalinga"/>
        <a:font script="Jpan" typeface="ＭＳ 明朝"/>
        <a:font script="Hang" typeface="맑은 고딕"/>
        <a:font script="Ethi" typeface="Nyala"/>
        <a:font script="Guru" typeface="Raavi"/>
        <a:font script="Gujr" typeface="Shruti"/>
        <a:font script="Mlym" typeface="Kartika"/>
        <a:font script="Yiii" typeface="Microsoft Yi Baiti"/>
        <a:font script="Hans" typeface="宋体"/>
        <a:font script="Hant" typeface="新細明體"/>
        <a:font script="Telu" typeface="Gautami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tint val="50%"/>
                <a:satMod val="300%"/>
              </a:schemeClr>
            </a:gs>
            <a:gs pos="35%">
              <a:schemeClr val="phClr">
                <a:tint val="37%"/>
                <a:satMod val="300%"/>
              </a:schemeClr>
            </a:gs>
            <a:gs pos="100%">
              <a:schemeClr val="phClr">
                <a:tint val="15%"/>
                <a:satMod val="350%"/>
              </a:schemeClr>
            </a:gs>
          </a:gsLst>
          <a:lin ang="16200000" scaled="1"/>
        </a:gradFill>
        <a:gradFill rotWithShape="1">
          <a:gsLst>
            <a:gs pos="0%">
              <a:schemeClr val="phClr">
                <a:shade val="51%"/>
                <a:satMod val="130%"/>
              </a:schemeClr>
            </a:gs>
            <a:gs pos="80%">
              <a:schemeClr val="phClr">
                <a:shade val="93%"/>
                <a:satMod val="130%"/>
              </a:schemeClr>
            </a:gs>
            <a:gs pos="100%">
              <a:schemeClr val="phClr">
                <a:shade val="94%"/>
                <a:satMod val="135%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%"/>
              <a:satMod val="105%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%" sy="100%" kx="0" ky="0" algn="b" rotWithShape="0">
              <a:srgbClr val="000000">
                <a:alpha val="38%"/>
              </a:srgbClr>
            </a:outerShdw>
          </a:effectLst>
        </a:effectStyle>
        <a:effectStyle>
          <a:effectLst>
            <a:outerShdw blurRad="40000" dist="23000" dir="5400000" sx="100%" sy="100%" kx="0" ky="0" algn="b" rotWithShape="0">
              <a:srgbClr val="000000">
                <a:alpha val="35%"/>
              </a:srgbClr>
            </a:outerShdw>
          </a:effectLst>
        </a:effectStyle>
        <a:effectStyle>
          <a:effectLst>
            <a:outerShdw blurRad="40000" dist="23000" dir="5400000" sx="100%" sy="100%" kx="0" ky="0" algn="b" rotWithShape="0">
              <a:srgbClr val="000000">
                <a:alpha val="35%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%">
              <a:schemeClr val="phClr">
                <a:tint val="40%"/>
                <a:satMod val="350%"/>
              </a:schemeClr>
            </a:gs>
            <a:gs pos="40%">
              <a:schemeClr val="phClr">
                <a:tint val="45%"/>
                <a:shade val="99%"/>
                <a:satMod val="350%"/>
              </a:schemeClr>
            </a:gs>
            <a:gs pos="100%">
              <a:schemeClr val="phClr">
                <a:shade val="20%"/>
                <a:satMod val="255%"/>
              </a:schemeClr>
            </a:gs>
          </a:gsLst>
          <a:path path="circle">
            <a:fillToRect l="50%" t="-80%" r="50%" b="180%"/>
          </a:path>
        </a:gradFill>
        <a:gradFill rotWithShape="1">
          <a:gsLst>
            <a:gs pos="0%">
              <a:schemeClr val="phClr">
                <a:tint val="80%"/>
                <a:satMod val="300%"/>
              </a:schemeClr>
            </a:gs>
            <a:gs pos="100%">
              <a:schemeClr val="phClr">
                <a:shade val="30%"/>
                <a:satMod val="200%"/>
              </a:schemeClr>
            </a:gs>
          </a:gsLst>
          <a:path path="circle">
            <a:fillToRect l="50%" t="50%" r="50%" b="50%"/>
          </a:path>
        </a:gradFill>
      </a:bgFillStyleLst>
    </a:fmtScheme>
  </a:themeElements>
  <a:objectDefaults/>
  <a:extraClrSchemeLst xmlns:a="http://purl.oclc.org/ooxml/drawingml/main"/>
</a:theme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2025-09-25T11:58:12Z</dcterms:created>
</cp:coreProperties>
</file>