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nformance="strict">
  <!-- Generated by Aspose.Words for Java 20.12.0 -->
  <w:background w:color="ffffff">
    <mc:AlternateContent>
      <mc:Choice Requires="v">
        <v:background id="_x0000_s1025" filled="t">
          <v:shadow color="#020000"/>
        </v:background>
      </mc:Choice>
      <mc:Fallback>
        <w:drawing>
          <wp:anchor distT="0" distB="0" distL="114300" distR="114300" simplePos="0" relativeHeight="0" behindDoc="0" locked="0" layoutInCell="1" allowOverlap="1">
            <wp:simplePos x="0" y="0"/>
            <wp:positionH relativeFrom="column">
              <wp:posOffset>0</wp:posOffset>
            </wp:positionH>
            <wp:positionV relativeFrom="paragraph">
              <wp:posOffset>0</wp:posOffset>
            </wp:positionV>
            <wp:extent cx="0" cy="0"/>
            <wp:effectExtent l="0" t="0" r="0" b="0"/>
            <wp:wrapNone/>
            <wp:docPr id="1025" name="Rectangle 1025">
              <a:extLst xmlns:a="http://purl.oclc.org/ooxml/drawingml/main">
                <a:ext xmlns:a="http://purl.oclc.org/ooxml/drawingml/main" uri="{A998136B-4AC2-44c3-8CCF-79AB77ABDD1D}">
                  <a15:backgroundPr xmlns:a15="http://schemas.microsoft.com/office/drawing/2012/main" bwMode="white" bwNormal="auto" bwPure="auto" targetScreenSize="1024x768"/>
                </a:ext>
              </a:extLst>
            </wp:docPr>
            <wp:cNvGraphicFramePr/>
            <a:graphic xmlns:a="http://purl.oclc.org/ooxml/drawingml/main">
              <a:graphicData uri="http://schemas.microsoft.com/office/word/2010/wordprocessingShape">
                <wp:wsp>
                  <wp:cNvSpPr>
                    <a:spLocks noChangeArrowheads="1"/>
                  </wp:cNvSpPr>
                  <wp:spPr bwMode="auto">
                    <a:xfrm>
                      <a:off x="0" y="0"/>
                      <a:ext cx="0" cy="0"/>
                    </a:xfrm>
                    <a:prstGeom prst="rect">
                      <a:avLst/>
                    </a:prstGeom>
                    <a:solidFill>
                      <a:srgbClr val="FFFFFF"/>
                    </a:solidFill>
                    <a:ln>
                      <a:noFill/>
                    </a:ln>
                    <a:extLst>
                      <a:ext xmlns:a="http://purl.oclc.org/ooxml/drawingml/main" uri="{91240B29-F687-4F45-9708-019B960494DF}">
                        <a14:hiddenLine xmlns:a14="http://schemas.microsoft.com/office/drawing/2010/main" w="0">
                          <a:solidFill>
                            <a:srgbClr val="010000"/>
                          </a:solidFill>
                          <a:prstDash val="solid"/>
                          <a:miter lim="800%"/>
                          <a:headEnd/>
                          <a:tailEnd/>
                        </a14:hiddenLine>
                      </a:ext>
                    </a:extLst>
                  </wp:spPr>
                  <wp:bodyPr rot="0" vert="horz" wrap="square" lIns="91440" tIns="45720" rIns="91440" bIns="45720" anchor="t" anchorCtr="0" upright="1"/>
                </wp:wsp>
              </a:graphicData>
            </a:graphic>
          </wp:anchor>
        </w:drawing>
      </mc:Fallback>
    </mc:AlternateContent>
  </w:background>
  <w:body>
    <w:p>
      <w:pPr>
        <w:pBdr>
          <w:top w:val="none" w:sz="0" w:space="0" w:color="000000"/>
          <w:left w:val="none" w:sz="0" w:space="0" w:color="000000"/>
          <w:bottom w:val="none" w:sz="0" w:space="0" w:color="000000"/>
          <w:right w:val="none" w:sz="0" w:space="0" w:color="000000"/>
        </w:pBdr>
        <w:tabs>
          <w:tab w:val="end" w:pos="6151"/>
        </w:tabs>
        <w:bidi w:val="0"/>
        <w:spacing w:before="397" w:after="120"/>
        <w:ind w:start="28" w:end="28" w:firstLine="0"/>
        <w:rPr>
          <w:vanish/>
          <w:sz w:val="6"/>
        </w:rPr>
      </w:pPr>
    </w:p>
    <w:p>
      <w:pPr>
        <w:pStyle w:val="TitelArbeitsversion"/>
        <w:bidi w:val="0"/>
      </w:pPr>
      <w:r>
        <w:t>Arbeitsversion</w:t>
      </w:r>
    </w:p>
    <w:p>
      <w:pPr>
        <w:pStyle w:val="Erlasstitel"/>
        <w:bidi w:val="0"/>
      </w:pPr>
      <w:r>
        <w:t>Revision Verordnung über die Landsgemeinde und die Gemeindeversammlungen</w:t>
        <w:br/>
        <w:t>(VLGV)</w:t>
      </w:r>
    </w:p>
    <w:p>
      <w:pPr>
        <w:pStyle w:val="Datum"/>
        <w:bidi w:val="0"/>
      </w:pPr>
      <w:r>
        <w:t>Änderung vom [Datum]</w:t>
      </w:r>
    </w:p>
    <w:p>
      <w:pPr>
        <w:pStyle w:val="ZusammenfassungEinleitung"/>
        <w:bidi w:val="0"/>
      </w:pPr>
      <w:r>
        <w:t>Von diesem Geschäft tangierte Erlasse (GS Nummern)</w:t>
      </w:r>
    </w:p>
    <w:p>
      <w:pPr>
        <w:pStyle w:val="ZusammenfassungneueErlasse"/>
        <w:bidi w:val="0"/>
      </w:pPr>
      <w:r>
        <w:t>Neu:</w:t>
        <w:tab/>
        <w:t>–</w:t>
      </w:r>
    </w:p>
    <w:p>
      <w:pPr>
        <w:pStyle w:val="ZusammenfassunggenderteErlasse"/>
        <w:bidi w:val="0"/>
      </w:pPr>
      <w:r>
        <w:t>Geändert:</w:t>
        <w:tab/>
      </w:r>
      <w:r>
        <w:rPr>
          <w:rStyle w:val="ZusammenfassungHauptnderung"/>
        </w:rPr>
        <w:t>160.410</w:t>
      </w:r>
    </w:p>
    <w:p>
      <w:pPr>
        <w:pStyle w:val="ZusammenfassungaufgehobeneErlasse"/>
        <w:bidi w:val="0"/>
      </w:pPr>
      <w:r>
        <w:t>Aufgehoben:</w:t>
        <w:tab/>
        <w:t>–</w:t>
      </w:r>
    </w:p>
    <w:p>
      <w:pPr>
        <w:pStyle w:val="Autor"/>
        <w:bidi w:val="0"/>
      </w:pPr>
      <w:r>
        <w:t>Der Grosse Rat,</w:t>
      </w:r>
    </w:p>
    <w:p>
      <w:pPr>
        <w:pStyle w:val="Grundlage"/>
        <w:bidi w:val="0"/>
      </w:pPr>
      <w:r>
        <w:t>in Revision der Verordnung über die Landsgemeinde und die Gemeindeversammlungen vom 1. Dezember 2014 (VLGV),</w:t>
      </w:r>
    </w:p>
    <w:p>
      <w:pPr>
        <w:pStyle w:val="Aktion"/>
        <w:bidi w:val="0"/>
      </w:pPr>
      <w:r>
        <w:t>beschliesst:</w:t>
      </w:r>
    </w:p>
    <w:p>
      <w:pPr>
        <w:pStyle w:val="Abschnittstitel"/>
        <w:bidi w:val="0"/>
      </w:pPr>
      <w:r>
        <w:t>I.</w:t>
      </w:r>
    </w:p>
    <w:p>
      <w:pPr>
        <w:pStyle w:val="Nebenzitat"/>
        <w:bidi w:val="0"/>
        <w:rPr>
          <w:rStyle w:val="IngressAenderungElement"/>
          <w:sz w:val="18"/>
        </w:rPr>
      </w:pPr>
      <w:r>
        <w:t>Änderung Verordnung über die Landsgemeinde und die Gemeindeversammlungen (VLGV) vom 1. Dezember 2014:</w:t>
      </w:r>
    </w:p>
    <w:p>
      <w:pPr>
        <w:keepNext/>
        <w:bidi w:val="0"/>
        <w:spacing w:before="283" w:after="0"/>
      </w:pPr>
      <w:r>
        <w:rPr>
          <w:rStyle w:val="IngressAenderungElement"/>
          <w:sz w:val="18"/>
        </w:rPr>
        <w:t>Titel</w:t>
      </w:r>
      <w:r>
        <w:rPr>
          <w:b/>
          <w:sz w:val="18"/>
        </w:rPr>
        <w:t xml:space="preserve"> </w:t>
      </w:r>
      <w:r>
        <w:rPr>
          <w:rStyle w:val="IngressAenderungAktion"/>
          <w:sz w:val="18"/>
        </w:rPr>
        <w:t>(geändert)</w:t>
      </w:r>
    </w:p>
    <w:p>
      <w:pPr>
        <w:bidi w:val="0"/>
        <w:jc w:val="start"/>
        <w:rPr>
          <w:rStyle w:val="AenderungTitelText"/>
        </w:rPr>
      </w:pPr>
      <w:r>
        <w:t>Verordnung über die Landsgemeinde, die Bezirksgemeinden und die Gemeindeversammlungen (VLBG)</w:t>
      </w:r>
    </w:p>
    <w:p>
      <w:pPr>
        <w:pStyle w:val="Artikel-nderung"/>
        <w:bidi w:val="0"/>
        <w:rPr>
          <w:vertAlign w:val="superscript"/>
        </w:rPr>
      </w:pPr>
      <w:r>
        <w:rPr>
          <w:rStyle w:val="AenderungTitelText"/>
        </w:rPr>
        <w:t>Art.  1</w:t>
      </w:r>
      <w:r>
        <w:t> </w:t>
      </w:r>
      <w:r>
        <w:rPr>
          <w:rStyle w:val="AenderungTitelText"/>
        </w:rPr>
        <w:t>Abs. 1</w:t>
      </w:r>
      <w:r>
        <w:rPr>
          <w:rStyle w:val="ParagraphAenderungAnmerkung"/>
        </w:rPr>
        <w:t> (geändert)</w:t>
      </w:r>
    </w:p>
    <w:p>
      <w:pPr>
        <w:bidi w:val="0"/>
        <w:rPr>
          <w:rStyle w:val="AenderungTitelText"/>
        </w:rPr>
        <w:sectPr>
          <w:headerReference w:type="even" r:id="rId5"/>
          <w:headerReference w:type="default" r:id="rId6"/>
          <w:footerReference w:type="even" r:id="rId7"/>
          <w:footerReference w:type="default" r:id="rId8"/>
          <w:headerReference w:type="first" r:id="rId9"/>
          <w:footerReference w:type="first" r:id="rId10"/>
          <w:pgSz w:w="8391" w:h="11906"/>
          <w:pgMar w:top="1077" w:right="743" w:bottom="994" w:left="1531" w:header="907" w:footer="711"/>
          <w:pgNumType w:fmt="decimal"/>
          <w:cols w:space="720"/>
          <w:titlePg/>
          <w:textDirection w:val="tb"/>
          <w:bidi w:val="0"/>
          <w:docGrid w:linePitch="360" w:charSpace="36864"/>
        </w:sectPr>
      </w:pPr>
      <w:r>
        <w:rPr>
          <w:vertAlign w:val="superscript"/>
        </w:rPr>
        <w:t>1</w:t>
      </w:r>
      <w:r>
        <w:t> Die Verordnung regelt in Ausführung des Gesetzes über die politischen Rechte vom ... (GPR) die Durchführung der Landsgemeinde, der Bezirksgemeinden und der Gemeindeversammlungen.</w:t>
      </w:r>
    </w:p>
    <w:p>
      <w:pPr>
        <w:pStyle w:val="Artikel-nderung"/>
        <w:bidi w:val="0"/>
        <w:rPr>
          <w:vertAlign w:val="superscript"/>
        </w:rPr>
      </w:pPr>
      <w:r>
        <w:rPr>
          <w:rStyle w:val="AenderungTitelText"/>
        </w:rPr>
        <w:t>Art.  2</w:t>
      </w:r>
      <w:r>
        <w:t> </w:t>
      </w:r>
      <w:r>
        <w:rPr>
          <w:rStyle w:val="AenderungTitelText"/>
        </w:rPr>
        <w:t>Abs. 1</w:t>
      </w:r>
      <w:r>
        <w:rPr>
          <w:rStyle w:val="ParagraphAenderungAnmerkung"/>
        </w:rPr>
        <w:t> (geändert)</w:t>
      </w:r>
    </w:p>
    <w:p>
      <w:pPr>
        <w:bidi w:val="0"/>
        <w:rPr>
          <w:rStyle w:val="AenderungTitelText"/>
        </w:rPr>
      </w:pPr>
      <w:r>
        <w:rPr>
          <w:vertAlign w:val="superscript"/>
        </w:rPr>
        <w:t>1</w:t>
      </w:r>
      <w:r>
        <w:t> Der Vorsteher</w:t>
      </w:r>
      <w:r>
        <w:rPr>
          <w:rStyle w:val="FootnoteReference"/>
        </w:rPr>
        <w:footnoteReference w:id="2"/>
      </w:r>
      <w:r>
        <w:rPr>
          <w:rStyle w:val="FootnoteReference"/>
        </w:rPr>
        <w:t>)</w:t>
      </w:r>
      <w:r>
        <w:t xml:space="preserve"> der obersten Exekutivbehörde der Körperschaft leitet die Versammlung, bei dessen Verhinderung der Stellvertreter und nachfolgend ein anderes Behördenmitglied gemäss Rangfolge, bei Fehlen einer solchen nach dem Amtsalter. Erforderlichenfalls wird ein ausserordentlicher Versammlungsleiter gewählt.</w:t>
      </w:r>
    </w:p>
    <w:p>
      <w:pPr>
        <w:pStyle w:val="Artikel-nderung"/>
        <w:bidi w:val="0"/>
        <w:rPr>
          <w:vertAlign w:val="superscript"/>
        </w:rPr>
      </w:pPr>
      <w:r>
        <w:rPr>
          <w:rStyle w:val="AenderungTitelText"/>
        </w:rPr>
        <w:t>Art.  3</w:t>
      </w:r>
      <w:r>
        <w:t> </w:t>
      </w:r>
      <w:r>
        <w:rPr>
          <w:rStyle w:val="AenderungTitelText"/>
        </w:rPr>
        <w:t>Abs. 1</w:t>
      </w:r>
      <w:r>
        <w:rPr>
          <w:rStyle w:val="ParagraphAenderungAnmerkung"/>
        </w:rPr>
        <w:t> (geändert)</w:t>
      </w:r>
      <w:r>
        <w:t xml:space="preserve">, </w:t>
      </w:r>
      <w:r>
        <w:rPr>
          <w:rStyle w:val="AenderungTitelText"/>
        </w:rPr>
        <w:t>Abs. 3</w:t>
      </w:r>
      <w:r>
        <w:rPr>
          <w:rStyle w:val="ParagraphAenderungAnmerkung"/>
        </w:rPr>
        <w:t> (geändert)</w:t>
      </w:r>
      <w:r>
        <w:t xml:space="preserve">, </w:t>
      </w:r>
      <w:r>
        <w:rPr>
          <w:rStyle w:val="AenderungTitelText"/>
        </w:rPr>
        <w:t>Abs. 4</w:t>
      </w:r>
      <w:r>
        <w:rPr>
          <w:rStyle w:val="ParagraphAenderungAnmerkung"/>
        </w:rPr>
        <w:t> (aufgehoben)</w:t>
      </w:r>
    </w:p>
    <w:p>
      <w:pPr>
        <w:bidi w:val="0"/>
        <w:rPr>
          <w:vertAlign w:val="superscript"/>
        </w:rPr>
      </w:pPr>
      <w:r>
        <w:rPr>
          <w:vertAlign w:val="superscript"/>
        </w:rPr>
        <w:t>1</w:t>
      </w:r>
      <w:r>
        <w:t> Die Grundsätze der Stimmberechtigung richten sich nach der Kantonsverfassung und dem Gesetz über die politischen Rechte.</w:t>
      </w:r>
    </w:p>
    <w:p>
      <w:pPr>
        <w:bidi w:val="0"/>
        <w:rPr>
          <w:vertAlign w:val="superscript"/>
        </w:rPr>
      </w:pPr>
      <w:r>
        <w:rPr>
          <w:vertAlign w:val="superscript"/>
        </w:rPr>
        <w:t>3</w:t>
      </w:r>
      <w:r>
        <w:t> Für die Führung des Stimmregisters gilt Art. 4 der Verordnung über die Urnenabstimmungen vom 23. Oktober 2017 (VUA).</w:t>
      </w:r>
    </w:p>
    <w:p>
      <w:pPr>
        <w:bidi w:val="0"/>
        <w:rPr>
          <w:rStyle w:val="AenderungTitelText"/>
        </w:rPr>
      </w:pPr>
      <w:r>
        <w:rPr>
          <w:vertAlign w:val="superscript"/>
        </w:rPr>
        <w:t>4</w:t>
      </w:r>
      <w:r>
        <w:t> </w:t>
      </w:r>
      <w:r>
        <w:rPr>
          <w:rStyle w:val="ParagraphAusserKraftAnmerkung"/>
        </w:rPr>
        <w:t>Aufgehoben.</w:t>
      </w:r>
    </w:p>
    <w:p>
      <w:pPr>
        <w:pStyle w:val="Artikel-nderung"/>
        <w:bidi w:val="0"/>
        <w:rPr>
          <w:rStyle w:val="ArtikelAenderungTitelaenderung"/>
        </w:rPr>
      </w:pPr>
      <w:r>
        <w:rPr>
          <w:rStyle w:val="AenderungTitelText"/>
        </w:rPr>
        <w:t>Art.  4</w:t>
      </w:r>
      <w:r>
        <w:t> </w:t>
      </w:r>
      <w:r>
        <w:rPr>
          <w:rStyle w:val="AenderungTitelText"/>
        </w:rPr>
        <w:t>Abs. 1</w:t>
      </w:r>
      <w:r>
        <w:rPr>
          <w:rStyle w:val="ParagraphAenderungAnmerkung"/>
        </w:rPr>
        <w:t> (aufgehoben)</w:t>
      </w:r>
      <w:r>
        <w:t xml:space="preserve">, </w:t>
      </w:r>
      <w:r>
        <w:rPr>
          <w:rStyle w:val="AenderungTitelText"/>
        </w:rPr>
        <w:t>Abs. 2</w:t>
      </w:r>
      <w:r>
        <w:rPr>
          <w:rStyle w:val="ParagraphAenderungAnmerkung"/>
        </w:rPr>
        <w:t> (geändert)</w:t>
      </w:r>
    </w:p>
    <w:p>
      <w:pPr>
        <w:pStyle w:val="Artikeltitel-nderung"/>
        <w:bidi w:val="0"/>
        <w:rPr>
          <w:vertAlign w:val="superscript"/>
        </w:rPr>
      </w:pPr>
      <w:r>
        <w:rPr>
          <w:rStyle w:val="ArtikelAenderungTitelaenderung"/>
        </w:rPr>
        <w:t>Geschäfte an ausserordentlichen Versammlungen</w:t>
      </w:r>
      <w:r>
        <w:rPr>
          <w:rStyle w:val="ArtikelAenderungAnmerkung"/>
        </w:rPr>
        <w:t> (Überschrift geändert)</w:t>
      </w:r>
    </w:p>
    <w:p>
      <w:pPr>
        <w:bidi w:val="0"/>
        <w:rPr>
          <w:vertAlign w:val="superscript"/>
        </w:rPr>
      </w:pPr>
      <w:r>
        <w:rPr>
          <w:vertAlign w:val="superscript"/>
        </w:rPr>
        <w:t>1</w:t>
      </w:r>
      <w:r>
        <w:t> </w:t>
      </w:r>
      <w:r>
        <w:rPr>
          <w:rStyle w:val="ParagraphAusserKraftAnmerkung"/>
        </w:rPr>
        <w:t>Aufgehoben.</w:t>
      </w:r>
    </w:p>
    <w:p>
      <w:pPr>
        <w:bidi w:val="0"/>
        <w:rPr>
          <w:rStyle w:val="AenderungTitelText"/>
        </w:rPr>
      </w:pPr>
      <w:r>
        <w:rPr>
          <w:vertAlign w:val="superscript"/>
        </w:rPr>
        <w:t>2</w:t>
      </w:r>
      <w:r>
        <w:t> Auf die Geschäftsordnung von ausserordentlichen Versammlungen gesetzt und an diesen behandelt werden dürfen nur Geschäfte, derentwillen die Versammlungen einberufen werden.</w:t>
      </w:r>
    </w:p>
    <w:p>
      <w:pPr>
        <w:pStyle w:val="Artikel-nderung"/>
        <w:bidi w:val="0"/>
        <w:rPr>
          <w:vertAlign w:val="superscript"/>
        </w:rPr>
      </w:pPr>
      <w:r>
        <w:rPr>
          <w:rStyle w:val="AenderungTitelText"/>
        </w:rPr>
        <w:t>Art.  5</w:t>
      </w:r>
      <w:r>
        <w:t> </w:t>
      </w:r>
      <w:r>
        <w:rPr>
          <w:rStyle w:val="AenderungTitelText"/>
        </w:rPr>
        <w:t>Abs. 2</w:t>
      </w:r>
      <w:r>
        <w:rPr>
          <w:rStyle w:val="ParagraphAenderungAnmerkung"/>
        </w:rPr>
        <w:t> (geändert)</w:t>
      </w:r>
      <w:r>
        <w:t xml:space="preserve">, </w:t>
      </w:r>
      <w:r>
        <w:rPr>
          <w:rStyle w:val="AenderungTitelText"/>
        </w:rPr>
        <w:t>Abs. 3</w:t>
      </w:r>
      <w:r>
        <w:rPr>
          <w:rStyle w:val="ParagraphAenderungAnmerkung"/>
        </w:rPr>
        <w:t> (geändert)</w:t>
      </w:r>
      <w:r>
        <w:t xml:space="preserve">, </w:t>
      </w:r>
      <w:r>
        <w:rPr>
          <w:rStyle w:val="AenderungTitelText"/>
        </w:rPr>
        <w:t>Abs. 4</w:t>
      </w:r>
      <w:r>
        <w:rPr>
          <w:rStyle w:val="ParagraphAenderungAnmerkung"/>
        </w:rPr>
        <w:t> (geändert)</w:t>
      </w:r>
    </w:p>
    <w:p>
      <w:pPr>
        <w:bidi w:val="0"/>
        <w:rPr>
          <w:vertAlign w:val="superscript"/>
        </w:rPr>
      </w:pPr>
      <w:r>
        <w:rPr>
          <w:vertAlign w:val="superscript"/>
        </w:rPr>
        <w:t>2</w:t>
      </w:r>
      <w:r>
        <w:t> Die Erwahrung des Mehrs erfolgt durch Abschätzen seitens des Versammlungsleiters. Im Zweifel werden die weiteren Mitglieder der obersten Exekutivbehörde zugezogen.</w:t>
      </w:r>
    </w:p>
    <w:p>
      <w:pPr>
        <w:bidi w:val="0"/>
        <w:rPr>
          <w:vertAlign w:val="superscript"/>
        </w:rPr>
      </w:pPr>
      <w:r>
        <w:rPr>
          <w:vertAlign w:val="superscript"/>
        </w:rPr>
        <w:t>3</w:t>
      </w:r>
      <w:r>
        <w:t> Kann die Mehrheit nicht durch Abschätzen festgestellt werden, ordnet der Versammlungsleiter die Auszählung der Stimmen an.</w:t>
      </w:r>
    </w:p>
    <w:p>
      <w:pPr>
        <w:bidi w:val="0"/>
        <w:rPr>
          <w:rStyle w:val="AenderungTitelText"/>
        </w:rPr>
      </w:pPr>
      <w:r>
        <w:rPr>
          <w:vertAlign w:val="superscript"/>
        </w:rPr>
        <w:t>4</w:t>
      </w:r>
      <w:r>
        <w:t> Ergibt die Auszählung einen Gleichstand der Stimmen, entscheidet im Falle einer Wahl das vom Versammlungsleiter zu ziehende Los; im Falle einer Sachabstimmung gilt die Vorlage als abgelehnt.</w:t>
      </w:r>
    </w:p>
    <w:p>
      <w:pPr>
        <w:pStyle w:val="Artikel-nderung"/>
        <w:bidi w:val="0"/>
        <w:rPr>
          <w:vertAlign w:val="superscript"/>
        </w:rPr>
      </w:pPr>
      <w:r>
        <w:rPr>
          <w:rStyle w:val="AenderungTitelText"/>
        </w:rPr>
        <w:t>Art.  6</w:t>
      </w:r>
      <w:r>
        <w:t> </w:t>
      </w:r>
      <w:r>
        <w:rPr>
          <w:rStyle w:val="AenderungTitelText"/>
        </w:rPr>
        <w:t>Abs. 1</w:t>
      </w:r>
      <w:r>
        <w:rPr>
          <w:rStyle w:val="ParagraphAenderungAnmerkung"/>
        </w:rPr>
        <w:t> (geändert)</w:t>
      </w:r>
    </w:p>
    <w:p>
      <w:pPr>
        <w:bidi w:val="0"/>
        <w:rPr>
          <w:rStyle w:val="AenderungTitelText"/>
        </w:rPr>
      </w:pPr>
      <w:r>
        <w:rPr>
          <w:vertAlign w:val="superscript"/>
        </w:rPr>
        <w:t>1</w:t>
      </w:r>
      <w:r>
        <w:t> Möchte eine dem Amtszwang unterstehende Person von ihrem Amt zurücktreten, hat sie spätestens 60 Tage vor der Versammlung ein schriftliches Gesuch um Entlassung einzureichen.</w:t>
      </w:r>
    </w:p>
    <w:p>
      <w:pPr>
        <w:pStyle w:val="Artikel-nderung"/>
        <w:bidi w:val="0"/>
        <w:rPr>
          <w:vertAlign w:val="superscript"/>
        </w:rPr>
      </w:pPr>
      <w:r>
        <w:rPr>
          <w:rStyle w:val="AenderungTitelText"/>
        </w:rPr>
        <w:t>Art.  7</w:t>
      </w:r>
      <w:r>
        <w:t> </w:t>
      </w:r>
      <w:r>
        <w:rPr>
          <w:rStyle w:val="AenderungTitelText"/>
        </w:rPr>
        <w:t>Abs. 2</w:t>
      </w:r>
      <w:r>
        <w:rPr>
          <w:rStyle w:val="ParagraphAenderungAnmerkung"/>
        </w:rPr>
        <w:t> (geändert)</w:t>
      </w:r>
      <w:r>
        <w:t xml:space="preserve">, </w:t>
      </w:r>
      <w:r>
        <w:rPr>
          <w:rStyle w:val="AenderungTitelText"/>
        </w:rPr>
        <w:t>Abs. 3</w:t>
      </w:r>
      <w:r>
        <w:rPr>
          <w:rStyle w:val="ParagraphAenderungAnmerkung"/>
        </w:rPr>
        <w:t> (geändert)</w:t>
      </w:r>
      <w:r>
        <w:t xml:space="preserve">, </w:t>
      </w:r>
      <w:r>
        <w:rPr>
          <w:rStyle w:val="AenderungTitelText"/>
        </w:rPr>
        <w:t>Abs. 4</w:t>
      </w:r>
      <w:r>
        <w:rPr>
          <w:rStyle w:val="ParagraphAenderungAnmerkung"/>
        </w:rPr>
        <w:t> (geändert)</w:t>
      </w:r>
    </w:p>
    <w:p>
      <w:pPr>
        <w:bidi w:val="0"/>
        <w:rPr>
          <w:vertAlign w:val="superscript"/>
        </w:rPr>
      </w:pPr>
      <w:r>
        <w:rPr>
          <w:vertAlign w:val="superscript"/>
        </w:rPr>
        <w:t>2</w:t>
      </w:r>
      <w:r>
        <w:t> Der Versammlungsleiter gibt bei jeder Wahl bekannt, ob ein Bisheriger als vorgeschlagen gilt, und gibt der Gemeinde Gelegenheit, weitere Kandidaten zu rufen.</w:t>
      </w:r>
    </w:p>
    <w:p>
      <w:pPr>
        <w:bidi w:val="0"/>
        <w:rPr>
          <w:vertAlign w:val="superscript"/>
        </w:rPr>
      </w:pPr>
      <w:r>
        <w:rPr>
          <w:vertAlign w:val="superscript"/>
        </w:rPr>
        <w:t>3</w:t>
      </w:r>
      <w:r>
        <w:t> Gilt eine bisherige Person als vorgeschlagen, und gibt es keine weiteren Vorschläge, ist sie gewählt. Vorbehalten sind Wahlen, für die ein Ausmehren gesetzlich vorgeschrieben ist.</w:t>
      </w:r>
    </w:p>
    <w:p>
      <w:pPr>
        <w:bidi w:val="0"/>
        <w:rPr>
          <w:rStyle w:val="AenderungTitelText"/>
        </w:rPr>
      </w:pPr>
      <w:r>
        <w:rPr>
          <w:vertAlign w:val="superscript"/>
        </w:rPr>
        <w:t>4</w:t>
      </w:r>
      <w:r>
        <w:t> Werden aus der Versammlung Wahlvorschläge gemacht, wird immer ausgemehrt.</w:t>
      </w:r>
    </w:p>
    <w:p>
      <w:pPr>
        <w:pStyle w:val="Artikel-nderung"/>
        <w:bidi w:val="0"/>
        <w:rPr>
          <w:vertAlign w:val="superscript"/>
        </w:rPr>
      </w:pPr>
      <w:r>
        <w:rPr>
          <w:rStyle w:val="AenderungTitelText"/>
        </w:rPr>
        <w:t>Art.  11</w:t>
      </w:r>
      <w:r>
        <w:t> </w:t>
      </w:r>
      <w:r>
        <w:rPr>
          <w:rStyle w:val="AenderungTitelText"/>
        </w:rPr>
        <w:t>Abs. 1</w:t>
      </w:r>
      <w:r>
        <w:rPr>
          <w:rStyle w:val="ParagraphAenderungAnmerkung"/>
        </w:rPr>
        <w:t> (geändert)</w:t>
      </w:r>
      <w:r>
        <w:t xml:space="preserve">, </w:t>
      </w:r>
      <w:r>
        <w:rPr>
          <w:rStyle w:val="AenderungTitelText"/>
        </w:rPr>
        <w:t>Abs. 2</w:t>
      </w:r>
      <w:r>
        <w:rPr>
          <w:rStyle w:val="ParagraphAenderungAnmerkung"/>
        </w:rPr>
        <w:t> (aufgehoben)</w:t>
      </w:r>
      <w:r>
        <w:t xml:space="preserve">, </w:t>
      </w:r>
      <w:r>
        <w:rPr>
          <w:rStyle w:val="AenderungTitelText"/>
        </w:rPr>
        <w:t>Abs. 3</w:t>
      </w:r>
      <w:r>
        <w:rPr>
          <w:rStyle w:val="ParagraphAenderungAnmerkung"/>
        </w:rPr>
        <w:t> (geändert)</w:t>
      </w:r>
      <w:r>
        <w:t xml:space="preserve">, </w:t>
      </w:r>
      <w:r>
        <w:rPr>
          <w:rStyle w:val="AenderungTitelText"/>
        </w:rPr>
        <w:t>Abs. 4</w:t>
      </w:r>
      <w:r>
        <w:rPr>
          <w:rStyle w:val="ParagraphAenderungAnmerkung"/>
        </w:rPr>
        <w:t> (geändert)</w:t>
      </w:r>
    </w:p>
    <w:p>
      <w:pPr>
        <w:bidi w:val="0"/>
        <w:rPr>
          <w:vertAlign w:val="superscript"/>
        </w:rPr>
      </w:pPr>
      <w:r>
        <w:rPr>
          <w:vertAlign w:val="superscript"/>
        </w:rPr>
        <w:t>1</w:t>
      </w:r>
      <w:r>
        <w:t> Bei Sachfragen gibt der Versammlungsleiter nach erfolgter Einführung das Wort zur Aussprache frei.</w:t>
      </w:r>
    </w:p>
    <w:p>
      <w:pPr>
        <w:bidi w:val="0"/>
        <w:rPr>
          <w:vertAlign w:val="superscript"/>
        </w:rPr>
      </w:pPr>
      <w:r>
        <w:rPr>
          <w:vertAlign w:val="superscript"/>
        </w:rPr>
        <w:t>2</w:t>
      </w:r>
      <w:r>
        <w:t> </w:t>
      </w:r>
      <w:r>
        <w:rPr>
          <w:rStyle w:val="ParagraphAusserKraftAnmerkung"/>
        </w:rPr>
        <w:t>Aufgehoben.</w:t>
      </w:r>
    </w:p>
    <w:p>
      <w:pPr>
        <w:bidi w:val="0"/>
        <w:rPr>
          <w:vertAlign w:val="superscript"/>
        </w:rPr>
      </w:pPr>
      <w:r>
        <w:rPr>
          <w:vertAlign w:val="superscript"/>
        </w:rPr>
        <w:t>3</w:t>
      </w:r>
      <w:r>
        <w:t> Nach Schluss der Aussprache oder bei deren Nichtbenützung wird über das Geschäft abgestimmt.</w:t>
      </w:r>
    </w:p>
    <w:p>
      <w:pPr>
        <w:bidi w:val="0"/>
        <w:rPr>
          <w:rStyle w:val="AenderungTitelText"/>
        </w:rPr>
      </w:pPr>
      <w:r>
        <w:rPr>
          <w:vertAlign w:val="superscript"/>
        </w:rPr>
        <w:t>4</w:t>
      </w:r>
      <w:r>
        <w:t> Über Rückweisungsanträge kann sofort, im Verlauf der Aussprache oder nach dieser abgestimmt werden.</w:t>
      </w:r>
    </w:p>
    <w:p>
      <w:pPr>
        <w:pStyle w:val="Artikel-nderung"/>
        <w:bidi w:val="0"/>
        <w:rPr>
          <w:vertAlign w:val="superscript"/>
        </w:rPr>
      </w:pPr>
      <w:r>
        <w:rPr>
          <w:rStyle w:val="AenderungTitelText"/>
        </w:rPr>
        <w:t>Art.  12</w:t>
      </w:r>
      <w:r>
        <w:t> </w:t>
      </w:r>
      <w:r>
        <w:rPr>
          <w:rStyle w:val="AenderungTitelText"/>
        </w:rPr>
        <w:t>Abs. 4</w:t>
      </w:r>
      <w:r>
        <w:rPr>
          <w:rStyle w:val="ParagraphAenderungAnmerkung"/>
        </w:rPr>
        <w:t> (geändert)</w:t>
      </w:r>
    </w:p>
    <w:p>
      <w:pPr>
        <w:bidi w:val="0"/>
        <w:rPr>
          <w:rStyle w:val="AenderungTitelText"/>
        </w:rPr>
      </w:pPr>
      <w:r>
        <w:rPr>
          <w:vertAlign w:val="superscript"/>
        </w:rPr>
        <w:t>4</w:t>
      </w:r>
      <w:r>
        <w:t> In dringlichen Fällen kann die Geschäftsordnung unter sofortiger öffentlicher Bekanntgabe auch später noch angepasst werden, und es können weitere Unterlagen zur Verfügung gestellt werden.</w:t>
      </w:r>
    </w:p>
    <w:p>
      <w:pPr>
        <w:pStyle w:val="Artikel-nderung"/>
        <w:bidi w:val="0"/>
        <w:rPr>
          <w:vertAlign w:val="superscript"/>
        </w:rPr>
      </w:pPr>
      <w:r>
        <w:rPr>
          <w:rStyle w:val="AenderungTitelText"/>
        </w:rPr>
        <w:t>Art.  14</w:t>
      </w:r>
      <w:r>
        <w:t> </w:t>
      </w:r>
      <w:r>
        <w:rPr>
          <w:rStyle w:val="AenderungTitelText"/>
        </w:rPr>
        <w:t>Abs. 1</w:t>
      </w:r>
      <w:r>
        <w:rPr>
          <w:rStyle w:val="ParagraphAenderungAnmerkung"/>
        </w:rPr>
        <w:t> (geändert)</w:t>
      </w:r>
    </w:p>
    <w:p>
      <w:pPr>
        <w:bidi w:val="0"/>
        <w:rPr>
          <w:rStyle w:val="AenderungTitelText"/>
        </w:rPr>
      </w:pPr>
      <w:r>
        <w:rPr>
          <w:vertAlign w:val="superscript"/>
        </w:rPr>
        <w:t>1</w:t>
      </w:r>
      <w:r>
        <w:t> An der ordentlichen Landsgemeinde erstattet der Versammlungsleiter einen gedrängten Bericht über die kantonalen Amtsverwaltungen.</w:t>
      </w:r>
    </w:p>
    <w:p>
      <w:pPr>
        <w:pStyle w:val="Artikel-nderung"/>
        <w:bidi w:val="0"/>
        <w:rPr>
          <w:vertAlign w:val="superscript"/>
        </w:rPr>
      </w:pPr>
      <w:r>
        <w:rPr>
          <w:rStyle w:val="AenderungTitelText"/>
        </w:rPr>
        <w:t>Art.  15</w:t>
      </w:r>
      <w:r>
        <w:t> </w:t>
      </w:r>
      <w:r>
        <w:rPr>
          <w:rStyle w:val="AenderungTitelText"/>
        </w:rPr>
        <w:t>Abs. 2</w:t>
      </w:r>
      <w:r>
        <w:rPr>
          <w:rStyle w:val="ParagraphAenderungAnmerkung"/>
        </w:rPr>
        <w:t> (geändert)</w:t>
      </w:r>
      <w:r>
        <w:t xml:space="preserve">, </w:t>
      </w:r>
      <w:r>
        <w:rPr>
          <w:rStyle w:val="AenderungTitelText"/>
        </w:rPr>
        <w:t>Abs. 3</w:t>
      </w:r>
      <w:r>
        <w:rPr>
          <w:rStyle w:val="ParagraphAenderungAnmerkung"/>
        </w:rPr>
        <w:t> (aufgehoben)</w:t>
      </w:r>
    </w:p>
    <w:p>
      <w:pPr>
        <w:bidi w:val="0"/>
        <w:rPr>
          <w:vertAlign w:val="superscript"/>
        </w:rPr>
      </w:pPr>
      <w:r>
        <w:rPr>
          <w:vertAlign w:val="superscript"/>
        </w:rPr>
        <w:t>2</w:t>
      </w:r>
      <w:r>
        <w:t> Scheidet der regierende Landammann vor Ablauf der zwei Jahre aus diesem Amt aus, gilt der stillstehende Landammann für das Amt des regierenden Landammanns als vorgeschlagen.</w:t>
      </w:r>
    </w:p>
    <w:p>
      <w:pPr>
        <w:bidi w:val="0"/>
        <w:rPr>
          <w:rStyle w:val="AenderungTitelText"/>
        </w:rPr>
      </w:pPr>
      <w:r>
        <w:rPr>
          <w:vertAlign w:val="superscript"/>
        </w:rPr>
        <w:t>3</w:t>
      </w:r>
      <w:r>
        <w:t> </w:t>
      </w:r>
      <w:r>
        <w:rPr>
          <w:rStyle w:val="ParagraphAusserKraftAnmerkung"/>
        </w:rPr>
        <w:t>Aufgehoben.</w:t>
      </w:r>
    </w:p>
    <w:p>
      <w:pPr>
        <w:pStyle w:val="Artikel-nderung"/>
        <w:bidi w:val="0"/>
        <w:rPr>
          <w:vertAlign w:val="superscript"/>
        </w:rPr>
      </w:pPr>
      <w:r>
        <w:rPr>
          <w:rStyle w:val="AenderungTitelText"/>
        </w:rPr>
        <w:t>Art.  16</w:t>
      </w:r>
      <w:r>
        <w:t> </w:t>
      </w:r>
      <w:r>
        <w:rPr>
          <w:rStyle w:val="AenderungTitelText"/>
        </w:rPr>
        <w:t>Abs. 1</w:t>
      </w:r>
      <w:r>
        <w:rPr>
          <w:rStyle w:val="ParagraphAenderungAnmerkung"/>
        </w:rPr>
        <w:t> (geändert)</w:t>
      </w:r>
    </w:p>
    <w:p>
      <w:pPr>
        <w:bidi w:val="0"/>
        <w:rPr>
          <w:rStyle w:val="AenderungTitelText"/>
        </w:rPr>
      </w:pPr>
      <w:r>
        <w:rPr>
          <w:vertAlign w:val="superscript"/>
        </w:rPr>
        <w:t>1</w:t>
      </w:r>
      <w:r>
        <w:t> Zur Erwahrung des Mehrs durch Abschätzen kann der Versammlungsleiter zusätzlich zur Standeskommission das Kantonsgericht zuziehen. Für eine Auszählung wird das Kantonsgericht beigezogen.</w:t>
      </w:r>
    </w:p>
    <w:p>
      <w:pPr>
        <w:pStyle w:val="Artikel-nderung"/>
        <w:bidi w:val="0"/>
        <w:rPr>
          <w:vertAlign w:val="superscript"/>
        </w:rPr>
      </w:pPr>
      <w:r>
        <w:rPr>
          <w:rStyle w:val="AenderungTitelText"/>
        </w:rPr>
        <w:t>Art.  17</w:t>
      </w:r>
      <w:r>
        <w:t> </w:t>
      </w:r>
      <w:r>
        <w:rPr>
          <w:rStyle w:val="AenderungTitelText"/>
        </w:rPr>
        <w:t>Abs. 2</w:t>
      </w:r>
      <w:r>
        <w:rPr>
          <w:rStyle w:val="ParagraphAenderungAnmerkung"/>
        </w:rPr>
        <w:t> (geändert)</w:t>
      </w:r>
      <w:r>
        <w:t xml:space="preserve">, </w:t>
      </w:r>
      <w:r>
        <w:rPr>
          <w:rStyle w:val="AenderungTitelText"/>
        </w:rPr>
        <w:t>Abs. 3</w:t>
      </w:r>
      <w:r>
        <w:rPr>
          <w:rStyle w:val="ParagraphAenderungAnmerkung"/>
        </w:rPr>
        <w:t> (geändert)</w:t>
      </w:r>
    </w:p>
    <w:p>
      <w:pPr>
        <w:pStyle w:val="StandardvorAufzhlung"/>
        <w:bidi w:val="0"/>
      </w:pPr>
      <w:r>
        <w:rPr>
          <w:vertAlign w:val="superscript"/>
        </w:rPr>
        <w:t>2</w:t>
      </w:r>
      <w:r>
        <w:t> Der neu gewählte oder bestätigte regierende Landammann legt den Eid gemäss Anhang ab. Hierfür gilt:</w:t>
      </w:r>
    </w:p>
    <w:p>
      <w:pPr>
        <w:pStyle w:val="Liste1"/>
        <w:bidi w:val="0"/>
      </w:pPr>
      <w:r>
        <w:t>a)</w:t>
        <w:tab/>
      </w:r>
      <w:r>
        <w:rPr>
          <w:rStyle w:val="ListelementAenderungAnmerkung"/>
        </w:rPr>
        <w:t>(neu)</w:t>
      </w:r>
      <w:r>
        <w:t xml:space="preserve"> Bei einer Wiederwahl als regierender Landammann nimmt der stillstehende Landammann diesem den Eid gemäss Anhang ab.</w:t>
      </w:r>
    </w:p>
    <w:p>
      <w:pPr>
        <w:pStyle w:val="Liste1"/>
        <w:bidi w:val="0"/>
      </w:pPr>
      <w:r>
        <w:t>b)</w:t>
        <w:tab/>
      </w:r>
      <w:r>
        <w:rPr>
          <w:rStyle w:val="ListelementAenderungAnmerkung"/>
        </w:rPr>
        <w:t>(neu)</w:t>
      </w:r>
      <w:r>
        <w:t xml:space="preserve"> Bei einer Wahl eines neuen regierenden Landammanns nimmt der bisherige regierende Landamman diesem den Eid ab.</w:t>
      </w:r>
    </w:p>
    <w:p>
      <w:pPr>
        <w:pStyle w:val="Liste1"/>
        <w:bidi w:val="0"/>
        <w:spacing w:before="0" w:after="113"/>
        <w:ind w:start="567" w:end="0" w:hanging="567"/>
        <w:rPr>
          <w:vertAlign w:val="superscript"/>
        </w:rPr>
      </w:pPr>
      <w:r>
        <w:t>c)</w:t>
        <w:tab/>
      </w:r>
      <w:r>
        <w:rPr>
          <w:rStyle w:val="ListelementAenderungAnmerkung"/>
        </w:rPr>
        <w:t>(neu)</w:t>
      </w:r>
      <w:r>
        <w:t xml:space="preserve"> Ist eine Vereidigung für das Amt des regierenden Landammanns an der Landsgemeinde nicht möglich, wird diese an der nächstfolgenden Grossratssession vorgenommen. Ist auch dies nicht möglich, wird auf die Eidesleistung verzichtet.</w:t>
      </w:r>
    </w:p>
    <w:p>
      <w:pPr>
        <w:bidi w:val="0"/>
        <w:rPr>
          <w:rStyle w:val="AenderungTitelText"/>
        </w:rPr>
      </w:pPr>
      <w:r>
        <w:rPr>
          <w:vertAlign w:val="superscript"/>
        </w:rPr>
        <w:t>3</w:t>
      </w:r>
      <w:r>
        <w:t> Im Anschluss an die Vereidigung des Landammans nimmt der regierende Landammann dem Landvolk den Eid gemäss Anhang ab. Die Schwurformeln sind vom Landvolk mit erhobenen Schwurfingern nachzusprechen.</w:t>
      </w:r>
    </w:p>
    <w:p>
      <w:pPr>
        <w:pStyle w:val="Artikel-nderung"/>
        <w:bidi w:val="0"/>
        <w:rPr>
          <w:b/>
          <w:sz w:val="18"/>
        </w:rPr>
      </w:pPr>
      <w:r>
        <w:rPr>
          <w:rStyle w:val="AenderungTitelText"/>
        </w:rPr>
        <w:t>Titel nach Art. 19</w:t>
      </w:r>
      <w:r>
        <w:rPr>
          <w:rStyle w:val="TitelAenderungAnmerkung"/>
        </w:rPr>
        <w:t> (geändert)</w:t>
      </w:r>
    </w:p>
    <w:p>
      <w:pPr>
        <w:bidi w:val="0"/>
        <w:rPr>
          <w:rStyle w:val="AenderungTitelText"/>
        </w:rPr>
      </w:pPr>
      <w:r>
        <w:rPr>
          <w:b/>
          <w:sz w:val="18"/>
        </w:rPr>
        <w:t>III. Bezirksgemeinden und Gemeindeversammlungen</w:t>
      </w:r>
    </w:p>
    <w:p>
      <w:pPr>
        <w:pStyle w:val="Artikel-nderung"/>
        <w:bidi w:val="0"/>
        <w:rPr>
          <w:vertAlign w:val="superscript"/>
        </w:rPr>
      </w:pPr>
      <w:r>
        <w:rPr>
          <w:rStyle w:val="AenderungTitelText"/>
        </w:rPr>
        <w:t>Art.  20</w:t>
      </w:r>
      <w:r>
        <w:t> </w:t>
      </w:r>
      <w:r>
        <w:rPr>
          <w:rStyle w:val="AenderungTitelText"/>
        </w:rPr>
        <w:t>Abs. 1</w:t>
      </w:r>
      <w:r>
        <w:rPr>
          <w:rStyle w:val="ParagraphAenderungAnmerkung"/>
        </w:rPr>
        <w:t> (geändert)</w:t>
      </w:r>
    </w:p>
    <w:p>
      <w:pPr>
        <w:bidi w:val="0"/>
        <w:rPr>
          <w:rStyle w:val="AenderungTitelText"/>
        </w:rPr>
      </w:pPr>
      <w:r>
        <w:rPr>
          <w:vertAlign w:val="superscript"/>
        </w:rPr>
        <w:t>1</w:t>
      </w:r>
      <w:r>
        <w:t> Bezirksgemeinden und Gemeindeversammlungen finden ordentlicherweise einmal im Jahr statt. Auf Beschluss der obersten Exekutivbehörde der jeweiligen Körperschaft können ausserordentliche Versammlungen durchgeführt werden.</w:t>
      </w:r>
    </w:p>
    <w:p>
      <w:pPr>
        <w:pStyle w:val="Artikel-nderung"/>
        <w:bidi w:val="0"/>
        <w:rPr>
          <w:vertAlign w:val="superscript"/>
        </w:rPr>
      </w:pPr>
      <w:r>
        <w:rPr>
          <w:rStyle w:val="AenderungTitelText"/>
        </w:rPr>
        <w:t>Art.  21</w:t>
      </w:r>
      <w:r>
        <w:t> </w:t>
      </w:r>
      <w:r>
        <w:rPr>
          <w:rStyle w:val="AenderungTitelText"/>
        </w:rPr>
        <w:t>Abs. 1</w:t>
      </w:r>
      <w:r>
        <w:rPr>
          <w:rStyle w:val="ParagraphAenderungAnmerkung"/>
        </w:rPr>
        <w:t> (geändert)</w:t>
      </w:r>
      <w:r>
        <w:t xml:space="preserve">, </w:t>
      </w:r>
      <w:r>
        <w:rPr>
          <w:rStyle w:val="AenderungTitelText"/>
        </w:rPr>
        <w:t>Abs. 2</w:t>
      </w:r>
      <w:r>
        <w:rPr>
          <w:rStyle w:val="ParagraphAenderungAnmerkung"/>
        </w:rPr>
        <w:t> (geändert)</w:t>
      </w:r>
      <w:r>
        <w:t xml:space="preserve">, </w:t>
      </w:r>
      <w:r>
        <w:rPr>
          <w:rStyle w:val="AenderungTitelText"/>
        </w:rPr>
        <w:t>Abs. 3</w:t>
      </w:r>
      <w:r>
        <w:rPr>
          <w:rStyle w:val="ParagraphAenderungAnmerkung"/>
        </w:rPr>
        <w:t> (geändert)</w:t>
      </w:r>
      <w:r>
        <w:t xml:space="preserve">, </w:t>
      </w:r>
      <w:r>
        <w:rPr>
          <w:rStyle w:val="AenderungTitelText"/>
        </w:rPr>
        <w:t>Abs. 4</w:t>
      </w:r>
      <w:r>
        <w:rPr>
          <w:rStyle w:val="ParagraphAenderungAnmerkung"/>
        </w:rPr>
        <w:t> (geändert)</w:t>
      </w:r>
    </w:p>
    <w:p>
      <w:pPr>
        <w:bidi w:val="0"/>
        <w:rPr>
          <w:vertAlign w:val="superscript"/>
        </w:rPr>
      </w:pPr>
      <w:r>
        <w:rPr>
          <w:vertAlign w:val="superscript"/>
        </w:rPr>
        <w:t>1</w:t>
      </w:r>
      <w:r>
        <w:t> Die Geschäftsordnung der Bezirksgemeinden und der Gemeindeversammlungen wird durch die oberste Exekutive der jeweiligen Körperschaft aufgestellt.</w:t>
      </w:r>
    </w:p>
    <w:p>
      <w:pPr>
        <w:bidi w:val="0"/>
        <w:rPr>
          <w:vertAlign w:val="superscript"/>
        </w:rPr>
      </w:pPr>
      <w:r>
        <w:rPr>
          <w:vertAlign w:val="superscript"/>
        </w:rPr>
        <w:t>2</w:t>
      </w:r>
      <w:r>
        <w:t> Die Geschäftsordnung ist in der Regel spätestens eine Woche vor der Versammlung öffentlich bekannt zu geben, mit der Einladung an die Stimmberechtigten, der Versammlung beizuwohnen.</w:t>
      </w:r>
    </w:p>
    <w:p>
      <w:pPr>
        <w:bidi w:val="0"/>
        <w:rPr>
          <w:vertAlign w:val="superscript"/>
        </w:rPr>
      </w:pPr>
      <w:r>
        <w:rPr>
          <w:vertAlign w:val="superscript"/>
        </w:rPr>
        <w:t>3</w:t>
      </w:r>
      <w:r>
        <w:t> In dringlichen Fällen kann die Geschäftsordnung unter sofortiger öffentlicher Bekanntgabe auch später noch angepasst werden, und es können weitere Unterlagen zur Verfügung gestellt werden.</w:t>
      </w:r>
    </w:p>
    <w:p>
      <w:pPr>
        <w:bidi w:val="0"/>
        <w:rPr>
          <w:rStyle w:val="AenderungTitelText"/>
        </w:rPr>
      </w:pPr>
      <w:r>
        <w:rPr>
          <w:vertAlign w:val="superscript"/>
        </w:rPr>
        <w:t>4</w:t>
      </w:r>
      <w:r>
        <w:t> Dem Bezirk oder der Gemeinde steht es frei, einen Stimmrechtsausweis vorzusehen.</w:t>
      </w:r>
    </w:p>
    <w:p>
      <w:pPr>
        <w:pStyle w:val="Artikel-nderung"/>
        <w:bidi w:val="0"/>
        <w:rPr>
          <w:rStyle w:val="ArtikelAenderungTitelaenderung"/>
        </w:rPr>
      </w:pPr>
      <w:r>
        <w:rPr>
          <w:rStyle w:val="AenderungTitelText"/>
        </w:rPr>
        <w:t>Art.  22</w:t>
      </w:r>
      <w:r>
        <w:t> </w:t>
      </w:r>
      <w:r>
        <w:rPr>
          <w:rStyle w:val="AenderungTitelText"/>
        </w:rPr>
        <w:t>Abs. 1</w:t>
      </w:r>
      <w:r>
        <w:rPr>
          <w:rStyle w:val="ParagraphAenderungAnmerkung"/>
        </w:rPr>
        <w:t> (geändert)</w:t>
      </w:r>
      <w:r>
        <w:t xml:space="preserve">, </w:t>
      </w:r>
      <w:r>
        <w:rPr>
          <w:rStyle w:val="AenderungTitelText"/>
        </w:rPr>
        <w:t>Abs. 2</w:t>
      </w:r>
      <w:r>
        <w:rPr>
          <w:rStyle w:val="ParagraphAenderungAnmerkung"/>
        </w:rPr>
        <w:t> (geändert)</w:t>
      </w:r>
    </w:p>
    <w:p>
      <w:pPr>
        <w:pStyle w:val="Artikeltitel-nderung"/>
        <w:bidi w:val="0"/>
        <w:rPr>
          <w:vertAlign w:val="superscript"/>
        </w:rPr>
      </w:pPr>
      <w:r>
        <w:rPr>
          <w:rStyle w:val="ArtikelAenderungTitelaenderung"/>
        </w:rPr>
        <w:t>Mehrjährige Amtsdauer</w:t>
      </w:r>
      <w:r>
        <w:rPr>
          <w:rStyle w:val="ArtikelAenderungAnmerkung"/>
        </w:rPr>
        <w:t> (Überschrift geändert)</w:t>
      </w:r>
    </w:p>
    <w:p>
      <w:pPr>
        <w:bidi w:val="0"/>
        <w:rPr>
          <w:vertAlign w:val="superscript"/>
        </w:rPr>
      </w:pPr>
      <w:r>
        <w:rPr>
          <w:vertAlign w:val="superscript"/>
        </w:rPr>
        <w:t>1</w:t>
      </w:r>
      <w:r>
        <w:t> Der Bezirk oder die Gemeinde kann die ordentliche Amtsdauer von Behörden, Kommissionen und Abordnungen im Bezirks- oder Gemeindereglement auf höchstens vier Jahre festsetzen.</w:t>
      </w:r>
    </w:p>
    <w:p>
      <w:pPr>
        <w:bidi w:val="0"/>
        <w:rPr>
          <w:rStyle w:val="AenderungTitelText"/>
        </w:rPr>
      </w:pPr>
      <w:r>
        <w:rPr>
          <w:vertAlign w:val="superscript"/>
        </w:rPr>
        <w:t>2</w:t>
      </w:r>
      <w:r>
        <w:t> Wird davon Gebrauch gemacht, werden in Zwischenjahren nur allfällige Ersatzwahlen vorgenommen.</w:t>
      </w:r>
    </w:p>
    <w:p>
      <w:pPr>
        <w:pStyle w:val="Artikel-nderung"/>
        <w:bidi w:val="0"/>
        <w:rPr>
          <w:vertAlign w:val="superscript"/>
        </w:rPr>
      </w:pPr>
      <w:r>
        <w:rPr>
          <w:rStyle w:val="AenderungTitelText"/>
        </w:rPr>
        <w:t>Art.  23</w:t>
      </w:r>
      <w:r>
        <w:t> </w:t>
      </w:r>
      <w:r>
        <w:rPr>
          <w:rStyle w:val="AenderungTitelText"/>
        </w:rPr>
        <w:t>Abs. 1</w:t>
      </w:r>
      <w:r>
        <w:rPr>
          <w:rStyle w:val="ParagraphAenderungAnmerkung"/>
        </w:rPr>
        <w:t> (geändert)</w:t>
      </w:r>
    </w:p>
    <w:p>
      <w:pPr>
        <w:bidi w:val="0"/>
        <w:rPr>
          <w:rStyle w:val="AenderungTitelText"/>
        </w:rPr>
      </w:pPr>
      <w:r>
        <w:rPr>
          <w:vertAlign w:val="superscript"/>
        </w:rPr>
        <w:t>1</w:t>
      </w:r>
      <w:r>
        <w:t> Die Protokolle der Bezirksgemeinden und Gemeindeversammlungen unterstehen der Genehmigung der obersten Exekutivbehörde der jeweiligen Körperschaft.</w:t>
      </w:r>
    </w:p>
    <w:p>
      <w:pPr>
        <w:pStyle w:val="Artikel-nderung"/>
        <w:bidi w:val="0"/>
        <w:rPr>
          <w:rStyle w:val="ArtikelAusserKraftAnmerkung"/>
        </w:rPr>
      </w:pPr>
      <w:r>
        <w:rPr>
          <w:rStyle w:val="AenderungTitelText"/>
        </w:rPr>
        <w:t>Art.  24</w:t>
      </w:r>
    </w:p>
    <w:p>
      <w:pPr>
        <w:bidi w:val="0"/>
        <w:rPr>
          <w:rStyle w:val="AenderungTitelText"/>
        </w:rPr>
      </w:pPr>
      <w:r>
        <w:rPr>
          <w:rStyle w:val="ArtikelAusserKraftAnmerkung"/>
        </w:rPr>
        <w:t>Aufgehoben.</w:t>
      </w:r>
    </w:p>
    <w:p>
      <w:pPr>
        <w:pStyle w:val="Artikel-nderung"/>
        <w:bidi w:val="0"/>
        <w:rPr>
          <w:rStyle w:val="ArtikelAusserKraftAnmerkung"/>
        </w:rPr>
      </w:pPr>
      <w:r>
        <w:rPr>
          <w:rStyle w:val="AenderungTitelText"/>
        </w:rPr>
        <w:t>Art.  25</w:t>
      </w:r>
    </w:p>
    <w:p>
      <w:pPr>
        <w:bidi w:val="0"/>
      </w:pPr>
      <w:r>
        <w:rPr>
          <w:rStyle w:val="ArtikelAusserKraftAnmerkung"/>
        </w:rPr>
        <w:t>Aufgehoben.</w:t>
      </w:r>
    </w:p>
    <w:p>
      <w:pPr>
        <w:pStyle w:val="Abschnittstitel"/>
        <w:bidi w:val="0"/>
      </w:pPr>
      <w:r>
        <w:t>II.</w:t>
      </w:r>
    </w:p>
    <w:p>
      <w:pPr>
        <w:pStyle w:val="EmptySectionRemark"/>
        <w:bidi w:val="0"/>
      </w:pPr>
      <w:r>
        <w:t>Keine Fremdänderungen.</w:t>
      </w:r>
    </w:p>
    <w:p>
      <w:pPr>
        <w:pStyle w:val="Abschnittstitel"/>
        <w:bidi w:val="0"/>
      </w:pPr>
      <w:r>
        <w:t>III.</w:t>
      </w:r>
    </w:p>
    <w:p>
      <w:pPr>
        <w:pStyle w:val="EmptySectionRemark"/>
        <w:bidi w:val="0"/>
      </w:pPr>
      <w:r>
        <w:t>Keine Fremdaufhebungen.</w:t>
      </w:r>
    </w:p>
    <w:p>
      <w:pPr>
        <w:pStyle w:val="Abschnittstitel"/>
        <w:bidi w:val="0"/>
      </w:pPr>
      <w:r>
        <w:t>IV.</w:t>
      </w:r>
    </w:p>
    <w:p>
      <w:pPr>
        <w:pStyle w:val="InkrafttretensklauselErsterAbsatz"/>
        <w:bidi w:val="0"/>
        <w:spacing w:before="0" w:after="0"/>
      </w:pPr>
      <w:r>
        <w:t>Dieser Beschluss tritt am .... in Kraft.</w:t>
      </w:r>
    </w:p>
    <w:sectPr>
      <w:headerReference w:type="even" r:id="rId11"/>
      <w:headerReference w:type="default" r:id="rId12"/>
      <w:footerReference w:type="even" r:id="rId13"/>
      <w:footerReference w:type="default" r:id="rId14"/>
      <w:headerReference w:type="first" r:id="rId15"/>
      <w:footerReference w:type="first" r:id="rId16"/>
      <w:pgSz w:w="8391" w:h="11906"/>
      <w:pgMar w:top="1871" w:right="743" w:bottom="994" w:left="1531" w:header="907" w:footer="711"/>
      <w:pgNumType w:fmt="decimal"/>
      <w:cols w:space="720"/>
      <w:textDirection w:val="tb"/>
      <w:bidi w:val="0"/>
      <w:docGrid w:linePitch="360" w:charSpace="36864"/>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Times New Roman">
    <w:panose1 w:val="00000000000000000000"/>
    <w:charset w:characterSet="iso-8859-1"/>
    <w:family w:val="roman"/>
    <w:pitch w:val="variable"/>
    <w:sig w:usb0="00000000" w:usb1="00000000" w:usb2="00000000" w:usb3="00000000" w:csb0="00000000" w:csb1="00000000"/>
  </w:font>
  <w:font w:name="Symbol">
    <w:panose1 w:val="00000000000000000000"/>
    <w:family w:val="roman"/>
    <w:pitch w:val="variable"/>
    <w:sig w:usb0="00000000" w:usb1="00000000" w:usb2="00000000" w:usb3="00000000" w:csb0="00000000" w:csb1="00000000"/>
  </w:font>
  <w:font w:name="Arial">
    <w:panose1 w:val="00000000000000000000"/>
    <w:family w:val="swiss"/>
    <w:pitch w:val="variable"/>
    <w:sig w:usb0="00000000" w:usb1="00000000" w:usb2="00000000" w:usb3="00000000" w:csb0="00000000" w:csb1="00000000"/>
  </w:font>
  <w:font w:name="Liberation Serif">
    <w:altName w:val="Times New Roman"/>
    <w:panose1 w:val="00000000000000000000"/>
    <w:family w:val="roman"/>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96"/>
      </w:tabs>
      <w:bidi w:val="0"/>
      <w:spacing w:before="0" w:after="6"/>
      <w:ind w:start="-1134" w:end="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0</w:t>
    </w:r>
    <w:r>
      <w:rPr>
        <w:color w:val="auto"/>
        <w:position w:val="0"/>
        <w:sz w:val="18"/>
        <w:vertAlign w:val="baseline"/>
        <w:lang w:val="de-CH"/>
      </w:rPr>
      <w:fldChar w:fldCharType="end"/>
    </w:r>
  </w:p>
  <w:p>
    <w:pPr>
      <w:pStyle w:val="Footer"/>
      <w:bidi w:val="0"/>
      <w:jc w:val="star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0</w:t>
    </w:r>
    <w:r>
      <w:rPr>
        <w:color w:val="auto"/>
        <w:position w:val="0"/>
        <w:sz w:val="18"/>
        <w:vertAlign w:val="baseline"/>
        <w:lang w:val="de-CH"/>
      </w:rPr>
      <w:fldChar w:fldCharType="end"/>
    </w:r>
  </w:p>
  <w:p>
    <w:pPr>
      <w:pStyle w:val="Footer"/>
      <w:bidi w:val="0"/>
      <w:jc w:val="star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1</w:t>
    </w:r>
    <w:r>
      <w:rPr>
        <w:color w:val="auto"/>
        <w:position w:val="0"/>
        <w:sz w:val="18"/>
        <w:vertAlign w:val="baseline"/>
        <w:lang w:val="de-CH"/>
      </w:rPr>
      <w:fldChar w:fldCharType="end"/>
    </w:r>
  </w:p>
  <w:p>
    <w:pPr>
      <w:pStyle w:val="Footer"/>
      <w:bidi w:val="0"/>
      <w:jc w:val="star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96"/>
      </w:tabs>
      <w:bidi w:val="0"/>
      <w:spacing w:before="0" w:after="6"/>
      <w:ind w:start="-1134" w:end="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6</w:t>
    </w:r>
    <w:r>
      <w:rPr>
        <w:color w:val="auto"/>
        <w:position w:val="0"/>
        <w:sz w:val="18"/>
        <w:vertAlign w:val="baseline"/>
        <w:lang w:val="de-CH"/>
      </w:rPr>
      <w:fldChar w:fldCharType="end"/>
    </w:r>
  </w:p>
  <w:p>
    <w:pPr>
      <w:pStyle w:val="Footer"/>
      <w:bidi w:val="0"/>
      <w:jc w:val="star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5</w:t>
    </w:r>
    <w:r>
      <w:rPr>
        <w:color w:val="auto"/>
        <w:position w:val="0"/>
        <w:sz w:val="18"/>
        <w:vertAlign w:val="baseline"/>
        <w:lang w:val="de-CH"/>
      </w:rPr>
      <w:fldChar w:fldCharType="end"/>
    </w:r>
  </w:p>
  <w:p>
    <w:pPr>
      <w:pStyle w:val="Footer"/>
      <w:bidi w:val="0"/>
      <w:jc w:val="star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FootnoteText"/>
        <w:bidi w:val="0"/>
      </w:pPr>
      <w:r>
        <w:rPr>
          <w:rStyle w:val="FootnoteCharacters"/>
          <w:rFonts w:ascii="Arial" w:hAnsi="Arial"/>
        </w:rPr>
        <w:footnoteRef/>
      </w:r>
      <w:r>
        <w:tab/>
        <w:t>Die Verwendung der männlichen Bezeichnungen gilt sinngemäss für beide Geschlechter.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9"/>
      </w:tabs>
      <w:bidi w:val="0"/>
      <w:spacing w:before="352" w:after="165" w:line="240" w:lineRule="exact"/>
      <w:ind w:start="6" w:end="0" w:firstLine="0"/>
      <w:jc w:val="start"/>
    </w:pPr>
    <w:r>
      <w:rPr>
        <w:b/>
        <w:sz w:val="24"/>
      </w:rPr>
      <w:t>E 160.410 - 2025</w:t>
    </w:r>
    <w:r>
      <w:tab/>
    </w:r>
    <w:r>
      <w:rPr>
        <w:b/>
        <w:sz w:val="18"/>
      </w:rPr>
      <w:t>Kanton Appenzell Innerrhoden</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28" w:end="-28" w:firstLine="0"/>
      <w:jc w:val="star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line="240" w:lineRule="exact"/>
      <w:ind w:start="0" w:end="11" w:firstLine="0"/>
      <w:jc w:val="start"/>
    </w:pPr>
    <w:r>
      <w:rPr>
        <w:b/>
        <w:sz w:val="18"/>
      </w:rPr>
      <w:t>Kanton Appenzell Innerrhoden</w:t>
    </w:r>
    <w:r>
      <w:tab/>
    </w:r>
    <w:r>
      <w:rPr>
        <w:b/>
        <w:sz w:val="24"/>
      </w:rPr>
      <w:t>E 160.410 - 2025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ind w:start="0" w:end="11" w:firstLine="850"/>
      <w:jc w:val="start"/>
    </w:pPr>
    <w:r>
      <w:drawing>
        <wp:anchor distT="0" distB="0" distL="17780" distR="114935" simplePos="0" relativeHeight="251658240" behindDoc="1" locked="0" layoutInCell="0" allowOverlap="1">
          <wp:simplePos x="0" y="0"/>
          <wp:positionH relativeFrom="column">
            <wp:align>left</wp:align>
          </wp:positionH>
          <wp:positionV relativeFrom="paragraph">
            <wp:posOffset>5080</wp:posOffset>
          </wp:positionV>
          <wp:extent cx="398145" cy="441960"/>
          <wp:effectExtent l="0" t="0" r="0" b="0"/>
          <wp:wrapNone/>
          <wp:docPr id="2049" name="Image 20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9" name="Image 2049"/>
                  <pic:cNvPicPr>
                    <a:picLocks noChangeAspect="1" noChangeArrowheads="1"/>
                  </pic:cNvPicPr>
                </pic:nvPicPr>
                <pic:blipFill>
                  <a:blip xmlns:r="http://purl.oclc.org/ooxml/officeDocument/relationships" r:embed="rId1">
                    <a:extLst>
                      <a:ext xmlns:a="http://purl.oclc.org/ooxml/drawingml/main" uri="{28A0092B-C50C-407E-A947-70E740481C1C}">
                        <a14:useLocalDpi xmlns:a14="http://schemas.microsoft.com/office/drawing/2010/main" val="0"/>
                      </a:ext>
                    </a:extLst>
                  </a:blip>
                  <a:stretch>
                    <a:fillRect/>
                  </a:stretch>
                </pic:blipFill>
                <pic:spPr>
                  <a:xfrm>
                    <a:off x="0" y="0"/>
                    <a:ext cx="398145" cy="441960"/>
                  </a:xfrm>
                  <a:prstGeom prst="rect">
                    <a:avLst/>
                  </a:prstGeom>
                  <a:solidFill>
                    <a:srgbClr val="FFFFFF">
                      <a:alpha val="0%"/>
                    </a:srgbClr>
                  </a:solidFill>
                  <a:ln>
                    <a:noFill/>
                  </a:ln>
                </pic:spPr>
              </pic:pic>
            </a:graphicData>
          </a:graphic>
        </wp:anchor>
      </w:drawing>
    </w:r>
    <w:r>
      <w:rPr>
        <w:b/>
        <w:sz w:val="18"/>
      </w:rPr>
      <w:t>Kanton Appenzell Innerrhoden</w:t>
    </w:r>
    <w:r>
      <w:t xml:space="preserve">  </w:t>
      <w:tab/>
    </w:r>
    <w:r>
      <w:rPr>
        <w:b/>
        <w:sz w:val="24"/>
      </w:rPr>
      <w:t>E 160.410 - 2025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9"/>
      </w:tabs>
      <w:bidi w:val="0"/>
      <w:spacing w:before="352" w:after="165" w:line="240" w:lineRule="exact"/>
      <w:ind w:start="6" w:end="0" w:firstLine="0"/>
      <w:jc w:val="start"/>
    </w:pPr>
    <w:r>
      <w:rPr>
        <w:b/>
        <w:sz w:val="24"/>
      </w:rPr>
      <w:t>E 160.410 - 2025</w:t>
    </w:r>
    <w:r>
      <w:tab/>
    </w:r>
    <w:r>
      <w:rPr>
        <w:b/>
        <w:sz w:val="18"/>
      </w:rPr>
      <w:t>Kanton Appenzell Innerrhoden</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28" w:end="-28" w:firstLine="0"/>
      <w:jc w:val="star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line="240" w:lineRule="exact"/>
      <w:ind w:start="0" w:end="11" w:firstLine="0"/>
      <w:jc w:val="start"/>
    </w:pPr>
    <w:r>
      <w:rPr>
        <w:b/>
        <w:sz w:val="18"/>
      </w:rPr>
      <w:t>Kanton Appenzell Innerrhoden</w:t>
    </w:r>
    <w:r>
      <w:tab/>
    </w:r>
    <w:r>
      <w:rPr>
        <w:b/>
        <w:sz w:val="24"/>
      </w:rPr>
      <w:t>E 160.410 - 2025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00%"/>
  <w:embedSystemFonts/>
  <w:mirrorMargins/>
  <w:stylePaneFormatFilter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revisionView w:comments="1" w:formatting="0" w:inkAnnotations="1" w:insDel="0" w:markup="1"/>
  <w:defaultTabStop w:val="709"/>
  <w:defaultTableStyle w:val="Normal"/>
  <w:autoHyphenation/>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EmbedSmartTags/>
  <w:footnotePr>
    <w:footnote w:id="0"/>
    <w:footnote w:id="1"/>
  </w:foot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keepLines/>
      <w:widowControl w:val="0"/>
      <w:suppressAutoHyphens w:val="0"/>
      <w:kinsoku/>
      <w:overflowPunct/>
      <w:autoSpaceDE/>
      <w:bidi w:val="0"/>
      <w:spacing w:before="0" w:after="113"/>
      <w:jc w:val="both"/>
    </w:pPr>
    <w:rPr>
      <w:rFonts w:ascii="Arial" w:hAnsi="Arial"/>
      <w:color w:val="auto"/>
      <w:sz w:val="18"/>
      <w:lang w:val="de-CH" w:eastAsia="zh-CN" w:bidi="hi-IN"/>
    </w:rPr>
  </w:style>
  <w:style w:type="character" w:default="1" w:styleId="DefaultParagraphFont">
    <w:name w:val="Default Paragraph Font"/>
    <w:semiHidden/>
  </w:style>
  <w:style w:type="character" w:customStyle="1" w:styleId="Absatz-Standardschriftart">
    <w:name w:val="Absatz-Standardschriftart"/>
  </w:style>
  <w:style w:type="character" w:customStyle="1" w:styleId="ZusammenfassungHauptnderung">
    <w:name w:val="Zusammenfassung Hauptänderung"/>
    <w:rPr>
      <w:b/>
    </w:rPr>
  </w:style>
  <w:style w:type="character" w:customStyle="1" w:styleId="Zusammenfassungnderung">
    <w:name w:val="Zusammenfassung Änderung"/>
  </w:style>
  <w:style w:type="character" w:styleId="FootnoteReference">
    <w:name w:val="footnote reference"/>
    <w:rPr>
      <w:b w:val="0"/>
      <w:shd w:val="clear" w:color="auto" w:fill="auto"/>
      <w:vertAlign w:val="superscript"/>
    </w:rPr>
  </w:style>
  <w:style w:type="character" w:customStyle="1" w:styleId="FootnoteCharacters">
    <w:name w:val="Footnote Characters"/>
    <w:rPr>
      <w:rFonts w:ascii="Arial" w:hAnsi="Arial"/>
      <w:vertAlign w:val="superscript"/>
    </w:rPr>
  </w:style>
  <w:style w:type="character" w:customStyle="1" w:styleId="IngressAenderungElement">
    <w:name w:val="Ingress_Aenderung_Element"/>
    <w:rPr>
      <w:b/>
    </w:rPr>
  </w:style>
  <w:style w:type="character" w:customStyle="1" w:styleId="IngressAenderungAktion">
    <w:name w:val="Ingress_Aenderung_Aktion"/>
    <w:rPr>
      <w:b/>
    </w:rPr>
  </w:style>
  <w:style w:type="character" w:customStyle="1" w:styleId="AenderungTitelText">
    <w:name w:val="Aenderung_Titel_Text"/>
    <w:rPr>
      <w:b/>
    </w:rPr>
  </w:style>
  <w:style w:type="character" w:customStyle="1" w:styleId="ArtikelAenderungTitelaenderung">
    <w:name w:val="Artikel_Aenderung_Titel_aenderung"/>
    <w:rPr>
      <w:b w:val="0"/>
    </w:rPr>
  </w:style>
  <w:style w:type="character" w:customStyle="1" w:styleId="TitelAenderungAnmerkung">
    <w:name w:val="Titel_Aenderung_Anmerkung"/>
    <w:rPr>
      <w:b w:val="0"/>
      <w:sz w:val="14"/>
    </w:rPr>
  </w:style>
  <w:style w:type="character" w:customStyle="1" w:styleId="ArtikelAenderungAnmerkung">
    <w:name w:val="Artikel_Aenderung_Anmerkung"/>
    <w:rPr>
      <w:b w:val="0"/>
      <w:sz w:val="14"/>
    </w:rPr>
  </w:style>
  <w:style w:type="character" w:customStyle="1" w:styleId="ParagraphAenderungAnmerkung">
    <w:name w:val="Paragraph_Aenderung_Anmerkung"/>
    <w:rPr>
      <w:b w:val="0"/>
      <w:sz w:val="14"/>
    </w:rPr>
  </w:style>
  <w:style w:type="character" w:customStyle="1" w:styleId="AbbildungAnmerkung">
    <w:name w:val="Abbildung_Anmerkung"/>
    <w:rPr>
      <w:i/>
    </w:rPr>
  </w:style>
  <w:style w:type="character" w:customStyle="1" w:styleId="ListelementAenderungAnmerkung">
    <w:name w:val="Listelement_Aenderung_Anmerkung"/>
    <w:rPr>
      <w:b w:val="0"/>
      <w:sz w:val="14"/>
    </w:rPr>
  </w:style>
  <w:style w:type="character" w:customStyle="1" w:styleId="TabelleAenderungAnmerkung">
    <w:name w:val="Tabelle_Aenderung_Anmerkung"/>
    <w:rPr>
      <w:i/>
    </w:rPr>
  </w:style>
  <w:style w:type="character" w:customStyle="1" w:styleId="AnnexAenderungAnmerkung">
    <w:name w:val="Annex_Aenderung_Anmerkung"/>
    <w:rPr>
      <w:b w:val="0"/>
      <w:sz w:val="14"/>
    </w:rPr>
  </w:style>
  <w:style w:type="character" w:customStyle="1" w:styleId="ItalicAnmerkung">
    <w:name w:val="Italic_Anmerkung"/>
    <w:rPr>
      <w:i/>
    </w:rPr>
  </w:style>
  <w:style w:type="character" w:customStyle="1" w:styleId="TitelLoeschungAnmerkung">
    <w:name w:val="Titel_Loeschung_Anmerkung"/>
    <w:basedOn w:val="ItalicAnmerkung"/>
  </w:style>
  <w:style w:type="character" w:customStyle="1" w:styleId="TitelAusserKraftAnmerkung">
    <w:name w:val="Titel_Ausser_Kraft_Anmerkung"/>
    <w:basedOn w:val="ItalicAnmerkung"/>
  </w:style>
  <w:style w:type="character" w:customStyle="1" w:styleId="TitelWiederInKraftAnmerkung">
    <w:name w:val="Titel_Wieder_In_Kraft_Anmerkung"/>
    <w:basedOn w:val="ItalicAnmerkung"/>
  </w:style>
  <w:style w:type="character" w:customStyle="1" w:styleId="ArtikelLoeschungAnmerkung">
    <w:name w:val="Artikel_Loeschung_Anmerkung"/>
    <w:basedOn w:val="ItalicAnmerkung"/>
  </w:style>
  <w:style w:type="character" w:customStyle="1" w:styleId="ArtikelAusserKraftAnmerkung">
    <w:name w:val="Artikel_Ausser_Kraft_Anmerkung"/>
    <w:basedOn w:val="ItalicAnmerkung"/>
  </w:style>
  <w:style w:type="character" w:customStyle="1" w:styleId="ArtikelWiederInKraftAnmerkung">
    <w:name w:val="Artikel_Wieder_In_Kraft_Anmerkung"/>
    <w:basedOn w:val="ArtikelAenderungAnmerkung"/>
  </w:style>
  <w:style w:type="character" w:customStyle="1" w:styleId="ParagraphLoeschungAnmerkung">
    <w:name w:val="Paragraph_Loeschung_Anmerkung"/>
    <w:basedOn w:val="ItalicAnmerkung"/>
  </w:style>
  <w:style w:type="character" w:customStyle="1" w:styleId="ParagraphAusserKraftAnmerkung">
    <w:name w:val="Paragraph_Ausser_Kraft_Anmerkung"/>
    <w:basedOn w:val="ItalicAnmerkung"/>
  </w:style>
  <w:style w:type="character" w:customStyle="1" w:styleId="ParagraphWiederInKraftAnmerkung">
    <w:name w:val="Paragraph_Wieder_In_Kraft_Anmerkung"/>
    <w:basedOn w:val="ItalicAnmerkung"/>
  </w:style>
  <w:style w:type="character" w:customStyle="1" w:styleId="ListelementLoeschungAnmerkung">
    <w:name w:val="Listelement_Loeschung_Anmerkung"/>
    <w:basedOn w:val="ItalicAnmerkung"/>
  </w:style>
  <w:style w:type="character" w:customStyle="1" w:styleId="ListelementUnveraendertAnmerkung">
    <w:name w:val="Listelement_Unveraendert_Anmerkung"/>
    <w:basedOn w:val="ItalicAnmerkung"/>
  </w:style>
  <w:style w:type="character" w:customStyle="1" w:styleId="ListelementAusserKraftAnmerkung">
    <w:name w:val="Listelement_Ausser_Kraft_Anmerkung"/>
    <w:basedOn w:val="ItalicAnmerkung"/>
  </w:style>
  <w:style w:type="character" w:customStyle="1" w:styleId="ListelementWiederInKraftAnmerkung">
    <w:name w:val="Listelement_Wieder_In_Kraft_Anmerkung"/>
    <w:basedOn w:val="ItalicAnmerkung"/>
  </w:style>
  <w:style w:type="character" w:customStyle="1" w:styleId="AnnexLoeschungAnmerkung">
    <w:name w:val="Annex_Loeschung_Anmerkung"/>
    <w:basedOn w:val="ItalicAnmerkung"/>
  </w:style>
  <w:style w:type="character" w:customStyle="1" w:styleId="AnnexAusserKraftAnmerkung">
    <w:name w:val="Annex_Ausser_Kraft_Anmerkung"/>
    <w:basedOn w:val="ItalicAnmerkung"/>
  </w:style>
  <w:style w:type="character" w:customStyle="1" w:styleId="AnnexWiederInKraftAnmerkung">
    <w:name w:val="Annex_Wieder_In_Kraft_Anmerkung"/>
    <w:basedOn w:val="ItalicAnmerkung"/>
  </w:style>
  <w:style w:type="character" w:customStyle="1" w:styleId="TabelleLoeschungAnmerkung">
    <w:name w:val="Tabelle_Loeschung_Anmerkung"/>
    <w:basedOn w:val="ItalicAnmerkung"/>
  </w:style>
  <w:style w:type="character" w:customStyle="1" w:styleId="TabelleUnveraendertAnmerkung">
    <w:name w:val="Tabelle_Unveraendert_Anmerkung"/>
    <w:basedOn w:val="ItalicAnmerkung"/>
  </w:style>
  <w:style w:type="character" w:customStyle="1" w:styleId="TabelleAusserKraftAnmerkung">
    <w:name w:val="Tabelle_Ausser_Kraft_Anmerkung"/>
    <w:basedOn w:val="ItalicAnmerkung"/>
  </w:style>
  <w:style w:type="character" w:customStyle="1" w:styleId="TabelleWiederInKraftAnmerkung">
    <w:name w:val="Tabelle_Wieder_In_Kraft_Anmerkung"/>
    <w:basedOn w:val="ItalicAnmerkung"/>
  </w:style>
  <w:style w:type="character" w:styleId="EndnoteReference">
    <w:name w:val="endnote reference"/>
    <w:rPr>
      <w:vertAlign w:val="superscript"/>
    </w:rPr>
  </w:style>
  <w:style w:type="character" w:customStyle="1" w:styleId="EndnoteCharacters">
    <w:name w:val="Endnote Characters"/>
  </w:style>
  <w:style w:type="paragraph" w:customStyle="1" w:styleId="StandardvorAufzhlung">
    <w:name w:val="Standard vor Aufzählung"/>
    <w:basedOn w:val="Normal"/>
    <w:pPr>
      <w:keepNext/>
      <w:spacing w:before="0" w:after="80"/>
    </w:pPr>
  </w:style>
  <w:style w:type="paragraph" w:customStyle="1" w:styleId="StandardvorTabelle">
    <w:name w:val="Standard vor Tabelle"/>
    <w:basedOn w:val="Normal"/>
    <w:pPr>
      <w:spacing w:before="0" w:after="80"/>
    </w:pPr>
  </w:style>
  <w:style w:type="paragraph" w:customStyle="1" w:styleId="StandardvorBild">
    <w:name w:val="Standard vor Bild"/>
    <w:basedOn w:val="Normal"/>
    <w:pPr>
      <w:keepNext/>
      <w:spacing w:before="0" w:after="80"/>
    </w:pPr>
  </w:style>
  <w:style w:type="paragraph" w:customStyle="1" w:styleId="StandardBild">
    <w:name w:val="Standard Bild"/>
    <w:basedOn w:val="Normal"/>
    <w:pPr>
      <w:spacing w:line="240" w:lineRule="auto"/>
      <w:jc w:val="center"/>
    </w:pPr>
  </w:style>
  <w:style w:type="paragraph" w:customStyle="1" w:styleId="HeaderandFooter">
    <w:name w:val="Header and Footer"/>
    <w:basedOn w:val="Normal"/>
    <w:pPr>
      <w:suppressLineNumbers/>
      <w:tabs>
        <w:tab w:val="center" w:pos="4986"/>
        <w:tab w:val="end" w:pos="9972"/>
      </w:tabs>
    </w:pPr>
  </w:style>
  <w:style w:type="paragraph" w:styleId="Header">
    <w:name w:val="header"/>
    <w:pPr>
      <w:widowControl w:val="0"/>
      <w:suppressAutoHyphens/>
      <w:kinsoku/>
      <w:overflowPunct/>
      <w:autoSpaceDE/>
      <w:bidi w:val="0"/>
    </w:pPr>
    <w:rPr>
      <w:rFonts w:ascii="Arial" w:hAnsi="Arial"/>
      <w:color w:val="auto"/>
      <w:sz w:val="18"/>
      <w:lang w:val="de-CH" w:eastAsia="zh-CN" w:bidi="hi-IN"/>
    </w:rPr>
  </w:style>
  <w:style w:type="paragraph" w:styleId="Footer">
    <w:name w:val="footer"/>
    <w:basedOn w:val="Header"/>
  </w:style>
  <w:style w:type="paragraph" w:customStyle="1" w:styleId="Erlasstitel">
    <w:name w:val="Erlasstitel"/>
    <w:basedOn w:val="Normal"/>
    <w:next w:val="Datum"/>
    <w:pPr>
      <w:keepNext/>
      <w:keepLines/>
      <w:suppressAutoHyphens/>
      <w:spacing w:before="57" w:after="286"/>
      <w:jc w:val="start"/>
    </w:pPr>
    <w:rPr>
      <w:b/>
      <w:sz w:val="28"/>
    </w:rPr>
  </w:style>
  <w:style w:type="paragraph" w:customStyle="1" w:styleId="TitelArbeitsversion">
    <w:name w:val="Titel Arbeitsversion"/>
    <w:basedOn w:val="Erlasstitel"/>
    <w:next w:val="Datum"/>
    <w:pPr>
      <w:keepNext w:val="0"/>
      <w:keepLines w:val="0"/>
      <w:suppressAutoHyphens/>
      <w:spacing w:before="57" w:after="0"/>
      <w:jc w:val="start"/>
    </w:pPr>
    <w:rPr>
      <w:b/>
      <w:sz w:val="22"/>
    </w:rPr>
  </w:style>
  <w:style w:type="paragraph" w:customStyle="1" w:styleId="ZusammenfassungEinleitung">
    <w:name w:val="Zusammenfassung Einleitung"/>
    <w:basedOn w:val="Normal"/>
    <w:pPr>
      <w:keepNext/>
      <w:keepLines/>
      <w:spacing w:before="85" w:after="85"/>
      <w:ind w:start="0" w:end="0" w:firstLine="0"/>
      <w:jc w:val="start"/>
    </w:pPr>
  </w:style>
  <w:style w:type="paragraph" w:customStyle="1" w:styleId="ZusammenfassungneueErlasse">
    <w:name w:val="Zusammenfassung neue Erlasse"/>
    <w:basedOn w:val="Normal"/>
    <w:pPr>
      <w:keepNext/>
      <w:keepLines/>
      <w:tabs>
        <w:tab w:val="start" w:pos="2518"/>
      </w:tabs>
      <w:spacing w:before="0" w:after="0" w:line="232" w:lineRule="exact"/>
      <w:ind w:start="1259" w:end="0" w:hanging="1259"/>
      <w:jc w:val="start"/>
    </w:pPr>
  </w:style>
  <w:style w:type="paragraph" w:customStyle="1" w:styleId="ZusammenfassunggenderteErlasse">
    <w:name w:val="Zusammenfassung geänderte Erlasse"/>
    <w:basedOn w:val="ZusammenfassungneueErlasse"/>
  </w:style>
  <w:style w:type="paragraph" w:customStyle="1" w:styleId="ZusammenfassungaufgehobeneErlasse">
    <w:name w:val="Zusammenfassung aufgehobene Erlasse"/>
    <w:basedOn w:val="Datum"/>
    <w:pPr>
      <w:keepNext/>
      <w:keepLines/>
      <w:tabs>
        <w:tab w:val="start" w:pos="2518"/>
      </w:tabs>
      <w:ind w:start="1259" w:end="0" w:hanging="1259"/>
      <w:jc w:val="start"/>
    </w:pPr>
  </w:style>
  <w:style w:type="paragraph" w:customStyle="1" w:styleId="Datum">
    <w:name w:val="Datum"/>
    <w:basedOn w:val="Normal"/>
    <w:next w:val="Autor"/>
    <w:pPr>
      <w:keepNext/>
      <w:keepLines/>
      <w:pBdr>
        <w:top w:val="none" w:sz="0" w:space="0" w:color="000000"/>
        <w:left w:val="none" w:sz="0" w:space="0" w:color="000000"/>
        <w:bottom w:val="single" w:sz="4" w:space="4" w:color="000000"/>
        <w:right w:val="none" w:sz="0" w:space="0" w:color="000000"/>
      </w:pBdr>
      <w:spacing w:before="0" w:after="0"/>
      <w:ind w:start="0" w:end="0" w:firstLine="0"/>
      <w:jc w:val="start"/>
    </w:pPr>
    <w:rPr>
      <w:position w:val="2"/>
    </w:rPr>
  </w:style>
  <w:style w:type="paragraph" w:customStyle="1" w:styleId="Autor">
    <w:name w:val="Autor"/>
    <w:basedOn w:val="Normal"/>
    <w:next w:val="Grundlage"/>
    <w:pPr>
      <w:keepNext/>
      <w:keepLines/>
      <w:spacing w:before="278" w:after="113"/>
    </w:pPr>
    <w:rPr>
      <w:i/>
    </w:rPr>
  </w:style>
  <w:style w:type="paragraph" w:customStyle="1" w:styleId="Grundlage">
    <w:name w:val="Grundlage"/>
    <w:basedOn w:val="Normal"/>
    <w:next w:val="Aktion"/>
    <w:pPr>
      <w:spacing w:before="119" w:after="113"/>
    </w:pPr>
  </w:style>
  <w:style w:type="paragraph" w:customStyle="1" w:styleId="Aktion">
    <w:name w:val="Aktion"/>
    <w:basedOn w:val="Autor"/>
    <w:next w:val="Normal"/>
    <w:pPr>
      <w:spacing w:before="113" w:after="113"/>
    </w:pPr>
  </w:style>
  <w:style w:type="paragraph" w:customStyle="1" w:styleId="Schluss">
    <w:name w:val="Schluss"/>
    <w:basedOn w:val="Normal"/>
    <w:pPr>
      <w:tabs>
        <w:tab w:val="start" w:pos="6124"/>
      </w:tabs>
      <w:spacing w:before="621" w:after="0"/>
      <w:ind w:start="3062" w:end="0" w:hanging="3062"/>
      <w:jc w:val="start"/>
    </w:pPr>
  </w:style>
  <w:style w:type="paragraph" w:customStyle="1" w:styleId="TitelnderungstabelleDatum">
    <w:name w:val="Titel Änderungstabelle (Datum)"/>
    <w:basedOn w:val="Normal"/>
    <w:next w:val="Artikel"/>
    <w:pPr>
      <w:keepLines/>
      <w:pageBreakBefore/>
      <w:suppressAutoHyphens/>
      <w:spacing w:before="363" w:after="170"/>
      <w:jc w:val="start"/>
    </w:pPr>
    <w:rPr>
      <w:b/>
      <w:sz w:val="18"/>
    </w:rPr>
  </w:style>
  <w:style w:type="paragraph" w:customStyle="1" w:styleId="TitelnderungstabelleElement">
    <w:name w:val="Titel Änderungstabelle (Element)"/>
    <w:basedOn w:val="TitelnderungstabelleDatum"/>
    <w:next w:val="Artikel"/>
  </w:style>
  <w:style w:type="paragraph" w:customStyle="1" w:styleId="TitelAnnex">
    <w:name w:val="Titel Annex"/>
    <w:basedOn w:val="Normal"/>
    <w:pPr>
      <w:keepNext/>
      <w:keepLines/>
      <w:spacing w:before="363" w:after="170"/>
    </w:pPr>
    <w:rPr>
      <w:b/>
      <w:sz w:val="18"/>
    </w:rPr>
  </w:style>
  <w:style w:type="paragraph" w:customStyle="1" w:styleId="Nebenzitat">
    <w:name w:val="Nebenzitat"/>
    <w:basedOn w:val="Normal"/>
  </w:style>
  <w:style w:type="paragraph" w:customStyle="1" w:styleId="Abschnittstitel">
    <w:name w:val="Abschnittstitel"/>
    <w:basedOn w:val="Normal"/>
    <w:pPr>
      <w:keepNext/>
      <w:keepLines/>
      <w:tabs>
        <w:tab w:val="end" w:pos="6123"/>
      </w:tabs>
      <w:suppressAutoHyphens/>
      <w:spacing w:before="363" w:after="113"/>
      <w:jc w:val="start"/>
    </w:pPr>
    <w:rPr>
      <w:b/>
      <w:sz w:val="20"/>
    </w:rPr>
  </w:style>
  <w:style w:type="paragraph" w:customStyle="1" w:styleId="EmptySectionRemark">
    <w:name w:val="Empty_Section_Remark"/>
    <w:basedOn w:val="Normal"/>
    <w:rPr>
      <w:i/>
    </w:rPr>
  </w:style>
  <w:style w:type="paragraph" w:customStyle="1" w:styleId="InkrafttretensklauselErsterAbsatz">
    <w:name w:val="Inkrafttretensklausel_Erster_Absatz"/>
    <w:basedOn w:val="Normal"/>
  </w:style>
  <w:style w:type="paragraph" w:customStyle="1" w:styleId="Inkrafttretensklausel">
    <w:name w:val="Inkrafttretensklausel"/>
    <w:basedOn w:val="Normal"/>
  </w:style>
  <w:style w:type="paragraph" w:customStyle="1" w:styleId="TitelStufe1">
    <w:name w:val="Titel Stufe 1"/>
    <w:basedOn w:val="Normal"/>
    <w:next w:val="Artikel"/>
    <w:pPr>
      <w:keepNext/>
      <w:keepLines/>
      <w:numPr>
        <w:ilvl w:val="0"/>
        <w:numId w:val="0"/>
      </w:numPr>
      <w:tabs>
        <w:tab w:val="end" w:pos="6123"/>
      </w:tabs>
      <w:suppressAutoHyphens/>
      <w:spacing w:before="363" w:after="113"/>
      <w:jc w:val="start"/>
    </w:pPr>
    <w:rPr>
      <w:b/>
      <w:sz w:val="20"/>
    </w:rPr>
  </w:style>
  <w:style w:type="paragraph" w:customStyle="1" w:styleId="TitelStufe2">
    <w:name w:val="Titel Stufe 2"/>
    <w:basedOn w:val="TitelStufe1"/>
    <w:next w:val="Artikel"/>
    <w:pPr>
      <w:spacing w:before="238" w:after="113"/>
    </w:pPr>
    <w:rPr>
      <w:b/>
      <w:sz w:val="18"/>
    </w:rPr>
  </w:style>
  <w:style w:type="paragraph" w:customStyle="1" w:styleId="TitelStufe3">
    <w:name w:val="Titel Stufe 3"/>
    <w:basedOn w:val="TitelStufe2"/>
    <w:next w:val="Artikel"/>
    <w:pPr>
      <w:spacing w:before="238" w:after="113"/>
    </w:pPr>
    <w:rPr>
      <w:b/>
      <w:sz w:val="18"/>
    </w:rPr>
  </w:style>
  <w:style w:type="paragraph" w:customStyle="1" w:styleId="TitelStufe4">
    <w:name w:val="Titel Stufe 4"/>
    <w:basedOn w:val="TitelStufe2"/>
    <w:next w:val="Artikel"/>
    <w:rPr>
      <w:sz w:val="18"/>
    </w:rPr>
  </w:style>
  <w:style w:type="paragraph" w:customStyle="1" w:styleId="TitelStufe5">
    <w:name w:val="Titel Stufe 5"/>
    <w:basedOn w:val="TitelStufe2"/>
    <w:next w:val="Artikel"/>
    <w:rPr>
      <w:sz w:val="18"/>
    </w:rPr>
  </w:style>
  <w:style w:type="paragraph" w:customStyle="1" w:styleId="TitelStufe1nachTitel">
    <w:name w:val="Titel Stufe 1 nach Titel"/>
    <w:basedOn w:val="TitelStufe1"/>
    <w:next w:val="Artikel"/>
  </w:style>
  <w:style w:type="paragraph" w:customStyle="1" w:styleId="TitelStufe2nachTitel">
    <w:name w:val="Titel Stufe 2 nach Titel"/>
    <w:basedOn w:val="TitelStufe2"/>
    <w:next w:val="Artikel"/>
  </w:style>
  <w:style w:type="paragraph" w:customStyle="1" w:styleId="TitelStufe3nachTitel">
    <w:name w:val="Titel Stufe 3 nach Titel"/>
    <w:basedOn w:val="TitelStufe3"/>
    <w:next w:val="Artikel"/>
  </w:style>
  <w:style w:type="paragraph" w:customStyle="1" w:styleId="TitelStufe4nachTitel">
    <w:name w:val="Titel Stufe 4 nach Titel"/>
    <w:basedOn w:val="TitelStufe4"/>
    <w:next w:val="Artikel"/>
  </w:style>
  <w:style w:type="paragraph" w:customStyle="1" w:styleId="TitelStufe5nachTitel">
    <w:name w:val="Titel Stufe 5 nach Titel"/>
    <w:basedOn w:val="TitelStufe5"/>
    <w:next w:val="Artikel"/>
  </w:style>
  <w:style w:type="paragraph" w:styleId="BodyText">
    <w:name w:val="Body Text"/>
    <w:basedOn w:val="Normal"/>
    <w:pPr>
      <w:spacing w:before="0" w:after="140" w:line="276" w:lineRule="auto"/>
    </w:pPr>
  </w:style>
  <w:style w:type="paragraph" w:styleId="CommentText">
    <w:name w:val="annotation text"/>
    <w:basedOn w:val="Normal"/>
    <w:pPr>
      <w:keepNext/>
      <w:keepLines/>
      <w:suppressAutoHyphens w:val="0"/>
      <w:spacing w:line="317" w:lineRule="exact"/>
      <w:jc w:val="start"/>
    </w:pPr>
    <w:rPr>
      <w:sz w:val="14"/>
    </w:rPr>
  </w:style>
  <w:style w:type="paragraph" w:customStyle="1" w:styleId="Artikel">
    <w:name w:val="Artikel"/>
    <w:basedOn w:val="Normal"/>
    <w:next w:val="Normal"/>
    <w:pPr>
      <w:keepNext/>
      <w:keepLines/>
      <w:numPr>
        <w:ilvl w:val="0"/>
        <w:numId w:val="0"/>
      </w:numPr>
      <w:tabs>
        <w:tab w:val="start" w:pos="1275"/>
      </w:tabs>
      <w:spacing w:before="227" w:after="119"/>
      <w:ind w:start="992" w:end="0" w:hanging="992"/>
      <w:jc w:val="start"/>
    </w:pPr>
  </w:style>
  <w:style w:type="paragraph" w:customStyle="1" w:styleId="Artikelaufgehoben">
    <w:name w:val="Artikel (aufgehoben)"/>
    <w:basedOn w:val="Artikel"/>
  </w:style>
  <w:style w:type="paragraph" w:customStyle="1" w:styleId="Artikel-nderung">
    <w:name w:val="Artikel-Änderung"/>
    <w:basedOn w:val="Artikel"/>
    <w:next w:val="Normal"/>
    <w:pPr>
      <w:ind w:start="0" w:end="0" w:firstLine="0"/>
    </w:pPr>
  </w:style>
  <w:style w:type="paragraph" w:customStyle="1" w:styleId="Artikeltitel-nderung">
    <w:name w:val="Artikeltitel-Änderung"/>
    <w:basedOn w:val="Normal"/>
    <w:next w:val="Normal"/>
    <w:pPr>
      <w:jc w:val="start"/>
    </w:pPr>
  </w:style>
  <w:style w:type="paragraph" w:customStyle="1" w:styleId="TableContents">
    <w:name w:val="Table Contents"/>
    <w:basedOn w:val="Normal"/>
    <w:pPr>
      <w:suppressLineNumbers/>
      <w:spacing w:before="0" w:after="0"/>
      <w:jc w:val="start"/>
    </w:pPr>
    <w:rPr>
      <w:sz w:val="14"/>
    </w:rPr>
  </w:style>
  <w:style w:type="paragraph" w:customStyle="1" w:styleId="TableHeading">
    <w:name w:val="Table Heading"/>
    <w:basedOn w:val="TableContents"/>
    <w:pPr>
      <w:suppressLineNumbers/>
      <w:spacing w:before="0" w:after="0"/>
      <w:jc w:val="center"/>
    </w:pPr>
    <w:rPr>
      <w:b/>
      <w:bCs/>
    </w:rPr>
  </w:style>
  <w:style w:type="paragraph" w:customStyle="1" w:styleId="AnnexListe">
    <w:name w:val="Annex Liste"/>
    <w:basedOn w:val="Normal"/>
    <w:pPr>
      <w:spacing w:before="0" w:after="80" w:line="220" w:lineRule="exact"/>
      <w:ind w:start="1134" w:end="0" w:hanging="1134"/>
    </w:pPr>
  </w:style>
  <w:style w:type="paragraph" w:customStyle="1" w:styleId="Liste1">
    <w:name w:val="Liste 1"/>
    <w:basedOn w:val="Normal"/>
    <w:pPr>
      <w:tabs>
        <w:tab w:val="start" w:pos="794"/>
        <w:tab w:val="start" w:pos="1021"/>
        <w:tab w:val="start" w:pos="1247"/>
        <w:tab w:val="start" w:pos="1474"/>
        <w:tab w:val="start" w:pos="1701"/>
      </w:tabs>
      <w:spacing w:before="0" w:after="30"/>
      <w:ind w:start="567" w:end="0" w:hanging="567"/>
      <w:jc w:val="start"/>
    </w:pPr>
  </w:style>
  <w:style w:type="paragraph" w:customStyle="1" w:styleId="Liste1mitUnterelementen">
    <w:name w:val="Liste 1 mit Unterelementen"/>
    <w:basedOn w:val="Liste1"/>
  </w:style>
  <w:style w:type="paragraph" w:customStyle="1" w:styleId="Liste2">
    <w:name w:val="Liste 2"/>
    <w:basedOn w:val="Liste1"/>
    <w:pPr>
      <w:tabs>
        <w:tab w:val="clear" w:pos="794"/>
        <w:tab w:val="clear" w:pos="1021"/>
        <w:tab w:val="clear" w:pos="1247"/>
        <w:tab w:val="start" w:pos="1361"/>
        <w:tab w:val="clear" w:pos="1474"/>
        <w:tab w:val="start" w:pos="1588"/>
        <w:tab w:val="clear" w:pos="1701"/>
        <w:tab w:val="start" w:pos="1814"/>
        <w:tab w:val="start" w:pos="2041"/>
        <w:tab w:val="start" w:pos="2268"/>
      </w:tabs>
      <w:ind w:start="1134" w:end="0" w:hanging="567"/>
    </w:pPr>
  </w:style>
  <w:style w:type="paragraph" w:customStyle="1" w:styleId="Liste2mitaufeinanderfolgendenAufhebungen">
    <w:name w:val="Liste 2 mit aufeinanderfolgenden Aufhebungen"/>
    <w:basedOn w:val="Liste2"/>
    <w:pPr>
      <w:tabs>
        <w:tab w:val="clear" w:pos="1361"/>
        <w:tab w:val="clear" w:pos="1588"/>
        <w:tab w:val="clear" w:pos="1814"/>
        <w:tab w:val="clear" w:pos="2041"/>
        <w:tab w:val="clear" w:pos="2268"/>
      </w:tabs>
    </w:pPr>
  </w:style>
  <w:style w:type="paragraph" w:customStyle="1" w:styleId="Liste3">
    <w:name w:val="Liste 3"/>
    <w:basedOn w:val="Liste2"/>
    <w:pPr>
      <w:ind w:start="1134" w:end="0" w:hanging="567"/>
    </w:pPr>
  </w:style>
  <w:style w:type="paragraph" w:styleId="FootnoteText">
    <w:name w:val="footnote text"/>
    <w:basedOn w:val="Normal"/>
    <w:pPr>
      <w:keepLines/>
      <w:spacing w:before="0" w:after="0" w:line="185" w:lineRule="exact"/>
      <w:ind w:start="113" w:end="0" w:hanging="113"/>
    </w:pPr>
    <w:rPr>
      <w:sz w:val="16"/>
    </w:rPr>
  </w:style>
  <w:style w:type="paragraph" w:customStyle="1" w:styleId="Kommentierungen">
    <w:name w:val="Kommentierungen"/>
    <w:basedOn w:val="Normal"/>
    <w:pPr>
      <w:pBdr>
        <w:top w:val="single" w:sz="1" w:space="1" w:color="333333"/>
        <w:left w:val="single" w:sz="1" w:space="1" w:color="333333"/>
        <w:bottom w:val="single" w:sz="1" w:space="1" w:color="333333"/>
        <w:right w:val="single" w:sz="1" w:space="1" w:color="333333"/>
      </w:pBdr>
      <w:shd w:val="clear" w:color="auto" w:fill="EEEEEE"/>
    </w:pPr>
    <w:rPr>
      <w:color w:val="333333"/>
      <w:sz w:val="18"/>
    </w:rPr>
  </w:style>
  <w:style w:type="paragraph" w:customStyle="1" w:styleId="KommentierungenAufzhlungungeordnet">
    <w:name w:val="Kommentierungen Aufzählung ungeordnet"/>
    <w:basedOn w:val="Kommentierungen"/>
    <w:pPr>
      <w:spacing w:before="0" w:after="0"/>
      <w:ind w:start="737" w:end="0" w:hanging="737"/>
    </w:pPr>
  </w:style>
  <w:style w:type="paragraph" w:customStyle="1" w:styleId="KommentierungenAufzhlunggeordnet">
    <w:name w:val="Kommentierungen Aufzählung geordnet"/>
    <w:basedOn w:val="KommentierungenAufzhlungungeordnet"/>
  </w:style>
  <w:style w:type="paragraph" w:customStyle="1" w:styleId="Pcenter">
    <w:name w:val="Pcenter"/>
    <w:basedOn w:val="TableContents"/>
    <w:pPr>
      <w:jc w:val="center"/>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purl.oclc.org/ooxml/officeDocument/relationships/footnotes" Target="footnotes.xml" /><Relationship Id="rId10" Type="http://purl.oclc.org/ooxml/officeDocument/relationships/footer" Target="footer3.xml" /><Relationship Id="rId11" Type="http://purl.oclc.org/ooxml/officeDocument/relationships/header" Target="header4.xml" /><Relationship Id="rId12" Type="http://purl.oclc.org/ooxml/officeDocument/relationships/header" Target="header5.xml" /><Relationship Id="rId13" Type="http://purl.oclc.org/ooxml/officeDocument/relationships/footer" Target="footer4.xml" /><Relationship Id="rId14" Type="http://purl.oclc.org/ooxml/officeDocument/relationships/footer" Target="footer5.xml" /><Relationship Id="rId15" Type="http://purl.oclc.org/ooxml/officeDocument/relationships/header" Target="header6.xml" /><Relationship Id="rId16" Type="http://purl.oclc.org/ooxml/officeDocument/relationships/footer" Target="footer6.xml" /><Relationship Id="rId17" Type="http://purl.oclc.org/ooxml/officeDocument/relationships/theme" Target="theme/theme1.xml" /><Relationship Id="rId18" Type="http://purl.oclc.org/ooxml/officeDocument/relationships/styles" Target="styles.xml" /><Relationship Id="rId2" Type="http://purl.oclc.org/ooxml/officeDocument/relationships/settings" Target="settings.xml" /><Relationship Id="rId3" Type="http://purl.oclc.org/ooxml/officeDocument/relationships/webSettings" Target="webSettings.xml" /><Relationship Id="rId4" Type="http://purl.oclc.org/ooxml/officeDocument/relationships/fontTable" Target="fontTable.xml" /><Relationship Id="rId5" Type="http://purl.oclc.org/ooxml/officeDocument/relationships/header" Target="header1.xml" /><Relationship Id="rId6" Type="http://purl.oclc.org/ooxml/officeDocument/relationships/header" Target="header2.xml" /><Relationship Id="rId7" Type="http://purl.oclc.org/ooxml/officeDocument/relationships/footer" Target="footer1.xml" /><Relationship Id="rId8" Type="http://purl.oclc.org/ooxml/officeDocument/relationships/footer" Target="footer2.xml" /><Relationship Id="rId9" Type="http://purl.oclc.org/ooxml/officeDocument/relationships/header" Target="header3.xml" /></Relationships>
</file>

<file path=word/_rels/header3.xml.rels>&#65279;<?xml version="1.0" encoding="utf-8" standalone="yes"?><Relationships xmlns="http://schemas.openxmlformats.org/package/2006/relationships"><Relationship Id="rId1" Type="http://purl.oclc.org/ooxml/officeDocument/relationships/image" Target="media/image1.png"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Tibt" typeface="Microsoft Himalaya"/>
        <a:font script="Khmr" typeface="MoolBoran"/>
        <a:font script="Beng" typeface="Vrinda"/>
        <a:font script="Taml" typeface="Latha"/>
        <a:font script="Hebr" typeface="Times New Roman"/>
        <a:font script="Syrc" typeface="Estrangelo Edessa"/>
        <a:font script="Laoo" typeface="DokChampa"/>
        <a:font script="Cher" typeface="Plantagenet Cherokee"/>
        <a:font script="Thaa" typeface="MV Boli"/>
        <a:font script="Sinh" typeface="Iskoola Pota"/>
        <a:font script="Thai" typeface="Angsana New"/>
        <a:font script="Cans" typeface="Euphemia"/>
        <a:font script="Mong" typeface="Mongolian Baiti"/>
        <a:font script="Knda" typeface="Tunga"/>
        <a:font script="Viet" typeface="Times New Roman"/>
        <a:font script="Deva" typeface="Mangal"/>
        <a:font script="Arab" typeface="Times New Roman"/>
        <a:font script="Orya" typeface="Kalinga"/>
        <a:font script="Jpan" typeface="ＭＳ ゴシック"/>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ajorFont>
      <a:minorFont>
        <a:latin typeface="Calibri"/>
        <a:ea typeface=""/>
        <a:cs typeface=""/>
        <a:font script="Tibt" typeface="Microsoft Himalaya"/>
        <a:font script="Khmr" typeface="DaunPenh"/>
        <a:font script="Beng" typeface="Vrinda"/>
        <a:font script="Taml" typeface="Latha"/>
        <a:font script="Hebr" typeface="Arial"/>
        <a:font script="Syrc" typeface="Estrangelo Edessa"/>
        <a:font script="Laoo" typeface="DokChampa"/>
        <a:font script="Cher" typeface="Plantagenet Cherokee"/>
        <a:font script="Thaa" typeface="MV Boli"/>
        <a:font script="Sinh" typeface="Iskoola Pota"/>
        <a:font script="Thai" typeface="Cordia New"/>
        <a:font script="Cans" typeface="Euphemia"/>
        <a:font script="Mong" typeface="Mongolian Baiti"/>
        <a:font script="Knda" typeface="Tunga"/>
        <a:font script="Viet" typeface="Arial"/>
        <a:font script="Deva" typeface="Mangal"/>
        <a:font script="Arab" typeface="Arial"/>
        <a:font script="Orya" typeface="Kalinga"/>
        <a:font script="Jpan" typeface="ＭＳ 明朝"/>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a:solidFill>
            <a:schemeClr val="phClr">
              <a:shade val="95%"/>
              <a:satMod val="105%"/>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 sy="100%" kx="0" ky="0" algn="b" rotWithShape="0">
              <a:srgbClr val="000000">
                <a:alpha val="38%"/>
              </a:srgbClr>
            </a:outerShdw>
          </a:effectLst>
        </a:effectStyle>
        <a:effectStyle>
          <a:effectLst>
            <a:outerShdw blurRad="40000" dist="23000" dir="5400000" sx="100%" sy="100%" kx="0" ky="0" algn="b" rotWithShape="0">
              <a:srgbClr val="000000">
                <a:alpha val="35%"/>
              </a:srgbClr>
            </a:outerShdw>
          </a:effectLst>
        </a:effectStyle>
        <a:effectStyle>
          <a:effectLst>
            <a:outerShdw blurRad="40000" dist="23000" dir="5400000" sx="100%" sy="100%" kx="0" ky="0" algn="b" rotWithShape="0">
              <a:srgbClr val="000000">
                <a:alpha val="35%"/>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xmlns:a="http://purl.oclc.org/ooxml/drawingml/main"/>
</a:theme>
</file>

<file path=docProps/app.xml><?xml version="1.0" encoding="utf-8"?>
<Properties xmlns="http://purl.oclc.org/ooxml/officeDocument/extendedProperties" xmlns:vt="http://purl.oclc.org/ooxml/officeDocument/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2025-09-25T11:56:52Z</dcterms:created>
</cp:coreProperties>
</file>