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purl.oclc.org/ooxml/officeDocument/relationships/officeDocument" Target="word/document.xml" /><Relationship Id="rId2" Type="http://purl.oclc.org/ooxml/officeDocument/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nformance="strict">
  <!-- Generated by Aspose.Words for Java 20.12.0 -->
  <w:background w:color="ffffff">
    <mc:AlternateContent>
      <mc:Choice Requires="v">
        <v:background id="_x0000_s1025" filled="t">
          <v:shadow color="#020000"/>
        </v:background>
      </mc:Choice>
      <mc:Fallback>
        <w:drawing>
          <wp:anchor distT="0" distB="0" distL="114300" distR="114300" simplePos="0" relativeHeight="0" behindDoc="0" locked="0" layoutInCell="1" allowOverlap="1">
            <wp:simplePos x="0" y="0"/>
            <wp:positionH relativeFrom="column">
              <wp:posOffset>0</wp:posOffset>
            </wp:positionH>
            <wp:positionV relativeFrom="paragraph">
              <wp:posOffset>0</wp:posOffset>
            </wp:positionV>
            <wp:extent cx="0" cy="0"/>
            <wp:effectExtent l="0" t="0" r="0" b="0"/>
            <wp:wrapNone/>
            <wp:docPr id="1025" name="Rectangle 1025">
              <a:extLst xmlns:a="http://purl.oclc.org/ooxml/drawingml/main">
                <a:ext xmlns:a="http://purl.oclc.org/ooxml/drawingml/main" uri="{A998136B-4AC2-44c3-8CCF-79AB77ABDD1D}">
                  <a15:backgroundPr xmlns:a15="http://schemas.microsoft.com/office/drawing/2012/main" bwMode="white" bwNormal="auto" bwPure="auto" targetScreenSize="1024x768"/>
                </a:ext>
              </a:extLst>
            </wp:docPr>
            <wp:cNvGraphicFramePr/>
            <a:graphic xmlns:a="http://purl.oclc.org/ooxml/drawingml/main">
              <a:graphicData uri="http://schemas.microsoft.com/office/word/2010/wordprocessingShape">
                <wp:wsp>
                  <wp:cNvSpPr>
                    <a:spLocks noChangeArrowheads="1"/>
                  </wp:cNvSpPr>
                  <wp:spPr bwMode="auto">
                    <a:xfrm>
                      <a:off x="0" y="0"/>
                      <a:ext cx="0" cy="0"/>
                    </a:xfrm>
                    <a:prstGeom prst="rect">
                      <a:avLst/>
                    </a:prstGeom>
                    <a:solidFill>
                      <a:srgbClr val="FFFFFF"/>
                    </a:solidFill>
                    <a:ln>
                      <a:noFill/>
                    </a:ln>
                    <a:extLst>
                      <a:ext xmlns:a="http://purl.oclc.org/ooxml/drawingml/main" uri="{91240B29-F687-4F45-9708-019B960494DF}">
                        <a14:hiddenLine xmlns:a14="http://schemas.microsoft.com/office/drawing/2010/main" w="0">
                          <a:solidFill>
                            <a:srgbClr val="010000"/>
                          </a:solidFill>
                          <a:prstDash val="solid"/>
                          <a:miter lim="800%"/>
                          <a:headEnd/>
                          <a:tailEnd/>
                        </a14:hiddenLine>
                      </a:ext>
                    </a:extLst>
                  </wp:spPr>
                  <wp:bodyPr rot="0" vert="horz" wrap="square" lIns="91440" tIns="45720" rIns="91440" bIns="45720" anchor="t" anchorCtr="0" upright="1"/>
                </wp:wsp>
              </a:graphicData>
            </a:graphic>
          </wp:anchor>
        </w:drawing>
      </mc:Fallback>
    </mc:AlternateContent>
  </w:background>
  <w:body>
    <w:p>
      <w:pPr>
        <w:pBdr>
          <w:top w:val="none" w:sz="0" w:space="0" w:color="000000"/>
          <w:left w:val="none" w:sz="0" w:space="0" w:color="000000"/>
          <w:bottom w:val="none" w:sz="0" w:space="0" w:color="000000"/>
          <w:right w:val="none" w:sz="0" w:space="0" w:color="000000"/>
        </w:pBdr>
        <w:tabs>
          <w:tab w:val="end" w:pos="6151"/>
        </w:tabs>
        <w:bidi w:val="0"/>
        <w:spacing w:before="397" w:after="120"/>
        <w:ind w:start="28" w:end="28" w:firstLine="0"/>
        <w:rPr>
          <w:vanish/>
          <w:sz w:val="6"/>
        </w:rPr>
      </w:pPr>
    </w:p>
    <w:p>
      <w:pPr>
        <w:pStyle w:val="TitelArbeitsversion"/>
        <w:bidi w:val="0"/>
      </w:pPr>
      <w:r>
        <w:t>Arbeitsversion</w:t>
      </w:r>
    </w:p>
    <w:p>
      <w:pPr>
        <w:pStyle w:val="Erlasstitel"/>
        <w:bidi w:val="0"/>
      </w:pPr>
      <w:r>
        <w:t>Revision Verordnung über die Urnenabstimmungen</w:t>
        <w:br/>
        <w:t>(VUA)</w:t>
      </w:r>
    </w:p>
    <w:p>
      <w:pPr>
        <w:pStyle w:val="Datum"/>
        <w:bidi w:val="0"/>
      </w:pPr>
      <w:r>
        <w:t>Änderung vom [Datum]</w:t>
      </w:r>
    </w:p>
    <w:p>
      <w:pPr>
        <w:pStyle w:val="ZusammenfassungEinleitung"/>
        <w:bidi w:val="0"/>
      </w:pPr>
      <w:r>
        <w:t>Von diesem Geschäft tangierte Erlasse (GS Nummern)</w:t>
      </w:r>
    </w:p>
    <w:p>
      <w:pPr>
        <w:pStyle w:val="ZusammenfassungneueErlasse"/>
        <w:bidi w:val="0"/>
      </w:pPr>
      <w:r>
        <w:t>Neu:</w:t>
        <w:tab/>
        <w:t>–</w:t>
      </w:r>
    </w:p>
    <w:p>
      <w:pPr>
        <w:pStyle w:val="ZusammenfassunggenderteErlasse"/>
        <w:bidi w:val="0"/>
      </w:pPr>
      <w:r>
        <w:t>Geändert:</w:t>
        <w:tab/>
      </w:r>
      <w:r>
        <w:rPr>
          <w:rStyle w:val="ZusammenfassungHauptnderung"/>
        </w:rPr>
        <w:t>160.010</w:t>
      </w:r>
    </w:p>
    <w:p>
      <w:pPr>
        <w:pStyle w:val="ZusammenfassungaufgehobeneErlasse"/>
        <w:bidi w:val="0"/>
      </w:pPr>
      <w:r>
        <w:t>Aufgehoben:</w:t>
        <w:tab/>
        <w:t>–</w:t>
      </w:r>
    </w:p>
    <w:p>
      <w:pPr>
        <w:pStyle w:val="Autor"/>
        <w:bidi w:val="0"/>
      </w:pPr>
      <w:r>
        <w:t>Der Grosse Rat,</w:t>
      </w:r>
    </w:p>
    <w:p>
      <w:pPr>
        <w:pStyle w:val="Grundlage"/>
        <w:bidi w:val="0"/>
      </w:pPr>
      <w:r>
        <w:t>in Revision der Verordnung über die Urnenabstimmungen (VUA) vom 23. Oktober 2017,</w:t>
      </w:r>
    </w:p>
    <w:p>
      <w:pPr>
        <w:pStyle w:val="Aktion"/>
        <w:bidi w:val="0"/>
      </w:pPr>
      <w:r>
        <w:t>beschliesst:</w:t>
      </w:r>
    </w:p>
    <w:p>
      <w:pPr>
        <w:pStyle w:val="Abschnittstitel"/>
        <w:bidi w:val="0"/>
      </w:pPr>
      <w:r>
        <w:t>I.</w:t>
      </w:r>
    </w:p>
    <w:p>
      <w:pPr>
        <w:pStyle w:val="Nebenzitat"/>
        <w:bidi w:val="0"/>
        <w:rPr>
          <w:rStyle w:val="AenderungTitelText"/>
        </w:rPr>
      </w:pPr>
      <w:r>
        <w:t>Änderung Verordnung über die Urnenabstimmungen (VUA) vom 23. Oktober 2017:</w:t>
      </w:r>
    </w:p>
    <w:p>
      <w:pPr>
        <w:pStyle w:val="Artikel-nderung"/>
        <w:bidi w:val="0"/>
        <w:rPr>
          <w:vertAlign w:val="superscript"/>
        </w:rPr>
      </w:pPr>
      <w:r>
        <w:rPr>
          <w:rStyle w:val="AenderungTitelText"/>
        </w:rPr>
        <w:t>Art.  1</w:t>
      </w:r>
      <w:r>
        <w:t> </w:t>
      </w:r>
      <w:r>
        <w:rPr>
          <w:rStyle w:val="AenderungTitelText"/>
        </w:rPr>
        <w:t>Abs. 1</w:t>
      </w:r>
      <w:r>
        <w:rPr>
          <w:rStyle w:val="ParagraphAenderungAnmerkung"/>
        </w:rPr>
        <w:t> (geändert)</w:t>
      </w:r>
    </w:p>
    <w:p>
      <w:pPr>
        <w:bidi w:val="0"/>
        <w:rPr>
          <w:rStyle w:val="AenderungTitelText"/>
        </w:rPr>
      </w:pPr>
      <w:r>
        <w:rPr>
          <w:vertAlign w:val="superscript"/>
        </w:rPr>
        <w:t>1</w:t>
      </w:r>
      <w:r>
        <w:t> Diese Verordnung regelt in Ausführung des Gesetzes über die politischen Rechte vom .... die Urnenabstimmungen und -wahlen des Kantons, der Bezirke sowie der Schul- und Kirchgemeinden.</w:t>
      </w:r>
    </w:p>
    <w:p>
      <w:pPr>
        <w:pStyle w:val="Artikel-nderung"/>
        <w:bidi w:val="0"/>
        <w:rPr>
          <w:vertAlign w:val="superscript"/>
        </w:rPr>
      </w:pPr>
      <w:r>
        <w:rPr>
          <w:rStyle w:val="AenderungTitelText"/>
        </w:rPr>
        <w:t>Art.  3</w:t>
      </w:r>
      <w:r>
        <w:t> </w:t>
      </w:r>
      <w:r>
        <w:rPr>
          <w:rStyle w:val="AenderungTitelText"/>
        </w:rPr>
        <w:t>Abs. 1</w:t>
      </w:r>
      <w:r>
        <w:rPr>
          <w:rStyle w:val="ParagraphAenderungAnmerkung"/>
        </w:rPr>
        <w:t> (geändert)</w:t>
      </w:r>
      <w:r>
        <w:t xml:space="preserve">, </w:t>
      </w:r>
      <w:r>
        <w:rPr>
          <w:rStyle w:val="AenderungTitelText"/>
        </w:rPr>
        <w:t>Abs. 3</w:t>
      </w:r>
      <w:r>
        <w:rPr>
          <w:rStyle w:val="ParagraphAenderungAnmerkung"/>
        </w:rPr>
        <w:t> (aufgehoben)</w:t>
      </w:r>
      <w:r>
        <w:t xml:space="preserve">, </w:t>
      </w:r>
      <w:r>
        <w:rPr>
          <w:rStyle w:val="AenderungTitelText"/>
        </w:rPr>
        <w:t>Abs. 4</w:t>
      </w:r>
      <w:r>
        <w:rPr>
          <w:rStyle w:val="ParagraphAenderungAnmerkung"/>
        </w:rPr>
        <w:t> (aufgehoben)</w:t>
      </w:r>
    </w:p>
    <w:p>
      <w:pPr>
        <w:bidi w:val="0"/>
        <w:rPr>
          <w:vertAlign w:val="superscript"/>
        </w:rPr>
      </w:pPr>
      <w:r>
        <w:rPr>
          <w:vertAlign w:val="superscript"/>
        </w:rPr>
        <w:t>1</w:t>
      </w:r>
      <w:r>
        <w:t> Das Stimmrecht für eidgenössische Urnengänge bestimmt sich nach der Bundesgesetzgebung, jenes für Urnenabstimmungen der Bezirke und Gemeinden nach dem kantonalen Recht.</w:t>
      </w:r>
    </w:p>
    <w:p>
      <w:pPr>
        <w:bidi w:val="0"/>
        <w:rPr>
          <w:vertAlign w:val="superscript"/>
        </w:rPr>
      </w:pPr>
      <w:r>
        <w:rPr>
          <w:vertAlign w:val="superscript"/>
        </w:rPr>
        <w:t>3</w:t>
      </w:r>
      <w:r>
        <w:t> </w:t>
      </w:r>
      <w:r>
        <w:rPr>
          <w:rStyle w:val="ParagraphAusserKraftAnmerkung"/>
        </w:rPr>
        <w:t>Aufgehoben.</w:t>
      </w:r>
    </w:p>
    <w:p>
      <w:pPr>
        <w:bidi w:val="0"/>
        <w:rPr>
          <w:rStyle w:val="AenderungTitelText"/>
        </w:rPr>
        <w:sectPr>
          <w:headerReference w:type="even" r:id="rId4"/>
          <w:headerReference w:type="default" r:id="rId5"/>
          <w:footerReference w:type="even" r:id="rId6"/>
          <w:footerReference w:type="default" r:id="rId7"/>
          <w:headerReference w:type="first" r:id="rId8"/>
          <w:footerReference w:type="first" r:id="rId9"/>
          <w:pgSz w:w="8391" w:h="11906"/>
          <w:pgMar w:top="1077" w:right="743" w:bottom="994" w:left="1531" w:header="907" w:footer="711"/>
          <w:pgNumType w:fmt="decimal"/>
          <w:cols w:space="720"/>
          <w:titlePg/>
          <w:textDirection w:val="tb"/>
          <w:bidi w:val="0"/>
          <w:docGrid w:linePitch="360" w:charSpace="36864"/>
        </w:sectPr>
      </w:pPr>
      <w:r>
        <w:rPr>
          <w:vertAlign w:val="superscript"/>
        </w:rPr>
        <w:t>4</w:t>
      </w:r>
      <w:r>
        <w:t> </w:t>
      </w:r>
      <w:r>
        <w:rPr>
          <w:rStyle w:val="ParagraphAusserKraftAnmerkung"/>
        </w:rPr>
        <w:t>Aufgehoben.</w:t>
      </w:r>
    </w:p>
    <w:p>
      <w:pPr>
        <w:pStyle w:val="Artikel-nderung"/>
        <w:bidi w:val="0"/>
        <w:rPr>
          <w:vertAlign w:val="superscript"/>
        </w:rPr>
      </w:pPr>
      <w:r>
        <w:rPr>
          <w:rStyle w:val="AenderungTitelText"/>
        </w:rPr>
        <w:t>Art.  4</w:t>
      </w:r>
      <w:r>
        <w:t> </w:t>
      </w:r>
      <w:r>
        <w:rPr>
          <w:rStyle w:val="AenderungTitelText"/>
        </w:rPr>
        <w:t>Abs. 2</w:t>
      </w:r>
      <w:r>
        <w:rPr>
          <w:rStyle w:val="ParagraphAenderungAnmerkung"/>
        </w:rPr>
        <w:t> (aufgehoben)</w:t>
      </w:r>
      <w:r>
        <w:t xml:space="preserve">, </w:t>
      </w:r>
      <w:r>
        <w:rPr>
          <w:rStyle w:val="AenderungTitelText"/>
        </w:rPr>
        <w:t>Abs. 3</w:t>
      </w:r>
      <w:r>
        <w:rPr>
          <w:rStyle w:val="ParagraphAenderungAnmerkung"/>
        </w:rPr>
        <w:t> (geändert)</w:t>
      </w:r>
      <w:r>
        <w:t xml:space="preserve">, </w:t>
      </w:r>
      <w:r>
        <w:rPr>
          <w:rStyle w:val="AenderungTitelText"/>
        </w:rPr>
        <w:t>Abs. 4</w:t>
      </w:r>
      <w:r>
        <w:rPr>
          <w:rStyle w:val="ParagraphAenderungAnmerkung"/>
        </w:rPr>
        <w:t> (geändert)</w:t>
      </w:r>
    </w:p>
    <w:p>
      <w:pPr>
        <w:bidi w:val="0"/>
        <w:rPr>
          <w:vertAlign w:val="superscript"/>
        </w:rPr>
      </w:pPr>
      <w:r>
        <w:rPr>
          <w:vertAlign w:val="superscript"/>
        </w:rPr>
        <w:t>2</w:t>
      </w:r>
      <w:r>
        <w:t> </w:t>
      </w:r>
      <w:r>
        <w:rPr>
          <w:rStyle w:val="ParagraphAusserKraftAnmerkung"/>
        </w:rPr>
        <w:t>Aufgehoben.</w:t>
      </w:r>
    </w:p>
    <w:p>
      <w:pPr>
        <w:bidi w:val="0"/>
        <w:rPr>
          <w:vertAlign w:val="superscript"/>
        </w:rPr>
      </w:pPr>
      <w:r>
        <w:rPr>
          <w:vertAlign w:val="superscript"/>
        </w:rPr>
        <w:t>3</w:t>
      </w:r>
      <w:r>
        <w:t> Alle massgeblichen persönlichen Änderungen sind der für die Registerführung zuständigen Stelle unverzüglich zu melden.</w:t>
      </w:r>
    </w:p>
    <w:p>
      <w:pPr>
        <w:bidi w:val="0"/>
        <w:rPr>
          <w:rStyle w:val="AenderungTitelText"/>
        </w:rPr>
      </w:pPr>
      <w:r>
        <w:rPr>
          <w:vertAlign w:val="superscript"/>
        </w:rPr>
        <w:t>4</w:t>
      </w:r>
      <w:r>
        <w:t> Eintragungen und Streichungen im Stimmregister werden von Amtes wegen vorgenommen. Eintragungen werden bis fünf Tage vor der Abstimmung vorgenommen, wenn feststeht, dass die Voraussetzungen am Abstimmungstag erfüllt sind.</w:t>
      </w:r>
    </w:p>
    <w:p>
      <w:pPr>
        <w:pStyle w:val="Artikel-nderung"/>
        <w:bidi w:val="0"/>
        <w:rPr>
          <w:vertAlign w:val="superscript"/>
        </w:rPr>
      </w:pPr>
      <w:r>
        <w:rPr>
          <w:rStyle w:val="AenderungTitelText"/>
        </w:rPr>
        <w:t>Art.  5</w:t>
      </w:r>
      <w:r>
        <w:t> </w:t>
      </w:r>
      <w:r>
        <w:rPr>
          <w:rStyle w:val="AenderungTitelText"/>
        </w:rPr>
        <w:t>Abs. 4</w:t>
      </w:r>
      <w:r>
        <w:rPr>
          <w:rStyle w:val="ParagraphAenderungAnmerkung"/>
        </w:rPr>
        <w:t> (geändert)</w:t>
      </w:r>
    </w:p>
    <w:p>
      <w:pPr>
        <w:bidi w:val="0"/>
        <w:rPr>
          <w:rStyle w:val="AenderungTitelText"/>
        </w:rPr>
      </w:pPr>
      <w:r>
        <w:rPr>
          <w:vertAlign w:val="superscript"/>
        </w:rPr>
        <w:t>4</w:t>
      </w:r>
      <w:r>
        <w:t> Wird die Gemeinde- oder Bezirksbehörde an der Urne gewählt, darf im Stimmbüro ausser dem Präsidenten oder der Präsidentin der betreffenden Behörde und im Verhinderungsfall der Stellvertretung kein anderes Mitglied dieser Behörde mitwirken.</w:t>
      </w:r>
    </w:p>
    <w:p>
      <w:pPr>
        <w:pStyle w:val="Artikel-nderung"/>
        <w:bidi w:val="0"/>
        <w:rPr>
          <w:rStyle w:val="ArtikelAusserKraftAnmerkung"/>
        </w:rPr>
      </w:pPr>
      <w:r>
        <w:rPr>
          <w:rStyle w:val="AenderungTitelText"/>
        </w:rPr>
        <w:t>Art.  6</w:t>
      </w:r>
    </w:p>
    <w:p>
      <w:pPr>
        <w:bidi w:val="0"/>
        <w:rPr>
          <w:rStyle w:val="AenderungTitelText"/>
        </w:rPr>
      </w:pPr>
      <w:r>
        <w:rPr>
          <w:rStyle w:val="ArtikelAusserKraftAnmerkung"/>
        </w:rPr>
        <w:t>Aufgehoben.</w:t>
      </w:r>
    </w:p>
    <w:p>
      <w:pPr>
        <w:pStyle w:val="Artikel-nderung"/>
        <w:bidi w:val="0"/>
        <w:rPr>
          <w:rStyle w:val="ArtikelAenderungTitelaenderung"/>
        </w:rPr>
      </w:pPr>
      <w:r>
        <w:rPr>
          <w:rStyle w:val="AenderungTitelText"/>
        </w:rPr>
        <w:t>Art.  7</w:t>
      </w:r>
      <w:r>
        <w:t> </w:t>
      </w:r>
      <w:r>
        <w:rPr>
          <w:rStyle w:val="AenderungTitelText"/>
        </w:rPr>
        <w:t>Abs. 1</w:t>
      </w:r>
      <w:r>
        <w:rPr>
          <w:rStyle w:val="ParagraphAenderungAnmerkung"/>
        </w:rPr>
        <w:t> (geändert)</w:t>
      </w:r>
      <w:r>
        <w:t xml:space="preserve">, </w:t>
      </w:r>
      <w:r>
        <w:rPr>
          <w:rStyle w:val="AenderungTitelText"/>
        </w:rPr>
        <w:t>Abs. 1a</w:t>
      </w:r>
      <w:r>
        <w:rPr>
          <w:rStyle w:val="ParagraphAenderungAnmerkung"/>
        </w:rPr>
        <w:t> (aufgehoben)</w:t>
      </w:r>
      <w:r>
        <w:t xml:space="preserve">, </w:t>
      </w:r>
      <w:r>
        <w:rPr>
          <w:rStyle w:val="AenderungTitelText"/>
        </w:rPr>
        <w:t>Abs. 3</w:t>
      </w:r>
      <w:r>
        <w:rPr>
          <w:rStyle w:val="ParagraphAenderungAnmerkung"/>
        </w:rPr>
        <w:t> (geändert)</w:t>
      </w:r>
    </w:p>
    <w:p>
      <w:pPr>
        <w:pStyle w:val="Artikeltitel-nderung"/>
        <w:bidi w:val="0"/>
        <w:rPr>
          <w:vertAlign w:val="superscript"/>
        </w:rPr>
      </w:pPr>
      <w:r>
        <w:rPr>
          <w:rStyle w:val="ArtikelAenderungTitelaenderung"/>
        </w:rPr>
        <w:t>Bekanntgabe Abstimmungen und Wahlen</w:t>
      </w:r>
      <w:r>
        <w:rPr>
          <w:rStyle w:val="ArtikelAenderungAnmerkung"/>
        </w:rPr>
        <w:t> (Überschrift geändert)</w:t>
      </w:r>
    </w:p>
    <w:p>
      <w:pPr>
        <w:bidi w:val="0"/>
        <w:rPr>
          <w:vertAlign w:val="superscript"/>
        </w:rPr>
      </w:pPr>
      <w:r>
        <w:rPr>
          <w:vertAlign w:val="superscript"/>
        </w:rPr>
        <w:t>1</w:t>
      </w:r>
      <w:r>
        <w:t> Sachabstimmungen und Wahlen sind spätestens 30 Tage vor dem Durchführungstag im amtlichen Publikationsorgan öffentlich bekannt zu geben. Für Wahlen der Bezirke und Gemeinden legt die durchführende Behörde den Zeitpunkt der öffentlichen Bekanntgabe fest.</w:t>
      </w:r>
    </w:p>
    <w:p>
      <w:pPr>
        <w:bidi w:val="0"/>
        <w:rPr>
          <w:vertAlign w:val="superscript"/>
        </w:rPr>
      </w:pPr>
      <w:r>
        <w:rPr>
          <w:vertAlign w:val="superscript"/>
        </w:rPr>
        <w:t>1a</w:t>
      </w:r>
      <w:r>
        <w:t> </w:t>
      </w:r>
      <w:r>
        <w:rPr>
          <w:rStyle w:val="ParagraphAusserKraftAnmerkung"/>
        </w:rPr>
        <w:t>Aufgehoben.</w:t>
      </w:r>
    </w:p>
    <w:p>
      <w:pPr>
        <w:bidi w:val="0"/>
        <w:rPr>
          <w:rStyle w:val="AenderungTitelText"/>
        </w:rPr>
      </w:pPr>
      <w:r>
        <w:rPr>
          <w:vertAlign w:val="superscript"/>
        </w:rPr>
        <w:t>3</w:t>
      </w:r>
      <w:r>
        <w:t> Bei Sachabstimmungen umfasst die Bekanntgabe zusätzlich die Angabe des Abstimmungsgegenstands, bei Wahlen zusätzlich die Angabe, für welche Ämter die Wahl gilt.</w:t>
      </w:r>
    </w:p>
    <w:p>
      <w:pPr>
        <w:pStyle w:val="Artikel-nderung"/>
        <w:bidi w:val="0"/>
        <w:rPr>
          <w:vertAlign w:val="superscript"/>
        </w:rPr>
      </w:pPr>
      <w:r>
        <w:rPr>
          <w:rStyle w:val="AenderungTitelText"/>
        </w:rPr>
        <w:t>Art.  10</w:t>
      </w:r>
      <w:r>
        <w:t> </w:t>
      </w:r>
      <w:r>
        <w:rPr>
          <w:rStyle w:val="AenderungTitelText"/>
        </w:rPr>
        <w:t>Abs. 2</w:t>
      </w:r>
      <w:r>
        <w:rPr>
          <w:rStyle w:val="ParagraphAenderungAnmerkung"/>
        </w:rPr>
        <w:t> (aufgehoben)</w:t>
      </w:r>
    </w:p>
    <w:p>
      <w:pPr>
        <w:bidi w:val="0"/>
        <w:rPr>
          <w:rStyle w:val="AenderungTitelText"/>
        </w:rPr>
      </w:pPr>
      <w:r>
        <w:rPr>
          <w:vertAlign w:val="superscript"/>
        </w:rPr>
        <w:t>2</w:t>
      </w:r>
      <w:r>
        <w:t> </w:t>
      </w:r>
      <w:r>
        <w:rPr>
          <w:rStyle w:val="ParagraphAusserKraftAnmerkung"/>
        </w:rPr>
        <w:t>Aufgehoben.</w:t>
      </w:r>
    </w:p>
    <w:p>
      <w:pPr>
        <w:pStyle w:val="Artikel-nderung"/>
        <w:bidi w:val="0"/>
        <w:rPr>
          <w:vertAlign w:val="superscript"/>
        </w:rPr>
      </w:pPr>
      <w:r>
        <w:rPr>
          <w:rStyle w:val="AenderungTitelText"/>
        </w:rPr>
        <w:t>Art.  11</w:t>
      </w:r>
      <w:r>
        <w:t> </w:t>
      </w:r>
      <w:r>
        <w:rPr>
          <w:rStyle w:val="AenderungTitelText"/>
        </w:rPr>
        <w:t>Abs. 1</w:t>
      </w:r>
      <w:r>
        <w:rPr>
          <w:rStyle w:val="ParagraphAenderungAnmerkung"/>
        </w:rPr>
        <w:t> (geändert)</w:t>
      </w:r>
      <w:r>
        <w:t xml:space="preserve">, </w:t>
      </w:r>
      <w:r>
        <w:rPr>
          <w:rStyle w:val="AenderungTitelText"/>
        </w:rPr>
        <w:t>Abs. 2</w:t>
      </w:r>
      <w:r>
        <w:rPr>
          <w:rStyle w:val="ParagraphAenderungAnmerkung"/>
        </w:rPr>
        <w:t> (geändert)</w:t>
      </w:r>
      <w:r>
        <w:t xml:space="preserve">, </w:t>
      </w:r>
      <w:r>
        <w:rPr>
          <w:rStyle w:val="AenderungTitelText"/>
        </w:rPr>
        <w:t>Abs. 4</w:t>
      </w:r>
      <w:r>
        <w:rPr>
          <w:rStyle w:val="ParagraphAenderungAnmerkung"/>
        </w:rPr>
        <w:t> (geändert)</w:t>
      </w:r>
    </w:p>
    <w:p>
      <w:pPr>
        <w:bidi w:val="0"/>
        <w:rPr>
          <w:vertAlign w:val="superscript"/>
        </w:rPr>
      </w:pPr>
      <w:r>
        <w:rPr>
          <w:vertAlign w:val="superscript"/>
        </w:rPr>
        <w:t>1</w:t>
      </w:r>
      <w:r>
        <w:t> Stimmberechtigte, die aufgrund eines Gebrechens oder aus anderen Gründen ihr Stimmrecht nicht ausüben können, dürfen sich von einer durch die fragliche Körperschaft bestimmte Amtsperson unterstützen lassen, wozu sie sich bis zum drittletzten Tag vor dem Urnengang bei der die Abstimmung durchführenden Körperschaft melden.</w:t>
      </w:r>
    </w:p>
    <w:p>
      <w:pPr>
        <w:bidi w:val="0"/>
        <w:rPr>
          <w:vertAlign w:val="superscript"/>
        </w:rPr>
      </w:pPr>
      <w:r>
        <w:rPr>
          <w:vertAlign w:val="superscript"/>
        </w:rPr>
        <w:t>2</w:t>
      </w:r>
      <w:r>
        <w:t> Sind sie verbeiständet, dürfen sie sich auch durch den Beistand oder die Beiständin unterstützen lassen.</w:t>
      </w:r>
    </w:p>
    <w:p>
      <w:pPr>
        <w:bidi w:val="0"/>
        <w:rPr>
          <w:rStyle w:val="AenderungTitelText"/>
        </w:rPr>
      </w:pPr>
      <w:r>
        <w:rPr>
          <w:vertAlign w:val="superscript"/>
        </w:rPr>
        <w:t>4</w:t>
      </w:r>
      <w:r>
        <w:t> Die Amtsperson, der Beistand, die Beiständin oder die zugezogene Person darf die Zettel nur soweit und in der Weise ausfüllen, als sie von der stimmberechtigten Person angewiesen ist, hat sich jeglicher Beeinflussung zu enthalten und ist über gemachte Wahrnehmungen zu Verschwiegenheit verpflichtet.</w:t>
      </w:r>
    </w:p>
    <w:p>
      <w:pPr>
        <w:pStyle w:val="Artikel-nderung"/>
        <w:bidi w:val="0"/>
        <w:rPr>
          <w:vertAlign w:val="superscript"/>
        </w:rPr>
      </w:pPr>
      <w:r>
        <w:rPr>
          <w:rStyle w:val="AenderungTitelText"/>
        </w:rPr>
        <w:t>Art.  16a</w:t>
      </w:r>
      <w:r>
        <w:t> </w:t>
      </w:r>
      <w:r>
        <w:rPr>
          <w:rStyle w:val="AenderungTitelText"/>
        </w:rPr>
        <w:t>Abs. 1</w:t>
      </w:r>
      <w:r>
        <w:rPr>
          <w:rStyle w:val="ParagraphAenderungAnmerkung"/>
        </w:rPr>
        <w:t> (geändert)</w:t>
      </w:r>
      <w:r>
        <w:t xml:space="preserve">, </w:t>
      </w:r>
      <w:r>
        <w:rPr>
          <w:rStyle w:val="AenderungTitelText"/>
        </w:rPr>
        <w:t>Abs. 2</w:t>
      </w:r>
      <w:r>
        <w:rPr>
          <w:rStyle w:val="ParagraphAenderungAnmerkung"/>
        </w:rPr>
        <w:t> (geändert)</w:t>
      </w:r>
    </w:p>
    <w:p>
      <w:pPr>
        <w:bidi w:val="0"/>
        <w:rPr>
          <w:vertAlign w:val="superscript"/>
        </w:rPr>
      </w:pPr>
      <w:r>
        <w:rPr>
          <w:vertAlign w:val="superscript"/>
        </w:rPr>
        <w:t>1</w:t>
      </w:r>
      <w:r>
        <w:t> Bei Sachabstimmungen und bei einfachen Wahlen für ein Amt werden Stimmzettel gezählt, bei Mehrfachwahlen auf einem Wahlzettel und bei Sachabstimmungen mit Anschlussfragen die Einzelstimmen.</w:t>
      </w:r>
    </w:p>
    <w:p>
      <w:pPr>
        <w:bidi w:val="0"/>
        <w:rPr>
          <w:rStyle w:val="AenderungTitelText"/>
        </w:rPr>
      </w:pPr>
      <w:r>
        <w:rPr>
          <w:vertAlign w:val="superscript"/>
        </w:rPr>
        <w:t>2</w:t>
      </w:r>
      <w:r>
        <w:t> Für die Ermittlung des Abstimmungsergebnisses fallen die leeren oder ungültigen Stimmzettel ausser Betracht, bei der Auszählung von Einzelstimmen zudem die leeren oder ungültigen Einzelstimmen.</w:t>
      </w:r>
    </w:p>
    <w:p>
      <w:pPr>
        <w:pStyle w:val="Artikel-nderung"/>
        <w:bidi w:val="0"/>
        <w:rPr>
          <w:vertAlign w:val="superscript"/>
        </w:rPr>
      </w:pPr>
      <w:r>
        <w:rPr>
          <w:rStyle w:val="AenderungTitelText"/>
        </w:rPr>
        <w:t>Art.  18</w:t>
      </w:r>
      <w:r>
        <w:t> </w:t>
      </w:r>
      <w:r>
        <w:rPr>
          <w:rStyle w:val="AenderungTitelText"/>
        </w:rPr>
        <w:t>Abs. 1</w:t>
      </w:r>
    </w:p>
    <w:p>
      <w:pPr>
        <w:pStyle w:val="StandardvorAufzhlung"/>
        <w:bidi w:val="0"/>
      </w:pPr>
      <w:r>
        <w:rPr>
          <w:vertAlign w:val="superscript"/>
        </w:rPr>
        <w:t>1</w:t>
      </w:r>
      <w:r>
        <w:t> Stimmzettel sind ungültig, wenn sie</w:t>
      </w:r>
    </w:p>
    <w:p>
      <w:pPr>
        <w:pStyle w:val="Liste1"/>
        <w:bidi w:val="0"/>
      </w:pPr>
      <w:r>
        <w:t>e)</w:t>
        <w:tab/>
      </w:r>
      <w:r>
        <w:rPr>
          <w:rStyle w:val="ListelementAenderungAnmerkung"/>
        </w:rPr>
        <w:t>(geändert)</w:t>
      </w:r>
      <w:r>
        <w:t xml:space="preserve"> bei Wahlen zusammengenommen mehr angekreuzte Kästchen und aufgeschriebene Namen enthalten als Ämter zu besetzen sind.</w:t>
      </w:r>
    </w:p>
    <w:p>
      <w:pPr>
        <w:pStyle w:val="Liste1"/>
        <w:bidi w:val="0"/>
        <w:spacing w:before="0" w:after="113"/>
        <w:ind w:start="567" w:end="0" w:hanging="567"/>
        <w:rPr>
          <w:rStyle w:val="AenderungTitelText"/>
        </w:rPr>
      </w:pPr>
      <w:r>
        <w:t>f)</w:t>
        <w:tab/>
      </w:r>
      <w:r>
        <w:rPr>
          <w:rStyle w:val="ListelementAusserKraftAnmerkung"/>
        </w:rPr>
        <w:t>Aufgehoben.</w:t>
      </w:r>
    </w:p>
    <w:p>
      <w:pPr>
        <w:pStyle w:val="Artikel-nderung"/>
        <w:bidi w:val="0"/>
        <w:rPr>
          <w:b/>
          <w:sz w:val="18"/>
        </w:rPr>
      </w:pPr>
      <w:r>
        <w:rPr>
          <w:rStyle w:val="AenderungTitelText"/>
        </w:rPr>
        <w:t>Titel nach Art. 21</w:t>
      </w:r>
      <w:r>
        <w:rPr>
          <w:rStyle w:val="TitelAenderungAnmerkung"/>
        </w:rPr>
        <w:t> (geändert)</w:t>
      </w:r>
    </w:p>
    <w:p>
      <w:pPr>
        <w:bidi w:val="0"/>
        <w:rPr>
          <w:rStyle w:val="AenderungTitelText"/>
        </w:rPr>
      </w:pPr>
      <w:r>
        <w:rPr>
          <w:b/>
          <w:sz w:val="18"/>
        </w:rPr>
        <w:t>III. Abstimmungen und Wahlen in den Bezirken und Gemeinden</w:t>
      </w:r>
    </w:p>
    <w:p>
      <w:pPr>
        <w:pStyle w:val="Artikel-nderung"/>
        <w:bidi w:val="0"/>
        <w:rPr>
          <w:vertAlign w:val="superscript"/>
        </w:rPr>
      </w:pPr>
      <w:r>
        <w:rPr>
          <w:rStyle w:val="AenderungTitelText"/>
        </w:rPr>
        <w:t>Art.  22</w:t>
      </w:r>
      <w:r>
        <w:t> </w:t>
      </w:r>
      <w:r>
        <w:rPr>
          <w:rStyle w:val="AenderungTitelText"/>
        </w:rPr>
        <w:t>Abs. 1</w:t>
      </w:r>
      <w:r>
        <w:rPr>
          <w:rStyle w:val="ParagraphAenderungAnmerkung"/>
        </w:rPr>
        <w:t> (geändert)</w:t>
      </w:r>
      <w:r>
        <w:t xml:space="preserve">, </w:t>
      </w:r>
      <w:r>
        <w:rPr>
          <w:rStyle w:val="AenderungTitelText"/>
        </w:rPr>
        <w:t>Abs. 2</w:t>
      </w:r>
      <w:r>
        <w:rPr>
          <w:rStyle w:val="ParagraphAenderungAnmerkung"/>
        </w:rPr>
        <w:t> (aufgehoben)</w:t>
      </w:r>
      <w:r>
        <w:t xml:space="preserve">, </w:t>
      </w:r>
      <w:r>
        <w:rPr>
          <w:rStyle w:val="AenderungTitelText"/>
        </w:rPr>
        <w:t>Abs. 3</w:t>
      </w:r>
      <w:r>
        <w:rPr>
          <w:rStyle w:val="ParagraphAenderungAnmerkung"/>
        </w:rPr>
        <w:t> (geändert)</w:t>
      </w:r>
    </w:p>
    <w:p>
      <w:pPr>
        <w:bidi w:val="0"/>
        <w:rPr>
          <w:vertAlign w:val="superscript"/>
        </w:rPr>
      </w:pPr>
      <w:r>
        <w:rPr>
          <w:vertAlign w:val="superscript"/>
        </w:rPr>
        <w:t>1</w:t>
      </w:r>
      <w:r>
        <w:t> Den Bezirken und Gemeinden steht es frei, die Urnenabstimmung für Sachfragen und Wahlen einzuführen.</w:t>
      </w:r>
    </w:p>
    <w:p>
      <w:pPr>
        <w:bidi w:val="0"/>
        <w:rPr>
          <w:vertAlign w:val="superscript"/>
        </w:rPr>
      </w:pPr>
      <w:r>
        <w:rPr>
          <w:vertAlign w:val="superscript"/>
        </w:rPr>
        <w:t>2</w:t>
      </w:r>
      <w:r>
        <w:t> </w:t>
      </w:r>
      <w:r>
        <w:rPr>
          <w:rStyle w:val="ParagraphAusserKraftAnmerkung"/>
        </w:rPr>
        <w:t>Aufgehoben.</w:t>
      </w:r>
    </w:p>
    <w:p>
      <w:pPr>
        <w:bidi w:val="0"/>
        <w:rPr>
          <w:rStyle w:val="AenderungTitelText"/>
        </w:rPr>
      </w:pPr>
      <w:r>
        <w:rPr>
          <w:vertAlign w:val="superscript"/>
        </w:rPr>
        <w:t>3</w:t>
      </w:r>
      <w:r>
        <w:t> Die Gemeindebehörde kann die Durchführung von Urnengängen im Rahmen einer hierfür abzuschliessenden Vereinbarung einem Bezirk übertragen.</w:t>
      </w:r>
    </w:p>
    <w:p>
      <w:pPr>
        <w:pStyle w:val="Artikel-nderung"/>
        <w:bidi w:val="0"/>
        <w:rPr>
          <w:rStyle w:val="ArtikelAenderungTitelaenderung"/>
        </w:rPr>
      </w:pPr>
      <w:r>
        <w:rPr>
          <w:rStyle w:val="AenderungTitelText"/>
        </w:rPr>
        <w:t>Art.  22a</w:t>
      </w:r>
      <w:r>
        <w:t> </w:t>
      </w:r>
      <w:r>
        <w:rPr>
          <w:rStyle w:val="AenderungTitelText"/>
        </w:rPr>
        <w:t>Abs. 2</w:t>
      </w:r>
      <w:r>
        <w:rPr>
          <w:rStyle w:val="ParagraphAenderungAnmerkung"/>
        </w:rPr>
        <w:t> (aufgehoben)</w:t>
      </w:r>
    </w:p>
    <w:p>
      <w:pPr>
        <w:pStyle w:val="Artikeltitel-nderung"/>
        <w:bidi w:val="0"/>
        <w:rPr>
          <w:vertAlign w:val="superscript"/>
        </w:rPr>
      </w:pPr>
      <w:r>
        <w:rPr>
          <w:rStyle w:val="ArtikelAenderungTitelaenderung"/>
        </w:rPr>
        <w:t>Rücktrittsfristen</w:t>
      </w:r>
      <w:r>
        <w:rPr>
          <w:rStyle w:val="ArtikelAenderungAnmerkung"/>
        </w:rPr>
        <w:t> (Überschrift geändert)</w:t>
      </w:r>
    </w:p>
    <w:p>
      <w:pPr>
        <w:bidi w:val="0"/>
        <w:rPr>
          <w:rStyle w:val="AenderungTitelText"/>
        </w:rPr>
      </w:pPr>
      <w:r>
        <w:rPr>
          <w:vertAlign w:val="superscript"/>
        </w:rPr>
        <w:t>2</w:t>
      </w:r>
      <w:r>
        <w:t> </w:t>
      </w:r>
      <w:r>
        <w:rPr>
          <w:rStyle w:val="ParagraphAusserKraftAnmerkung"/>
        </w:rPr>
        <w:t>Aufgehoben.</w:t>
      </w:r>
    </w:p>
    <w:p>
      <w:pPr>
        <w:pStyle w:val="Artikel-nderung"/>
        <w:bidi w:val="0"/>
        <w:rPr>
          <w:vertAlign w:val="superscript"/>
        </w:rPr>
      </w:pPr>
      <w:r>
        <w:rPr>
          <w:rStyle w:val="AenderungTitelText"/>
        </w:rPr>
        <w:t>Art.  22b</w:t>
      </w:r>
      <w:r>
        <w:t> </w:t>
      </w:r>
      <w:r>
        <w:rPr>
          <w:rStyle w:val="AenderungTitelText"/>
        </w:rPr>
        <w:t>Abs. 2</w:t>
      </w:r>
      <w:r>
        <w:rPr>
          <w:rStyle w:val="ParagraphAenderungAnmerkung"/>
        </w:rPr>
        <w:t> (geändert)</w:t>
      </w:r>
    </w:p>
    <w:p>
      <w:pPr>
        <w:bidi w:val="0"/>
        <w:rPr>
          <w:rStyle w:val="AenderungTitelText"/>
        </w:rPr>
      </w:pPr>
      <w:r>
        <w:rPr>
          <w:vertAlign w:val="superscript"/>
        </w:rPr>
        <w:t>2</w:t>
      </w:r>
      <w:r>
        <w:t> Die Bezirks- oder Gemeindebehörde legt die Frist fest, bis zu welcher die Anmeldungen bei der Bezirks- oder Gemeindekanzlei eingegangen sein müssen; die Frist ist zusammen mit der Angabe, für welche Ämter die Wahl gilt, und einer kurzen Darlegung des Anmeldeverfahrens im amtlichen Publikationsorgan zu veröffentlichen.</w:t>
      </w:r>
    </w:p>
    <w:p>
      <w:pPr>
        <w:pStyle w:val="Artikel-nderung"/>
        <w:bidi w:val="0"/>
        <w:rPr>
          <w:vertAlign w:val="superscript"/>
        </w:rPr>
      </w:pPr>
      <w:r>
        <w:rPr>
          <w:rStyle w:val="AenderungTitelText"/>
        </w:rPr>
        <w:t>Art.  23b</w:t>
      </w:r>
      <w:r>
        <w:t> </w:t>
      </w:r>
      <w:r>
        <w:rPr>
          <w:rStyle w:val="AenderungTitelText"/>
        </w:rPr>
        <w:t>Abs. 1</w:t>
      </w:r>
      <w:r>
        <w:rPr>
          <w:rStyle w:val="ParagraphAenderungAnmerkung"/>
        </w:rPr>
        <w:t> (geändert)</w:t>
      </w:r>
    </w:p>
    <w:p>
      <w:pPr>
        <w:bidi w:val="0"/>
        <w:rPr>
          <w:rStyle w:val="AenderungTitelText"/>
        </w:rPr>
      </w:pPr>
      <w:r>
        <w:rPr>
          <w:vertAlign w:val="superscript"/>
        </w:rPr>
        <w:t>1</w:t>
      </w:r>
      <w:r>
        <w:t> Für jede Einzelwahl ist ein separater Wahlzettel zu erstellen. Wahlen für die Besetzung mehrerer gleichwertiger Sitze der gleichen Behörde (Mehrfachwahlen) werden zusammenfassend mit einem Wahlzettel vorgenommen, wenn angemeldete Personen bestehen, ansonsten kann auch bei Mehrfachwahlen für jeden Sitz ein separater Wahlzettel erstellt werden.</w:t>
      </w:r>
    </w:p>
    <w:p>
      <w:pPr>
        <w:pStyle w:val="Artikel-nderung"/>
        <w:bidi w:val="0"/>
        <w:rPr>
          <w:vertAlign w:val="superscript"/>
        </w:rPr>
      </w:pPr>
      <w:r>
        <w:rPr>
          <w:rStyle w:val="AenderungTitelText"/>
        </w:rPr>
        <w:t>Art.  25</w:t>
      </w:r>
      <w:r>
        <w:t> </w:t>
      </w:r>
      <w:r>
        <w:rPr>
          <w:rStyle w:val="AenderungTitelText"/>
        </w:rPr>
        <w:t>Abs. 1</w:t>
      </w:r>
      <w:r>
        <w:rPr>
          <w:rStyle w:val="ParagraphAenderungAnmerkung"/>
        </w:rPr>
        <w:t> (geändert)</w:t>
      </w:r>
      <w:r>
        <w:t xml:space="preserve">, </w:t>
      </w:r>
      <w:r>
        <w:rPr>
          <w:rStyle w:val="AenderungTitelText"/>
        </w:rPr>
        <w:t>Abs. 2</w:t>
      </w:r>
      <w:r>
        <w:rPr>
          <w:rStyle w:val="ParagraphAenderungAnmerkung"/>
        </w:rPr>
        <w:t> (aufgehoben)</w:t>
      </w:r>
      <w:r>
        <w:t xml:space="preserve">, </w:t>
      </w:r>
      <w:r>
        <w:rPr>
          <w:rStyle w:val="AenderungTitelText"/>
        </w:rPr>
        <w:t>Abs. 3</w:t>
      </w:r>
      <w:r>
        <w:rPr>
          <w:rStyle w:val="ParagraphAenderungAnmerkung"/>
        </w:rPr>
        <w:t> (geändert)</w:t>
      </w:r>
      <w:r>
        <w:t xml:space="preserve">, </w:t>
      </w:r>
      <w:r>
        <w:rPr>
          <w:rStyle w:val="AenderungTitelText"/>
        </w:rPr>
        <w:t>Abs. 4</w:t>
      </w:r>
      <w:r>
        <w:rPr>
          <w:rStyle w:val="ParagraphAenderungAnmerkung"/>
        </w:rPr>
        <w:t> (geändert)</w:t>
      </w:r>
    </w:p>
    <w:p>
      <w:pPr>
        <w:bidi w:val="0"/>
        <w:rPr>
          <w:vertAlign w:val="superscript"/>
        </w:rPr>
      </w:pPr>
      <w:r>
        <w:rPr>
          <w:vertAlign w:val="superscript"/>
        </w:rPr>
        <w:t>1</w:t>
      </w:r>
      <w:r>
        <w:t> Enthält ein Bezirks- oder Gemeindereglement für Behörden, Kommissionen und Abordnungen eine mehrjährige Amtsdauer, werden in Zwischenjahren nur allfällige Ersatzwahlen vorgenommen.</w:t>
      </w:r>
    </w:p>
    <w:p>
      <w:pPr>
        <w:bidi w:val="0"/>
        <w:rPr>
          <w:vertAlign w:val="superscript"/>
        </w:rPr>
      </w:pPr>
      <w:r>
        <w:rPr>
          <w:vertAlign w:val="superscript"/>
        </w:rPr>
        <w:t>2</w:t>
      </w:r>
      <w:r>
        <w:t> </w:t>
      </w:r>
      <w:r>
        <w:rPr>
          <w:rStyle w:val="ParagraphAusserKraftAnmerkung"/>
        </w:rPr>
        <w:t>Aufgehoben.</w:t>
      </w:r>
    </w:p>
    <w:p>
      <w:pPr>
        <w:bidi w:val="0"/>
        <w:rPr>
          <w:vertAlign w:val="superscript"/>
        </w:rPr>
      </w:pPr>
      <w:r>
        <w:rPr>
          <w:vertAlign w:val="superscript"/>
        </w:rPr>
        <w:t>3</w:t>
      </w:r>
      <w:r>
        <w:t> Eine gewählte, dem Amtszwang nicht mehr unterstehende Person kann innert dreier Tage die Nichtannahme der Wahl erklären.</w:t>
      </w:r>
    </w:p>
    <w:p>
      <w:pPr>
        <w:bidi w:val="0"/>
        <w:rPr>
          <w:rStyle w:val="AenderungTitelText"/>
        </w:rPr>
      </w:pPr>
      <w:r>
        <w:rPr>
          <w:vertAlign w:val="superscript"/>
        </w:rPr>
        <w:t>4</w:t>
      </w:r>
      <w:r>
        <w:t> Bei Personen, die sich für eine Wahl angemeldet haben oder vor einer Wiederwahl keinen fristgerechten Rücktritt erklärt haben, ist ein allfälliges Nichtannahmerecht verwirkt.</w:t>
      </w:r>
    </w:p>
    <w:p>
      <w:pPr>
        <w:pStyle w:val="Artikel-nderung"/>
        <w:bidi w:val="0"/>
        <w:rPr>
          <w:rStyle w:val="ArtikelAusserKraftAnmerkung"/>
        </w:rPr>
      </w:pPr>
      <w:r>
        <w:rPr>
          <w:rStyle w:val="AenderungTitelText"/>
        </w:rPr>
        <w:t>Art.  26</w:t>
      </w:r>
    </w:p>
    <w:p>
      <w:pPr>
        <w:bidi w:val="0"/>
        <w:rPr>
          <w:rStyle w:val="AenderungTitelText"/>
        </w:rPr>
      </w:pPr>
      <w:r>
        <w:rPr>
          <w:rStyle w:val="ArtikelAusserKraftAnmerkung"/>
        </w:rPr>
        <w:t>Aufgehoben.</w:t>
      </w:r>
    </w:p>
    <w:p>
      <w:pPr>
        <w:pStyle w:val="Artikel-nderung"/>
        <w:bidi w:val="0"/>
        <w:rPr>
          <w:rStyle w:val="ArtikelAusserKraftAnmerkung"/>
        </w:rPr>
      </w:pPr>
      <w:r>
        <w:rPr>
          <w:rStyle w:val="AenderungTitelText"/>
        </w:rPr>
        <w:t>Art.  28</w:t>
      </w:r>
    </w:p>
    <w:p>
      <w:pPr>
        <w:bidi w:val="0"/>
        <w:rPr>
          <w:rStyle w:val="AenderungTitelText"/>
        </w:rPr>
      </w:pPr>
      <w:r>
        <w:rPr>
          <w:rStyle w:val="ArtikelAusserKraftAnmerkung"/>
        </w:rPr>
        <w:t>Aufgehoben.</w:t>
      </w:r>
    </w:p>
    <w:p>
      <w:pPr>
        <w:pStyle w:val="Artikel-nderung"/>
        <w:bidi w:val="0"/>
        <w:rPr>
          <w:vertAlign w:val="superscript"/>
        </w:rPr>
      </w:pPr>
      <w:r>
        <w:rPr>
          <w:rStyle w:val="AenderungTitelText"/>
        </w:rPr>
        <w:t>Art.  29</w:t>
      </w:r>
      <w:r>
        <w:t> </w:t>
      </w:r>
      <w:r>
        <w:rPr>
          <w:rStyle w:val="AenderungTitelText"/>
        </w:rPr>
        <w:t>Abs. 1</w:t>
      </w:r>
      <w:r>
        <w:rPr>
          <w:rStyle w:val="ParagraphAenderungAnmerkung"/>
        </w:rPr>
        <w:t> (aufgehoben)</w:t>
      </w:r>
    </w:p>
    <w:p>
      <w:pPr>
        <w:bidi w:val="0"/>
        <w:rPr>
          <w:rStyle w:val="AenderungTitelText"/>
        </w:rPr>
      </w:pPr>
      <w:r>
        <w:rPr>
          <w:vertAlign w:val="superscript"/>
        </w:rPr>
        <w:t>1</w:t>
      </w:r>
      <w:r>
        <w:t> </w:t>
      </w:r>
      <w:r>
        <w:rPr>
          <w:rStyle w:val="ParagraphAusserKraftAnmerkung"/>
        </w:rPr>
        <w:t>Aufgehoben.</w:t>
      </w:r>
    </w:p>
    <w:p>
      <w:pPr>
        <w:pStyle w:val="Artikel-nderung"/>
        <w:bidi w:val="0"/>
        <w:rPr>
          <w:vertAlign w:val="superscript"/>
        </w:rPr>
      </w:pPr>
      <w:r>
        <w:rPr>
          <w:rStyle w:val="AenderungTitelText"/>
        </w:rPr>
        <w:t>Art.  29a</w:t>
      </w:r>
      <w:r>
        <w:t> </w:t>
      </w:r>
      <w:r>
        <w:rPr>
          <w:rStyle w:val="AenderungTitelText"/>
        </w:rPr>
        <w:t>Abs. 1</w:t>
      </w:r>
      <w:r>
        <w:rPr>
          <w:rStyle w:val="ParagraphAenderungAnmerkung"/>
        </w:rPr>
        <w:t> (aufgehoben)</w:t>
      </w:r>
    </w:p>
    <w:p>
      <w:pPr>
        <w:bidi w:val="0"/>
      </w:pPr>
      <w:r>
        <w:rPr>
          <w:vertAlign w:val="superscript"/>
        </w:rPr>
        <w:t>1</w:t>
      </w:r>
      <w:r>
        <w:t> </w:t>
      </w:r>
      <w:r>
        <w:rPr>
          <w:rStyle w:val="ParagraphAusserKraftAnmerkung"/>
        </w:rPr>
        <w:t>Aufgehoben.</w:t>
      </w:r>
    </w:p>
    <w:p>
      <w:pPr>
        <w:pStyle w:val="Abschnittstitel"/>
        <w:bidi w:val="0"/>
      </w:pPr>
      <w:r>
        <w:t>II.</w:t>
      </w:r>
    </w:p>
    <w:p>
      <w:pPr>
        <w:pStyle w:val="EmptySectionRemark"/>
        <w:bidi w:val="0"/>
      </w:pPr>
      <w:r>
        <w:t>Keine Fremdänderungen.</w:t>
      </w:r>
    </w:p>
    <w:p>
      <w:pPr>
        <w:pStyle w:val="Abschnittstitel"/>
        <w:bidi w:val="0"/>
      </w:pPr>
      <w:r>
        <w:t>III.</w:t>
      </w:r>
    </w:p>
    <w:p>
      <w:pPr>
        <w:pStyle w:val="EmptySectionRemark"/>
        <w:bidi w:val="0"/>
      </w:pPr>
      <w:r>
        <w:t>Keine Fremdaufhebungen.</w:t>
      </w:r>
    </w:p>
    <w:p>
      <w:pPr>
        <w:pStyle w:val="Abschnittstitel"/>
        <w:bidi w:val="0"/>
      </w:pPr>
      <w:r>
        <w:t>IV.</w:t>
      </w:r>
    </w:p>
    <w:p>
      <w:pPr>
        <w:pStyle w:val="InkrafttretensklauselErsterAbsatz"/>
        <w:bidi w:val="0"/>
        <w:spacing w:before="0" w:after="0"/>
        <w:rPr>
          <w:b/>
          <w:sz w:val="24"/>
        </w:rPr>
      </w:pPr>
      <w:r>
        <w:t>Dieser Beschluss tritt am ... in Kraft.</w:t>
      </w:r>
    </w:p>
    <w:sectPr>
      <w:headerReference w:type="even" r:id="rId10"/>
      <w:headerReference w:type="default" r:id="rId11"/>
      <w:footerReference w:type="even" r:id="rId12"/>
      <w:footerReference w:type="default" r:id="rId13"/>
      <w:headerReference w:type="first" r:id="rId14"/>
      <w:footerReference w:type="first" r:id="rId15"/>
      <w:pgSz w:w="8391" w:h="11906"/>
      <w:pgMar w:top="1871" w:right="743" w:bottom="994" w:left="1531" w:header="907" w:footer="711"/>
      <w:pgNumType w:fmt="decimal"/>
      <w:cols w:space="720"/>
      <w:textDirection w:val="tb"/>
      <w:bidi w:val="0"/>
      <w:docGrid w:linePitch="360" w:charSpace="36864"/>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Times New Roman">
    <w:panose1 w:val="00000000000000000000"/>
    <w:charset w:characterSet="iso-8859-1"/>
    <w:family w:val="roman"/>
    <w:pitch w:val="variable"/>
    <w:sig w:usb0="00000000" w:usb1="00000000" w:usb2="00000000" w:usb3="00000000" w:csb0="00000000" w:csb1="00000000"/>
  </w:font>
  <w:font w:name="Symbol">
    <w:panose1 w:val="00000000000000000000"/>
    <w:family w:val="roman"/>
    <w:pitch w:val="variable"/>
    <w:sig w:usb0="00000000" w:usb1="00000000" w:usb2="00000000" w:usb3="00000000" w:csb0="00000000" w:csb1="00000000"/>
  </w:font>
  <w:font w:name="Arial">
    <w:panose1 w:val="00000000000000000000"/>
    <w:family w:val="swiss"/>
    <w:pitch w:val="variable"/>
    <w:sig w:usb0="00000000" w:usb1="00000000" w:usb2="00000000" w:usb3="00000000" w:csb0="00000000" w:csb1="00000000"/>
  </w:font>
  <w:font w:name="Liberation Serif">
    <w:altName w:val="Times New Roman"/>
    <w:panose1 w:val="00000000000000000000"/>
    <w:family w:val="roman"/>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96"/>
      </w:tabs>
      <w:bidi w:val="0"/>
      <w:spacing w:before="0" w:after="6"/>
      <w:ind w:start="-1134" w:end="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0</w:t>
    </w:r>
    <w:r>
      <w:rPr>
        <w:color w:val="auto"/>
        <w:position w:val="0"/>
        <w:sz w:val="18"/>
        <w:vertAlign w:val="baseline"/>
        <w:lang w:val="de-CH"/>
      </w:rPr>
      <w:fldChar w:fldCharType="end"/>
    </w:r>
  </w:p>
  <w:p>
    <w:pPr>
      <w:pStyle w:val="Footer"/>
      <w:bidi w:val="0"/>
      <w:jc w:val="star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0</w:t>
    </w:r>
    <w:r>
      <w:rPr>
        <w:color w:val="auto"/>
        <w:position w:val="0"/>
        <w:sz w:val="18"/>
        <w:vertAlign w:val="baseline"/>
        <w:lang w:val="de-CH"/>
      </w:rPr>
      <w:fldChar w:fldCharType="end"/>
    </w:r>
  </w:p>
  <w:p>
    <w:pPr>
      <w:pStyle w:val="Footer"/>
      <w:bidi w:val="0"/>
      <w:jc w:val="star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1</w:t>
    </w:r>
    <w:r>
      <w:rPr>
        <w:color w:val="auto"/>
        <w:position w:val="0"/>
        <w:sz w:val="18"/>
        <w:vertAlign w:val="baseline"/>
        <w:lang w:val="de-CH"/>
      </w:rPr>
      <w:fldChar w:fldCharType="end"/>
    </w:r>
  </w:p>
  <w:p>
    <w:pPr>
      <w:pStyle w:val="Footer"/>
      <w:bidi w:val="0"/>
      <w:jc w:val="star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96"/>
      </w:tabs>
      <w:bidi w:val="0"/>
      <w:spacing w:before="0" w:after="6"/>
      <w:ind w:start="-1134" w:end="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4</w:t>
    </w:r>
    <w:r>
      <w:rPr>
        <w:color w:val="auto"/>
        <w:position w:val="0"/>
        <w:sz w:val="18"/>
        <w:vertAlign w:val="baseline"/>
        <w:lang w:val="de-CH"/>
      </w:rPr>
      <w:fldChar w:fldCharType="end"/>
    </w:r>
  </w:p>
  <w:p>
    <w:pPr>
      <w:pStyle w:val="Footer"/>
      <w:bidi w:val="0"/>
      <w:jc w:val="star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5</w:t>
    </w:r>
    <w:r>
      <w:rPr>
        <w:color w:val="auto"/>
        <w:position w:val="0"/>
        <w:sz w:val="18"/>
        <w:vertAlign w:val="baseline"/>
        <w:lang w:val="de-CH"/>
      </w:rPr>
      <w:fldChar w:fldCharType="end"/>
    </w:r>
  </w:p>
  <w:p>
    <w:pPr>
      <w:pStyle w:val="Footer"/>
      <w:bidi w:val="0"/>
      <w:jc w:val="star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9"/>
      </w:tabs>
      <w:bidi w:val="0"/>
      <w:spacing w:before="352" w:after="165" w:line="240" w:lineRule="exact"/>
      <w:ind w:start="6" w:end="0" w:firstLine="0"/>
      <w:jc w:val="start"/>
    </w:pPr>
    <w:r>
      <w:rPr>
        <w:b/>
        <w:sz w:val="24"/>
      </w:rPr>
      <w:t>E 160.010 - 2025</w:t>
    </w:r>
    <w:r>
      <w:tab/>
    </w:r>
    <w:r>
      <w:rPr>
        <w:b/>
        <w:sz w:val="18"/>
      </w:rPr>
      <w:t>Kanton Appenzell Innerrhoden</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28" w:end="-28" w:firstLine="0"/>
      <w:jc w:val="star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line="240" w:lineRule="exact"/>
      <w:ind w:start="0" w:end="11" w:firstLine="0"/>
      <w:jc w:val="start"/>
    </w:pPr>
    <w:r>
      <w:rPr>
        <w:b/>
        <w:sz w:val="18"/>
      </w:rPr>
      <w:t>Kanton Appenzell Innerrhoden</w:t>
    </w:r>
    <w:r>
      <w:tab/>
    </w:r>
    <w:r>
      <w:rPr>
        <w:b/>
        <w:sz w:val="24"/>
      </w:rPr>
      <w:t>E 160.010 - 2025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ind w:start="0" w:end="11" w:firstLine="850"/>
      <w:jc w:val="start"/>
    </w:pPr>
    <w:r>
      <w:drawing>
        <wp:anchor distT="0" distB="0" distL="17780" distR="114935" simplePos="0" relativeHeight="251658240" behindDoc="1" locked="0" layoutInCell="0" allowOverlap="1">
          <wp:simplePos x="0" y="0"/>
          <wp:positionH relativeFrom="column">
            <wp:align>left</wp:align>
          </wp:positionH>
          <wp:positionV relativeFrom="paragraph">
            <wp:posOffset>5080</wp:posOffset>
          </wp:positionV>
          <wp:extent cx="398145" cy="441960"/>
          <wp:effectExtent l="0" t="0" r="0" b="0"/>
          <wp:wrapNone/>
          <wp:docPr id="2049" name="Image 20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9" name="Image 2049"/>
                  <pic:cNvPicPr>
                    <a:picLocks noChangeAspect="1" noChangeArrowheads="1"/>
                  </pic:cNvPicPr>
                </pic:nvPicPr>
                <pic:blipFill>
                  <a:blip xmlns:r="http://purl.oclc.org/ooxml/officeDocument/relationships" r:embed="rId1">
                    <a:extLst>
                      <a:ext xmlns:a="http://purl.oclc.org/ooxml/drawingml/main" uri="{28A0092B-C50C-407E-A947-70E740481C1C}">
                        <a14:useLocalDpi xmlns:a14="http://schemas.microsoft.com/office/drawing/2010/main" val="0"/>
                      </a:ext>
                    </a:extLst>
                  </a:blip>
                  <a:stretch>
                    <a:fillRect/>
                  </a:stretch>
                </pic:blipFill>
                <pic:spPr>
                  <a:xfrm>
                    <a:off x="0" y="0"/>
                    <a:ext cx="398145" cy="441960"/>
                  </a:xfrm>
                  <a:prstGeom prst="rect">
                    <a:avLst/>
                  </a:prstGeom>
                  <a:solidFill>
                    <a:srgbClr val="FFFFFF">
                      <a:alpha val="0%"/>
                    </a:srgbClr>
                  </a:solidFill>
                  <a:ln>
                    <a:noFill/>
                  </a:ln>
                </pic:spPr>
              </pic:pic>
            </a:graphicData>
          </a:graphic>
        </wp:anchor>
      </w:drawing>
    </w:r>
    <w:r>
      <w:rPr>
        <w:b/>
        <w:sz w:val="18"/>
      </w:rPr>
      <w:t>Kanton Appenzell Innerrhoden</w:t>
    </w:r>
    <w:r>
      <w:t xml:space="preserve">  </w:t>
      <w:tab/>
    </w:r>
    <w:r>
      <w:rPr>
        <w:b/>
        <w:sz w:val="24"/>
      </w:rPr>
      <w:t>E 160.010 - 2025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9"/>
      </w:tabs>
      <w:bidi w:val="0"/>
      <w:spacing w:before="352" w:after="165" w:line="240" w:lineRule="exact"/>
      <w:ind w:start="6" w:end="0" w:firstLine="0"/>
      <w:jc w:val="start"/>
    </w:pPr>
    <w:r>
      <w:rPr>
        <w:b/>
        <w:sz w:val="24"/>
      </w:rPr>
      <w:t>E 160.010 - 2025</w:t>
    </w:r>
    <w:r>
      <w:tab/>
    </w:r>
    <w:r>
      <w:rPr>
        <w:b/>
        <w:sz w:val="18"/>
      </w:rPr>
      <w:t>Kanton Appenzell Innerrhoden</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28" w:end="-28" w:firstLine="0"/>
      <w:jc w:val="star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line="240" w:lineRule="exact"/>
      <w:ind w:start="0" w:end="11" w:firstLine="0"/>
      <w:jc w:val="start"/>
    </w:pPr>
    <w:r>
      <w:rPr>
        <w:b/>
        <w:sz w:val="18"/>
      </w:rPr>
      <w:t>Kanton Appenzell Innerrhoden</w:t>
    </w:r>
    <w:r>
      <w:tab/>
    </w:r>
    <w:r>
      <w:rPr>
        <w:b/>
        <w:sz w:val="24"/>
      </w:rPr>
      <w:t>E 160.010 - 2025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pPr>
  </w:p>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100%"/>
  <w:embedSystemFonts/>
  <w:mirrorMargins/>
  <w:stylePaneFormatFilter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isibleStyles="0"/>
  <w:revisionView w:comments="1" w:formatting="0" w:inkAnnotations="1" w:insDel="0" w:markup="1"/>
  <w:defaultTabStop w:val="709"/>
  <w:defaultTableStyle w:val="Normal"/>
  <w:autoHyphenation/>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EmbedSmartTags/>
  <w:footnotePr>
    <w:pos w:val="beneathText"/>
  </w:foot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keepLines/>
      <w:widowControl w:val="0"/>
      <w:suppressAutoHyphens w:val="0"/>
      <w:kinsoku/>
      <w:overflowPunct/>
      <w:autoSpaceDE/>
      <w:bidi w:val="0"/>
      <w:spacing w:before="0" w:after="113"/>
      <w:jc w:val="both"/>
    </w:pPr>
    <w:rPr>
      <w:rFonts w:ascii="Arial" w:hAnsi="Arial"/>
      <w:color w:val="auto"/>
      <w:sz w:val="18"/>
      <w:lang w:val="de-CH" w:eastAsia="zh-CN" w:bidi="hi-IN"/>
    </w:rPr>
  </w:style>
  <w:style w:type="character" w:default="1" w:styleId="DefaultParagraphFont">
    <w:name w:val="Default Paragraph Font"/>
    <w:semiHidden/>
  </w:style>
  <w:style w:type="character" w:customStyle="1" w:styleId="Absatz-Standardschriftart">
    <w:name w:val="Absatz-Standardschriftart"/>
  </w:style>
  <w:style w:type="character" w:customStyle="1" w:styleId="ZusammenfassungHauptnderung">
    <w:name w:val="Zusammenfassung Hauptänderung"/>
    <w:rPr>
      <w:b/>
    </w:rPr>
  </w:style>
  <w:style w:type="character" w:customStyle="1" w:styleId="Zusammenfassungnderung">
    <w:name w:val="Zusammenfassung Änderung"/>
  </w:style>
  <w:style w:type="character" w:styleId="FootnoteReference">
    <w:name w:val="footnote reference"/>
    <w:rPr>
      <w:b w:val="0"/>
      <w:shd w:val="clear" w:color="auto" w:fill="auto"/>
      <w:vertAlign w:val="superscript"/>
    </w:rPr>
  </w:style>
  <w:style w:type="character" w:customStyle="1" w:styleId="FootnoteCharacters">
    <w:name w:val="Footnote Characters"/>
    <w:rPr>
      <w:rFonts w:ascii="Arial" w:hAnsi="Arial"/>
      <w:vertAlign w:val="superscript"/>
    </w:rPr>
  </w:style>
  <w:style w:type="character" w:customStyle="1" w:styleId="IngressAenderungElement">
    <w:name w:val="Ingress_Aenderung_Element"/>
    <w:rPr>
      <w:b/>
    </w:rPr>
  </w:style>
  <w:style w:type="character" w:customStyle="1" w:styleId="IngressAenderungAktion">
    <w:name w:val="Ingress_Aenderung_Aktion"/>
    <w:rPr>
      <w:b/>
    </w:rPr>
  </w:style>
  <w:style w:type="character" w:customStyle="1" w:styleId="AenderungTitelText">
    <w:name w:val="Aenderung_Titel_Text"/>
    <w:rPr>
      <w:b/>
    </w:rPr>
  </w:style>
  <w:style w:type="character" w:customStyle="1" w:styleId="ArtikelAenderungTitelaenderung">
    <w:name w:val="Artikel_Aenderung_Titel_aenderung"/>
    <w:rPr>
      <w:b w:val="0"/>
    </w:rPr>
  </w:style>
  <w:style w:type="character" w:customStyle="1" w:styleId="TitelAenderungAnmerkung">
    <w:name w:val="Titel_Aenderung_Anmerkung"/>
    <w:rPr>
      <w:b w:val="0"/>
      <w:sz w:val="14"/>
    </w:rPr>
  </w:style>
  <w:style w:type="character" w:customStyle="1" w:styleId="ArtikelAenderungAnmerkung">
    <w:name w:val="Artikel_Aenderung_Anmerkung"/>
    <w:rPr>
      <w:b w:val="0"/>
      <w:sz w:val="14"/>
    </w:rPr>
  </w:style>
  <w:style w:type="character" w:customStyle="1" w:styleId="ParagraphAenderungAnmerkung">
    <w:name w:val="Paragraph_Aenderung_Anmerkung"/>
    <w:rPr>
      <w:b w:val="0"/>
      <w:sz w:val="14"/>
    </w:rPr>
  </w:style>
  <w:style w:type="character" w:customStyle="1" w:styleId="AbbildungAnmerkung">
    <w:name w:val="Abbildung_Anmerkung"/>
    <w:rPr>
      <w:i/>
    </w:rPr>
  </w:style>
  <w:style w:type="character" w:customStyle="1" w:styleId="ListelementAenderungAnmerkung">
    <w:name w:val="Listelement_Aenderung_Anmerkung"/>
    <w:rPr>
      <w:b w:val="0"/>
      <w:sz w:val="14"/>
    </w:rPr>
  </w:style>
  <w:style w:type="character" w:customStyle="1" w:styleId="TabelleAenderungAnmerkung">
    <w:name w:val="Tabelle_Aenderung_Anmerkung"/>
    <w:rPr>
      <w:i/>
    </w:rPr>
  </w:style>
  <w:style w:type="character" w:customStyle="1" w:styleId="AnnexAenderungAnmerkung">
    <w:name w:val="Annex_Aenderung_Anmerkung"/>
    <w:rPr>
      <w:b w:val="0"/>
      <w:sz w:val="14"/>
    </w:rPr>
  </w:style>
  <w:style w:type="character" w:customStyle="1" w:styleId="ItalicAnmerkung">
    <w:name w:val="Italic_Anmerkung"/>
    <w:rPr>
      <w:i/>
    </w:rPr>
  </w:style>
  <w:style w:type="character" w:customStyle="1" w:styleId="TitelLoeschungAnmerkung">
    <w:name w:val="Titel_Loeschung_Anmerkung"/>
    <w:basedOn w:val="ItalicAnmerkung"/>
  </w:style>
  <w:style w:type="character" w:customStyle="1" w:styleId="TitelAusserKraftAnmerkung">
    <w:name w:val="Titel_Ausser_Kraft_Anmerkung"/>
    <w:basedOn w:val="ItalicAnmerkung"/>
  </w:style>
  <w:style w:type="character" w:customStyle="1" w:styleId="TitelWiederInKraftAnmerkung">
    <w:name w:val="Titel_Wieder_In_Kraft_Anmerkung"/>
    <w:basedOn w:val="ItalicAnmerkung"/>
  </w:style>
  <w:style w:type="character" w:customStyle="1" w:styleId="ArtikelLoeschungAnmerkung">
    <w:name w:val="Artikel_Loeschung_Anmerkung"/>
    <w:basedOn w:val="ItalicAnmerkung"/>
  </w:style>
  <w:style w:type="character" w:customStyle="1" w:styleId="ArtikelAusserKraftAnmerkung">
    <w:name w:val="Artikel_Ausser_Kraft_Anmerkung"/>
    <w:basedOn w:val="ItalicAnmerkung"/>
  </w:style>
  <w:style w:type="character" w:customStyle="1" w:styleId="ArtikelWiederInKraftAnmerkung">
    <w:name w:val="Artikel_Wieder_In_Kraft_Anmerkung"/>
    <w:basedOn w:val="ArtikelAenderungAnmerkung"/>
  </w:style>
  <w:style w:type="character" w:customStyle="1" w:styleId="ParagraphLoeschungAnmerkung">
    <w:name w:val="Paragraph_Loeschung_Anmerkung"/>
    <w:basedOn w:val="ItalicAnmerkung"/>
  </w:style>
  <w:style w:type="character" w:customStyle="1" w:styleId="ParagraphAusserKraftAnmerkung">
    <w:name w:val="Paragraph_Ausser_Kraft_Anmerkung"/>
    <w:basedOn w:val="ItalicAnmerkung"/>
  </w:style>
  <w:style w:type="character" w:customStyle="1" w:styleId="ParagraphWiederInKraftAnmerkung">
    <w:name w:val="Paragraph_Wieder_In_Kraft_Anmerkung"/>
    <w:basedOn w:val="ItalicAnmerkung"/>
  </w:style>
  <w:style w:type="character" w:customStyle="1" w:styleId="ListelementLoeschungAnmerkung">
    <w:name w:val="Listelement_Loeschung_Anmerkung"/>
    <w:basedOn w:val="ItalicAnmerkung"/>
  </w:style>
  <w:style w:type="character" w:customStyle="1" w:styleId="ListelementUnveraendertAnmerkung">
    <w:name w:val="Listelement_Unveraendert_Anmerkung"/>
    <w:basedOn w:val="ItalicAnmerkung"/>
  </w:style>
  <w:style w:type="character" w:customStyle="1" w:styleId="ListelementAusserKraftAnmerkung">
    <w:name w:val="Listelement_Ausser_Kraft_Anmerkung"/>
    <w:basedOn w:val="ItalicAnmerkung"/>
  </w:style>
  <w:style w:type="character" w:customStyle="1" w:styleId="ListelementWiederInKraftAnmerkung">
    <w:name w:val="Listelement_Wieder_In_Kraft_Anmerkung"/>
    <w:basedOn w:val="ItalicAnmerkung"/>
  </w:style>
  <w:style w:type="character" w:customStyle="1" w:styleId="AnnexLoeschungAnmerkung">
    <w:name w:val="Annex_Loeschung_Anmerkung"/>
    <w:basedOn w:val="ItalicAnmerkung"/>
  </w:style>
  <w:style w:type="character" w:customStyle="1" w:styleId="AnnexAusserKraftAnmerkung">
    <w:name w:val="Annex_Ausser_Kraft_Anmerkung"/>
    <w:basedOn w:val="ItalicAnmerkung"/>
  </w:style>
  <w:style w:type="character" w:customStyle="1" w:styleId="AnnexWiederInKraftAnmerkung">
    <w:name w:val="Annex_Wieder_In_Kraft_Anmerkung"/>
    <w:basedOn w:val="ItalicAnmerkung"/>
  </w:style>
  <w:style w:type="character" w:customStyle="1" w:styleId="TabelleLoeschungAnmerkung">
    <w:name w:val="Tabelle_Loeschung_Anmerkung"/>
    <w:basedOn w:val="ItalicAnmerkung"/>
  </w:style>
  <w:style w:type="character" w:customStyle="1" w:styleId="TabelleUnveraendertAnmerkung">
    <w:name w:val="Tabelle_Unveraendert_Anmerkung"/>
    <w:basedOn w:val="ItalicAnmerkung"/>
  </w:style>
  <w:style w:type="character" w:customStyle="1" w:styleId="TabelleAusserKraftAnmerkung">
    <w:name w:val="Tabelle_Ausser_Kraft_Anmerkung"/>
    <w:basedOn w:val="ItalicAnmerkung"/>
  </w:style>
  <w:style w:type="character" w:customStyle="1" w:styleId="TabelleWiederInKraftAnmerkung">
    <w:name w:val="Tabelle_Wieder_In_Kraft_Anmerkung"/>
    <w:basedOn w:val="ItalicAnmerkung"/>
  </w:style>
  <w:style w:type="paragraph" w:customStyle="1" w:styleId="StandardvorAufzhlung">
    <w:name w:val="Standard vor Aufzählung"/>
    <w:basedOn w:val="Normal"/>
    <w:pPr>
      <w:keepNext/>
      <w:spacing w:before="0" w:after="80"/>
    </w:pPr>
  </w:style>
  <w:style w:type="paragraph" w:customStyle="1" w:styleId="StandardvorTabelle">
    <w:name w:val="Standard vor Tabelle"/>
    <w:basedOn w:val="Normal"/>
    <w:pPr>
      <w:spacing w:before="0" w:after="80"/>
    </w:pPr>
  </w:style>
  <w:style w:type="paragraph" w:customStyle="1" w:styleId="StandardvorBild">
    <w:name w:val="Standard vor Bild"/>
    <w:basedOn w:val="Normal"/>
    <w:pPr>
      <w:keepNext/>
      <w:spacing w:before="0" w:after="80"/>
    </w:pPr>
  </w:style>
  <w:style w:type="paragraph" w:customStyle="1" w:styleId="StandardBild">
    <w:name w:val="Standard Bild"/>
    <w:basedOn w:val="Normal"/>
    <w:pPr>
      <w:spacing w:line="240" w:lineRule="auto"/>
      <w:jc w:val="center"/>
    </w:pPr>
  </w:style>
  <w:style w:type="paragraph" w:customStyle="1" w:styleId="HeaderandFooter">
    <w:name w:val="Header and Footer"/>
    <w:basedOn w:val="Normal"/>
    <w:pPr>
      <w:suppressLineNumbers/>
      <w:tabs>
        <w:tab w:val="center" w:pos="4986"/>
        <w:tab w:val="end" w:pos="9972"/>
      </w:tabs>
    </w:pPr>
  </w:style>
  <w:style w:type="paragraph" w:styleId="Header">
    <w:name w:val="header"/>
    <w:pPr>
      <w:widowControl w:val="0"/>
      <w:suppressAutoHyphens/>
      <w:kinsoku/>
      <w:overflowPunct/>
      <w:autoSpaceDE/>
      <w:bidi w:val="0"/>
    </w:pPr>
    <w:rPr>
      <w:rFonts w:ascii="Arial" w:hAnsi="Arial"/>
      <w:color w:val="auto"/>
      <w:sz w:val="18"/>
      <w:lang w:val="de-CH" w:eastAsia="zh-CN" w:bidi="hi-IN"/>
    </w:rPr>
  </w:style>
  <w:style w:type="paragraph" w:styleId="Footer">
    <w:name w:val="footer"/>
    <w:basedOn w:val="Header"/>
  </w:style>
  <w:style w:type="paragraph" w:customStyle="1" w:styleId="Erlasstitel">
    <w:name w:val="Erlasstitel"/>
    <w:basedOn w:val="Normal"/>
    <w:next w:val="Datum"/>
    <w:pPr>
      <w:keepNext/>
      <w:keepLines/>
      <w:suppressAutoHyphens/>
      <w:spacing w:before="57" w:after="286"/>
      <w:jc w:val="start"/>
    </w:pPr>
    <w:rPr>
      <w:b/>
      <w:sz w:val="28"/>
    </w:rPr>
  </w:style>
  <w:style w:type="paragraph" w:customStyle="1" w:styleId="TitelArbeitsversion">
    <w:name w:val="Titel Arbeitsversion"/>
    <w:basedOn w:val="Erlasstitel"/>
    <w:next w:val="Datum"/>
    <w:pPr>
      <w:keepNext w:val="0"/>
      <w:keepLines w:val="0"/>
      <w:suppressAutoHyphens/>
      <w:spacing w:before="57" w:after="0"/>
      <w:jc w:val="start"/>
    </w:pPr>
    <w:rPr>
      <w:b/>
      <w:sz w:val="22"/>
    </w:rPr>
  </w:style>
  <w:style w:type="paragraph" w:customStyle="1" w:styleId="ZusammenfassungEinleitung">
    <w:name w:val="Zusammenfassung Einleitung"/>
    <w:basedOn w:val="Normal"/>
    <w:pPr>
      <w:keepNext/>
      <w:keepLines/>
      <w:spacing w:before="85" w:after="85"/>
      <w:ind w:start="0" w:end="0" w:firstLine="0"/>
      <w:jc w:val="start"/>
    </w:pPr>
  </w:style>
  <w:style w:type="paragraph" w:customStyle="1" w:styleId="ZusammenfassungneueErlasse">
    <w:name w:val="Zusammenfassung neue Erlasse"/>
    <w:basedOn w:val="Normal"/>
    <w:pPr>
      <w:keepNext/>
      <w:keepLines/>
      <w:tabs>
        <w:tab w:val="start" w:pos="2518"/>
      </w:tabs>
      <w:spacing w:before="0" w:after="0" w:line="232" w:lineRule="exact"/>
      <w:ind w:start="1259" w:end="0" w:hanging="1259"/>
      <w:jc w:val="start"/>
    </w:pPr>
  </w:style>
  <w:style w:type="paragraph" w:customStyle="1" w:styleId="ZusammenfassunggenderteErlasse">
    <w:name w:val="Zusammenfassung geänderte Erlasse"/>
    <w:basedOn w:val="ZusammenfassungneueErlasse"/>
  </w:style>
  <w:style w:type="paragraph" w:customStyle="1" w:styleId="ZusammenfassungaufgehobeneErlasse">
    <w:name w:val="Zusammenfassung aufgehobene Erlasse"/>
    <w:basedOn w:val="Datum"/>
    <w:pPr>
      <w:keepNext/>
      <w:keepLines/>
      <w:tabs>
        <w:tab w:val="start" w:pos="2518"/>
      </w:tabs>
      <w:ind w:start="1259" w:end="0" w:hanging="1259"/>
      <w:jc w:val="start"/>
    </w:pPr>
  </w:style>
  <w:style w:type="paragraph" w:customStyle="1" w:styleId="Datum">
    <w:name w:val="Datum"/>
    <w:basedOn w:val="Normal"/>
    <w:next w:val="Autor"/>
    <w:pPr>
      <w:keepNext/>
      <w:keepLines/>
      <w:pBdr>
        <w:top w:val="none" w:sz="0" w:space="0" w:color="000000"/>
        <w:left w:val="none" w:sz="0" w:space="0" w:color="000000"/>
        <w:bottom w:val="single" w:sz="4" w:space="4" w:color="000000"/>
        <w:right w:val="none" w:sz="0" w:space="0" w:color="000000"/>
      </w:pBdr>
      <w:spacing w:before="0" w:after="0"/>
      <w:ind w:start="0" w:end="0" w:firstLine="0"/>
      <w:jc w:val="start"/>
    </w:pPr>
    <w:rPr>
      <w:position w:val="2"/>
    </w:rPr>
  </w:style>
  <w:style w:type="paragraph" w:customStyle="1" w:styleId="Autor">
    <w:name w:val="Autor"/>
    <w:basedOn w:val="Normal"/>
    <w:next w:val="Grundlage"/>
    <w:pPr>
      <w:keepNext/>
      <w:keepLines/>
      <w:spacing w:before="278" w:after="113"/>
    </w:pPr>
    <w:rPr>
      <w:i/>
    </w:rPr>
  </w:style>
  <w:style w:type="paragraph" w:customStyle="1" w:styleId="Grundlage">
    <w:name w:val="Grundlage"/>
    <w:basedOn w:val="Normal"/>
    <w:next w:val="Aktion"/>
    <w:pPr>
      <w:spacing w:before="119" w:after="113"/>
    </w:pPr>
  </w:style>
  <w:style w:type="paragraph" w:customStyle="1" w:styleId="Aktion">
    <w:name w:val="Aktion"/>
    <w:basedOn w:val="Autor"/>
    <w:next w:val="Normal"/>
    <w:pPr>
      <w:spacing w:before="113" w:after="113"/>
    </w:pPr>
  </w:style>
  <w:style w:type="paragraph" w:customStyle="1" w:styleId="Schluss">
    <w:name w:val="Schluss"/>
    <w:basedOn w:val="Normal"/>
    <w:pPr>
      <w:tabs>
        <w:tab w:val="start" w:pos="6124"/>
      </w:tabs>
      <w:spacing w:before="621" w:after="0"/>
      <w:ind w:start="3062" w:end="0" w:hanging="3062"/>
      <w:jc w:val="start"/>
    </w:pPr>
  </w:style>
  <w:style w:type="paragraph" w:customStyle="1" w:styleId="TitelnderungstabelleDatum">
    <w:name w:val="Titel Änderungstabelle (Datum)"/>
    <w:basedOn w:val="Normal"/>
    <w:next w:val="Artikel"/>
    <w:pPr>
      <w:keepLines/>
      <w:pageBreakBefore/>
      <w:suppressAutoHyphens/>
      <w:spacing w:before="363" w:after="170"/>
      <w:jc w:val="start"/>
    </w:pPr>
    <w:rPr>
      <w:b/>
      <w:sz w:val="18"/>
    </w:rPr>
  </w:style>
  <w:style w:type="paragraph" w:customStyle="1" w:styleId="TitelnderungstabelleElement">
    <w:name w:val="Titel Änderungstabelle (Element)"/>
    <w:basedOn w:val="TitelnderungstabelleDatum"/>
    <w:next w:val="Artikel"/>
  </w:style>
  <w:style w:type="paragraph" w:customStyle="1" w:styleId="TitelAnnex">
    <w:name w:val="Titel Annex"/>
    <w:basedOn w:val="Normal"/>
    <w:pPr>
      <w:keepNext/>
      <w:keepLines/>
      <w:spacing w:before="363" w:after="170"/>
    </w:pPr>
    <w:rPr>
      <w:b/>
      <w:sz w:val="18"/>
    </w:rPr>
  </w:style>
  <w:style w:type="paragraph" w:customStyle="1" w:styleId="Nebenzitat">
    <w:name w:val="Nebenzitat"/>
    <w:basedOn w:val="Normal"/>
  </w:style>
  <w:style w:type="paragraph" w:customStyle="1" w:styleId="Abschnittstitel">
    <w:name w:val="Abschnittstitel"/>
    <w:basedOn w:val="Normal"/>
    <w:pPr>
      <w:keepNext/>
      <w:keepLines/>
      <w:tabs>
        <w:tab w:val="end" w:pos="6123"/>
      </w:tabs>
      <w:suppressAutoHyphens/>
      <w:spacing w:before="363" w:after="113"/>
      <w:jc w:val="start"/>
    </w:pPr>
    <w:rPr>
      <w:b/>
      <w:sz w:val="20"/>
    </w:rPr>
  </w:style>
  <w:style w:type="paragraph" w:customStyle="1" w:styleId="EmptySectionRemark">
    <w:name w:val="Empty_Section_Remark"/>
    <w:basedOn w:val="Normal"/>
    <w:rPr>
      <w:i/>
    </w:rPr>
  </w:style>
  <w:style w:type="paragraph" w:customStyle="1" w:styleId="InkrafttretensklauselErsterAbsatz">
    <w:name w:val="Inkrafttretensklausel_Erster_Absatz"/>
    <w:basedOn w:val="Normal"/>
  </w:style>
  <w:style w:type="paragraph" w:customStyle="1" w:styleId="Inkrafttretensklausel">
    <w:name w:val="Inkrafttretensklausel"/>
    <w:basedOn w:val="Normal"/>
  </w:style>
  <w:style w:type="paragraph" w:customStyle="1" w:styleId="TitelStufe1">
    <w:name w:val="Titel Stufe 1"/>
    <w:basedOn w:val="Normal"/>
    <w:next w:val="Artikel"/>
    <w:pPr>
      <w:keepNext/>
      <w:keepLines/>
      <w:numPr>
        <w:ilvl w:val="0"/>
        <w:numId w:val="0"/>
      </w:numPr>
      <w:tabs>
        <w:tab w:val="end" w:pos="6123"/>
      </w:tabs>
      <w:suppressAutoHyphens/>
      <w:spacing w:before="363" w:after="113"/>
      <w:jc w:val="start"/>
    </w:pPr>
    <w:rPr>
      <w:b/>
      <w:sz w:val="20"/>
    </w:rPr>
  </w:style>
  <w:style w:type="paragraph" w:customStyle="1" w:styleId="TitelStufe2">
    <w:name w:val="Titel Stufe 2"/>
    <w:basedOn w:val="TitelStufe1"/>
    <w:next w:val="Artikel"/>
    <w:pPr>
      <w:spacing w:before="238" w:after="113"/>
    </w:pPr>
    <w:rPr>
      <w:b/>
      <w:sz w:val="18"/>
    </w:rPr>
  </w:style>
  <w:style w:type="paragraph" w:customStyle="1" w:styleId="TitelStufe3">
    <w:name w:val="Titel Stufe 3"/>
    <w:basedOn w:val="TitelStufe2"/>
    <w:next w:val="Artikel"/>
    <w:pPr>
      <w:spacing w:before="238" w:after="113"/>
    </w:pPr>
    <w:rPr>
      <w:b/>
      <w:sz w:val="18"/>
    </w:rPr>
  </w:style>
  <w:style w:type="paragraph" w:customStyle="1" w:styleId="TitelStufe4">
    <w:name w:val="Titel Stufe 4"/>
    <w:basedOn w:val="TitelStufe2"/>
    <w:next w:val="Artikel"/>
    <w:rPr>
      <w:sz w:val="18"/>
    </w:rPr>
  </w:style>
  <w:style w:type="paragraph" w:customStyle="1" w:styleId="TitelStufe5">
    <w:name w:val="Titel Stufe 5"/>
    <w:basedOn w:val="TitelStufe2"/>
    <w:next w:val="Artikel"/>
    <w:rPr>
      <w:sz w:val="18"/>
    </w:rPr>
  </w:style>
  <w:style w:type="paragraph" w:customStyle="1" w:styleId="TitelStufe1nachTitel">
    <w:name w:val="Titel Stufe 1 nach Titel"/>
    <w:basedOn w:val="TitelStufe1"/>
    <w:next w:val="Artikel"/>
  </w:style>
  <w:style w:type="paragraph" w:customStyle="1" w:styleId="TitelStufe2nachTitel">
    <w:name w:val="Titel Stufe 2 nach Titel"/>
    <w:basedOn w:val="TitelStufe2"/>
    <w:next w:val="Artikel"/>
  </w:style>
  <w:style w:type="paragraph" w:customStyle="1" w:styleId="TitelStufe3nachTitel">
    <w:name w:val="Titel Stufe 3 nach Titel"/>
    <w:basedOn w:val="TitelStufe3"/>
    <w:next w:val="Artikel"/>
  </w:style>
  <w:style w:type="paragraph" w:customStyle="1" w:styleId="TitelStufe4nachTitel">
    <w:name w:val="Titel Stufe 4 nach Titel"/>
    <w:basedOn w:val="TitelStufe4"/>
    <w:next w:val="Artikel"/>
  </w:style>
  <w:style w:type="paragraph" w:customStyle="1" w:styleId="TitelStufe5nachTitel">
    <w:name w:val="Titel Stufe 5 nach Titel"/>
    <w:basedOn w:val="TitelStufe5"/>
    <w:next w:val="Artikel"/>
  </w:style>
  <w:style w:type="paragraph" w:styleId="BodyText">
    <w:name w:val="Body Text"/>
    <w:basedOn w:val="Normal"/>
    <w:pPr>
      <w:spacing w:before="0" w:after="140" w:line="276" w:lineRule="auto"/>
    </w:pPr>
  </w:style>
  <w:style w:type="paragraph" w:styleId="CommentText">
    <w:name w:val="annotation text"/>
    <w:basedOn w:val="Normal"/>
    <w:pPr>
      <w:keepNext/>
      <w:keepLines/>
      <w:suppressAutoHyphens w:val="0"/>
      <w:spacing w:line="317" w:lineRule="exact"/>
      <w:jc w:val="start"/>
    </w:pPr>
    <w:rPr>
      <w:sz w:val="14"/>
    </w:rPr>
  </w:style>
  <w:style w:type="paragraph" w:customStyle="1" w:styleId="Artikel">
    <w:name w:val="Artikel"/>
    <w:basedOn w:val="Normal"/>
    <w:next w:val="Normal"/>
    <w:pPr>
      <w:keepNext/>
      <w:keepLines/>
      <w:numPr>
        <w:ilvl w:val="0"/>
        <w:numId w:val="0"/>
      </w:numPr>
      <w:tabs>
        <w:tab w:val="start" w:pos="1275"/>
      </w:tabs>
      <w:spacing w:before="227" w:after="119"/>
      <w:ind w:start="992" w:end="0" w:hanging="992"/>
      <w:jc w:val="start"/>
    </w:pPr>
  </w:style>
  <w:style w:type="paragraph" w:customStyle="1" w:styleId="Artikelaufgehoben">
    <w:name w:val="Artikel (aufgehoben)"/>
    <w:basedOn w:val="Artikel"/>
  </w:style>
  <w:style w:type="paragraph" w:customStyle="1" w:styleId="Artikel-nderung">
    <w:name w:val="Artikel-Änderung"/>
    <w:basedOn w:val="Artikel"/>
    <w:next w:val="Normal"/>
    <w:pPr>
      <w:ind w:start="0" w:end="0" w:firstLine="0"/>
    </w:pPr>
  </w:style>
  <w:style w:type="paragraph" w:customStyle="1" w:styleId="Artikeltitel-nderung">
    <w:name w:val="Artikeltitel-Änderung"/>
    <w:basedOn w:val="Normal"/>
    <w:next w:val="Normal"/>
    <w:pPr>
      <w:jc w:val="start"/>
    </w:pPr>
  </w:style>
  <w:style w:type="paragraph" w:customStyle="1" w:styleId="TableContents">
    <w:name w:val="Table Contents"/>
    <w:basedOn w:val="Normal"/>
    <w:pPr>
      <w:suppressLineNumbers/>
      <w:spacing w:before="0" w:after="0"/>
      <w:jc w:val="start"/>
    </w:pPr>
    <w:rPr>
      <w:sz w:val="14"/>
    </w:rPr>
  </w:style>
  <w:style w:type="paragraph" w:customStyle="1" w:styleId="TableHeading">
    <w:name w:val="Table Heading"/>
    <w:basedOn w:val="TableContents"/>
    <w:pPr>
      <w:suppressLineNumbers/>
      <w:spacing w:before="0" w:after="0"/>
      <w:jc w:val="center"/>
    </w:pPr>
    <w:rPr>
      <w:b/>
      <w:bCs/>
    </w:rPr>
  </w:style>
  <w:style w:type="paragraph" w:customStyle="1" w:styleId="AnnexListe">
    <w:name w:val="Annex Liste"/>
    <w:basedOn w:val="Normal"/>
    <w:pPr>
      <w:spacing w:before="0" w:after="80" w:line="220" w:lineRule="exact"/>
      <w:ind w:start="1134" w:end="0" w:hanging="1134"/>
    </w:pPr>
  </w:style>
  <w:style w:type="paragraph" w:customStyle="1" w:styleId="Liste1">
    <w:name w:val="Liste 1"/>
    <w:basedOn w:val="Normal"/>
    <w:pPr>
      <w:tabs>
        <w:tab w:val="start" w:pos="794"/>
        <w:tab w:val="start" w:pos="1021"/>
        <w:tab w:val="start" w:pos="1247"/>
        <w:tab w:val="start" w:pos="1474"/>
        <w:tab w:val="start" w:pos="1701"/>
      </w:tabs>
      <w:spacing w:before="0" w:after="30"/>
      <w:ind w:start="567" w:end="0" w:hanging="567"/>
      <w:jc w:val="start"/>
    </w:pPr>
  </w:style>
  <w:style w:type="paragraph" w:customStyle="1" w:styleId="Liste1mitUnterelementen">
    <w:name w:val="Liste 1 mit Unterelementen"/>
    <w:basedOn w:val="Liste1"/>
  </w:style>
  <w:style w:type="paragraph" w:customStyle="1" w:styleId="Liste2">
    <w:name w:val="Liste 2"/>
    <w:basedOn w:val="Liste1"/>
    <w:pPr>
      <w:tabs>
        <w:tab w:val="clear" w:pos="794"/>
        <w:tab w:val="clear" w:pos="1021"/>
        <w:tab w:val="clear" w:pos="1247"/>
        <w:tab w:val="start" w:pos="1361"/>
        <w:tab w:val="clear" w:pos="1474"/>
        <w:tab w:val="start" w:pos="1588"/>
        <w:tab w:val="clear" w:pos="1701"/>
        <w:tab w:val="start" w:pos="1814"/>
        <w:tab w:val="start" w:pos="2041"/>
        <w:tab w:val="start" w:pos="2268"/>
      </w:tabs>
      <w:ind w:start="1134" w:end="0" w:hanging="567"/>
    </w:pPr>
  </w:style>
  <w:style w:type="paragraph" w:customStyle="1" w:styleId="Liste2mitaufeinanderfolgendenAufhebungen">
    <w:name w:val="Liste 2 mit aufeinanderfolgenden Aufhebungen"/>
    <w:basedOn w:val="Liste2"/>
    <w:pPr>
      <w:tabs>
        <w:tab w:val="clear" w:pos="1361"/>
        <w:tab w:val="clear" w:pos="1588"/>
        <w:tab w:val="clear" w:pos="1814"/>
        <w:tab w:val="clear" w:pos="2041"/>
        <w:tab w:val="clear" w:pos="2268"/>
      </w:tabs>
    </w:pPr>
  </w:style>
  <w:style w:type="paragraph" w:customStyle="1" w:styleId="Liste3">
    <w:name w:val="Liste 3"/>
    <w:basedOn w:val="Liste2"/>
    <w:pPr>
      <w:ind w:start="1134" w:end="0" w:hanging="567"/>
    </w:pPr>
  </w:style>
  <w:style w:type="paragraph" w:styleId="FootnoteText">
    <w:name w:val="footnote text"/>
    <w:basedOn w:val="Normal"/>
    <w:pPr>
      <w:keepLines/>
      <w:spacing w:before="0" w:after="0" w:line="185" w:lineRule="exact"/>
      <w:ind w:start="113" w:end="0" w:hanging="113"/>
    </w:pPr>
    <w:rPr>
      <w:sz w:val="16"/>
    </w:rPr>
  </w:style>
  <w:style w:type="paragraph" w:customStyle="1" w:styleId="Kommentierungen">
    <w:name w:val="Kommentierungen"/>
    <w:basedOn w:val="Normal"/>
    <w:pPr>
      <w:pBdr>
        <w:top w:val="single" w:sz="1" w:space="1" w:color="333333"/>
        <w:left w:val="single" w:sz="1" w:space="1" w:color="333333"/>
        <w:bottom w:val="single" w:sz="1" w:space="1" w:color="333333"/>
        <w:right w:val="single" w:sz="1" w:space="1" w:color="333333"/>
      </w:pBdr>
      <w:shd w:val="clear" w:color="auto" w:fill="EEEEEE"/>
    </w:pPr>
    <w:rPr>
      <w:color w:val="333333"/>
      <w:sz w:val="18"/>
    </w:rPr>
  </w:style>
  <w:style w:type="paragraph" w:customStyle="1" w:styleId="KommentierungenAufzhlungungeordnet">
    <w:name w:val="Kommentierungen Aufzählung ungeordnet"/>
    <w:basedOn w:val="Kommentierungen"/>
    <w:pPr>
      <w:spacing w:before="0" w:after="0"/>
      <w:ind w:start="737" w:end="0" w:hanging="737"/>
    </w:pPr>
  </w:style>
  <w:style w:type="paragraph" w:customStyle="1" w:styleId="KommentierungenAufzhlunggeordnet">
    <w:name w:val="Kommentierungen Aufzählung geordnet"/>
    <w:basedOn w:val="KommentierungenAufzhlungungeordnet"/>
  </w:style>
  <w:style w:type="paragraph" w:customStyle="1" w:styleId="Pcenter">
    <w:name w:val="Pcenter"/>
    <w:basedOn w:val="TableContents"/>
    <w:pPr>
      <w:jc w:val="center"/>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purl.oclc.org/ooxml/officeDocument/relationships/settings" Target="settings.xml" /><Relationship Id="rId10" Type="http://purl.oclc.org/ooxml/officeDocument/relationships/header" Target="header4.xml" /><Relationship Id="rId11" Type="http://purl.oclc.org/ooxml/officeDocument/relationships/header" Target="header5.xml" /><Relationship Id="rId12" Type="http://purl.oclc.org/ooxml/officeDocument/relationships/footer" Target="footer4.xml" /><Relationship Id="rId13" Type="http://purl.oclc.org/ooxml/officeDocument/relationships/footer" Target="footer5.xml" /><Relationship Id="rId14" Type="http://purl.oclc.org/ooxml/officeDocument/relationships/header" Target="header6.xml" /><Relationship Id="rId15" Type="http://purl.oclc.org/ooxml/officeDocument/relationships/footer" Target="footer6.xml" /><Relationship Id="rId16" Type="http://purl.oclc.org/ooxml/officeDocument/relationships/theme" Target="theme/theme1.xml" /><Relationship Id="rId17" Type="http://purl.oclc.org/ooxml/officeDocument/relationships/styles" Target="styles.xml" /><Relationship Id="rId2" Type="http://purl.oclc.org/ooxml/officeDocument/relationships/webSettings" Target="webSettings.xml" /><Relationship Id="rId3" Type="http://purl.oclc.org/ooxml/officeDocument/relationships/fontTable" Target="fontTable.xml" /><Relationship Id="rId4" Type="http://purl.oclc.org/ooxml/officeDocument/relationships/header" Target="header1.xml" /><Relationship Id="rId5" Type="http://purl.oclc.org/ooxml/officeDocument/relationships/header" Target="header2.xml" /><Relationship Id="rId6" Type="http://purl.oclc.org/ooxml/officeDocument/relationships/footer" Target="footer1.xml" /><Relationship Id="rId7" Type="http://purl.oclc.org/ooxml/officeDocument/relationships/footer" Target="footer2.xml" /><Relationship Id="rId8" Type="http://purl.oclc.org/ooxml/officeDocument/relationships/header" Target="header3.xml" /><Relationship Id="rId9" Type="http://purl.oclc.org/ooxml/officeDocument/relationships/footer" Target="footer3.xml" /></Relationships>
</file>

<file path=word/_rels/header3.xml.rels>&#65279;<?xml version="1.0" encoding="utf-8" standalone="yes"?><Relationships xmlns="http://schemas.openxmlformats.org/package/2006/relationships"><Relationship Id="rId1" Type="http://purl.oclc.org/ooxml/officeDocument/relationships/image" Target="media/image1.png"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Tibt" typeface="Microsoft Himalaya"/>
        <a:font script="Khmr" typeface="MoolBoran"/>
        <a:font script="Beng" typeface="Vrinda"/>
        <a:font script="Taml" typeface="Latha"/>
        <a:font script="Hebr" typeface="Times New Roman"/>
        <a:font script="Syrc" typeface="Estrangelo Edessa"/>
        <a:font script="Laoo" typeface="DokChampa"/>
        <a:font script="Cher" typeface="Plantagenet Cherokee"/>
        <a:font script="Thaa" typeface="MV Boli"/>
        <a:font script="Sinh" typeface="Iskoola Pota"/>
        <a:font script="Thai" typeface="Angsana New"/>
        <a:font script="Cans" typeface="Euphemia"/>
        <a:font script="Mong" typeface="Mongolian Baiti"/>
        <a:font script="Knda" typeface="Tunga"/>
        <a:font script="Viet" typeface="Times New Roman"/>
        <a:font script="Deva" typeface="Mangal"/>
        <a:font script="Arab" typeface="Times New Roman"/>
        <a:font script="Orya" typeface="Kalinga"/>
        <a:font script="Jpan" typeface="ＭＳ ゴシック"/>
        <a:font script="Hang" typeface="맑은 고딕"/>
        <a:font script="Ethi" typeface="Nyala"/>
        <a:font script="Guru" typeface="Raavi"/>
        <a:font script="Gujr" typeface="Shruti"/>
        <a:font script="Mlym" typeface="Kartika"/>
        <a:font script="Yiii" typeface="Microsoft Yi Baiti"/>
        <a:font script="Hans" typeface="宋体"/>
        <a:font script="Hant" typeface="新細明體"/>
        <a:font script="Telu" typeface="Gautami"/>
        <a:font script="Uigh" typeface="Microsoft Uighur"/>
      </a:majorFont>
      <a:minorFont>
        <a:latin typeface="Calibri"/>
        <a:ea typeface=""/>
        <a:cs typeface=""/>
        <a:font script="Tibt" typeface="Microsoft Himalaya"/>
        <a:font script="Khmr" typeface="DaunPenh"/>
        <a:font script="Beng" typeface="Vrinda"/>
        <a:font script="Taml" typeface="Latha"/>
        <a:font script="Hebr" typeface="Arial"/>
        <a:font script="Syrc" typeface="Estrangelo Edessa"/>
        <a:font script="Laoo" typeface="DokChampa"/>
        <a:font script="Cher" typeface="Plantagenet Cherokee"/>
        <a:font script="Thaa" typeface="MV Boli"/>
        <a:font script="Sinh" typeface="Iskoola Pota"/>
        <a:font script="Thai" typeface="Cordia New"/>
        <a:font script="Cans" typeface="Euphemia"/>
        <a:font script="Mong" typeface="Mongolian Baiti"/>
        <a:font script="Knda" typeface="Tunga"/>
        <a:font script="Viet" typeface="Arial"/>
        <a:font script="Deva" typeface="Mangal"/>
        <a:font script="Arab" typeface="Arial"/>
        <a:font script="Orya" typeface="Kalinga"/>
        <a:font script="Jpan" typeface="ＭＳ 明朝"/>
        <a:font script="Hang" typeface="맑은 고딕"/>
        <a:font script="Ethi" typeface="Nyala"/>
        <a:font script="Guru" typeface="Raavi"/>
        <a:font script="Gujr" typeface="Shruti"/>
        <a:font script="Mlym" typeface="Kartika"/>
        <a:font script="Yiii" typeface="Microsoft Yi Baiti"/>
        <a:font script="Hans" typeface="宋体"/>
        <a:font script="Hant" typeface="新細明體"/>
        <a:font script="Telu" typeface="Gautami"/>
        <a:font script="Uigh" typeface="Microsoft Uighur"/>
      </a:minorFont>
    </a:fontScheme>
    <a:fmtScheme name="Office">
      <a:fillStyleLst>
        <a:solidFill>
          <a:schemeClr val="phClr"/>
        </a:solidFill>
        <a:gradFill rotWithShape="1">
          <a:gsLst>
            <a:gs pos="0%">
              <a:schemeClr val="phClr">
                <a:tint val="50%"/>
                <a:satMod val="300%"/>
              </a:schemeClr>
            </a:gs>
            <a:gs pos="35%">
              <a:schemeClr val="phClr">
                <a:tint val="37%"/>
                <a:satMod val="300%"/>
              </a:schemeClr>
            </a:gs>
            <a:gs pos="100%">
              <a:schemeClr val="phClr">
                <a:tint val="15%"/>
                <a:satMod val="350%"/>
              </a:schemeClr>
            </a:gs>
          </a:gsLst>
          <a:lin ang="16200000" scaled="1"/>
        </a:gradFill>
        <a:gradFill rotWithShape="1">
          <a:gsLst>
            <a:gs pos="0%">
              <a:schemeClr val="phClr">
                <a:shade val="51%"/>
                <a:satMod val="130%"/>
              </a:schemeClr>
            </a:gs>
            <a:gs pos="80%">
              <a:schemeClr val="phClr">
                <a:shade val="93%"/>
                <a:satMod val="130%"/>
              </a:schemeClr>
            </a:gs>
            <a:gs pos="100%">
              <a:schemeClr val="phClr">
                <a:shade val="94%"/>
                <a:satMod val="135%"/>
              </a:schemeClr>
            </a:gs>
          </a:gsLst>
          <a:lin ang="16200000" scaled="0"/>
        </a:gradFill>
      </a:fillStyleLst>
      <a:lnStyleLst>
        <a:ln w="9525">
          <a:solidFill>
            <a:schemeClr val="phClr">
              <a:shade val="95%"/>
              <a:satMod val="105%"/>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 sy="100%" kx="0" ky="0" algn="b" rotWithShape="0">
              <a:srgbClr val="000000">
                <a:alpha val="38%"/>
              </a:srgbClr>
            </a:outerShdw>
          </a:effectLst>
        </a:effectStyle>
        <a:effectStyle>
          <a:effectLst>
            <a:outerShdw blurRad="40000" dist="23000" dir="5400000" sx="100%" sy="100%" kx="0" ky="0" algn="b" rotWithShape="0">
              <a:srgbClr val="000000">
                <a:alpha val="35%"/>
              </a:srgbClr>
            </a:outerShdw>
          </a:effectLst>
        </a:effectStyle>
        <a:effectStyle>
          <a:effectLst>
            <a:outerShdw blurRad="40000" dist="23000" dir="5400000" sx="100%" sy="100%" kx="0" ky="0" algn="b" rotWithShape="0">
              <a:srgbClr val="000000">
                <a:alpha val="35%"/>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
                <a:satMod val="350%"/>
              </a:schemeClr>
            </a:gs>
            <a:gs pos="40%">
              <a:schemeClr val="phClr">
                <a:tint val="45%"/>
                <a:shade val="99%"/>
                <a:satMod val="350%"/>
              </a:schemeClr>
            </a:gs>
            <a:gs pos="100%">
              <a:schemeClr val="phClr">
                <a:shade val="20%"/>
                <a:satMod val="255%"/>
              </a:schemeClr>
            </a:gs>
          </a:gsLst>
          <a:path path="circle">
            <a:fillToRect l="50%" t="-80%" r="50%" b="180%"/>
          </a:path>
        </a:gradFill>
        <a:gradFill rotWithShape="1">
          <a:gsLst>
            <a:gs pos="0%">
              <a:schemeClr val="phClr">
                <a:tint val="80%"/>
                <a:satMod val="300%"/>
              </a:schemeClr>
            </a:gs>
            <a:gs pos="100%">
              <a:schemeClr val="phClr">
                <a:shade val="30%"/>
                <a:satMod val="200%"/>
              </a:schemeClr>
            </a:gs>
          </a:gsLst>
          <a:path path="circle">
            <a:fillToRect l="50%" t="50%" r="50%" b="50%"/>
          </a:path>
        </a:gradFill>
      </a:bgFillStyleLst>
    </a:fmtScheme>
  </a:themeElements>
  <a:objectDefaults/>
  <a:extraClrSchemeLst xmlns:a="http://purl.oclc.org/ooxml/drawingml/main"/>
</a:theme>
</file>

<file path=docProps/app.xml><?xml version="1.0" encoding="utf-8"?>
<Properties xmlns="http://purl.oclc.org/ooxml/officeDocument/extendedProperties" xmlns:vt="http://purl.oclc.org/ooxml/officeDocument/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2025-09-25T11:54:49Z</dcterms:created>
</cp:coreProperties>
</file>