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b/>
          <w:color w:val="1D3753"/>
          <w:sz w:val="52"/>
        </w:rPr>
        <w:t>鱼类三维行为分析</w:t>
      </w:r>
    </w:p>
    <w:p>
      <w:pPr>
        <w:jc w:val="center"/>
      </w:pPr>
      <w:r>
        <w:rPr>
          <w:b/>
          <w:color w:val="177676"/>
          <w:sz w:val="46"/>
        </w:rPr>
        <w:t>计算机算法开发任务书</w:t>
      </w:r>
    </w:p>
    <w:p>
      <w:pPr>
        <w:spacing w:before="300"/>
        <w:jc w:val="center"/>
      </w:pPr>
      <w:r>
        <w:rPr>
          <w:sz w:val="24"/>
        </w:rPr>
        <w:t>基于原论文 + 实验方《复现方法及设计》整合</w:t>
      </w:r>
    </w:p>
    <w:p>
      <w:pPr>
        <w:spacing w:before="240"/>
        <w:jc w:val="center"/>
      </w:pPr>
      <w:r>
        <w:rPr>
          <w:color w:val="5E6C78"/>
          <w:sz w:val="20"/>
        </w:rPr>
        <w:t>适用范围：单摄像机 + 平面镜  |  Python / OpenCV  |  先离线开发，后真实验证</w:t>
      </w:r>
    </w:p>
    <w:p>
      <w:pPr>
        <w:spacing w:before="800"/>
        <w:jc w:val="center"/>
      </w:pPr>
      <w:r>
        <w:t>版本：V1.0（算法任务与接口对接稿）</w:t>
        <w:br/>
      </w:r>
      <w:r>
        <w:t>编制日期：2026年10月</w:t>
        <w:br/>
      </w:r>
      <w:r>
        <w:t>当前状态：真实实验视频尚未交付</w:t>
      </w:r>
    </w:p>
    <w:p>
      <w:r>
        <w:br w:type="page"/>
      </w:r>
    </w:p>
    <w:p>
      <w:pPr>
        <w:pStyle w:val="Heading1"/>
      </w:pPr>
      <w:r>
        <w:t>0. 使用说明与来源界限</w:t>
      </w:r>
    </w:p>
    <w:p>
      <w:r>
        <w:t>本任务书用于你与实验人员进行数据对接，并作为 Codex 分阶段编写、测试和迭代 Python 代码的统一需求依据。它不是对原论文和对方规划书的简单拼接，而是按“数据采集—算法处理—验证交付”重新组织。</w:t>
      </w:r>
    </w:p>
    <w:p>
      <w:pPr>
        <w:pStyle w:val="ListBullet"/>
      </w:pPr>
      <w:r>
        <w:t>【论文依据】表示原论文直接描述的方法、公式或论文实验设置。</w:t>
      </w:r>
    </w:p>
    <w:p>
      <w:pPr>
        <w:pStyle w:val="ListBullet"/>
      </w:pPr>
      <w:r>
        <w:t>【规划书依据】表示实验方在18页《复现方法及设计》中提出的数据或操作要求。</w:t>
      </w:r>
    </w:p>
    <w:p>
      <w:pPr>
        <w:pStyle w:val="ListBullet"/>
      </w:pPr>
      <w:r>
        <w:t>【工程设计】表示为了可运行、可测试、可交付而增加的接口、质量控制、开发组织，不应视为论文原文。</w:t>
      </w:r>
    </w:p>
    <w:p>
      <w:pPr>
        <w:pStyle w:val="ListBullet"/>
      </w:pPr>
      <w:r>
        <w:t>【待确认】表示必须向实验负责人核实，或需通过真实视频和标定数据验证的内容。</w:t>
      </w:r>
    </w:p>
    <w:p>
      <w:pPr>
        <w:spacing w:before="100" w:after="160"/>
        <w:ind w:left="125" w:right="91"/>
      </w:pPr>
      <w:r>
        <w:rPr>
          <w:b/>
          <w:color w:val="177676"/>
        </w:rPr>
        <w:t>注意  论文中的45°、640×480、左右285/355分区以及行为阈值均为论文或规划书给出的示例实验设置，不自动构成新实验的真实测量结果。</w:t>
      </w:r>
    </w:p>
    <w:p>
      <w:pPr>
        <w:pStyle w:val="Heading1"/>
      </w:pPr>
      <w:r>
        <w:t>1. 项目目标、范围与最终成果</w:t>
      </w:r>
    </w:p>
    <w:p>
      <w:r>
        <w:t>目标：利用单摄像机同时拍摄鱼本体与平面镜反射像，经前景分割和质心定位，估计鱼的三维质心轨迹，计算速度、角速度及行为指标，并输出可追溯的数据、图表和视频结果。【论文依据：第250—255页；规划书依据：第1、14—18页】</w:t>
      </w:r>
    </w:p>
    <w:p>
      <w:r>
        <w:t>范围：你仅负责软件与算法；不承担鱼缸、摄像机、镜面搭建、活体实验、设备操作或实际视频采集。你需要定义算法所依赖的数据格式并向实验方提出明确的交付要求。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/>
        </w:trPr>
        <w:tc>
          <w:tcPr>
            <w:tcW w:type="dxa" w:w="2835"/>
            <w:shd w:fill="E3EEF2"/>
            <w:vAlign w:val="center"/>
          </w:tcPr>
          <w:p>
            <w:pPr>
              <w:spacing w:after="40" w:before="40" w:line="271" w:lineRule="auto"/>
            </w:pPr>
            <w:r>
              <w:rPr>
                <w:b/>
                <w:color w:val="1D3753"/>
                <w:sz w:val="17"/>
              </w:rPr>
              <w:t>最终交付物</w:t>
            </w:r>
          </w:p>
        </w:tc>
        <w:tc>
          <w:tcPr>
            <w:tcW w:type="dxa" w:w="6406"/>
            <w:shd w:fill="E3EEF2"/>
            <w:vAlign w:val="center"/>
          </w:tcPr>
          <w:p>
            <w:pPr>
              <w:spacing w:after="40" w:before="40" w:line="271" w:lineRule="auto"/>
            </w:pPr>
            <w:r>
              <w:rPr>
                <w:b/>
                <w:color w:val="1D3753"/>
                <w:sz w:val="17"/>
              </w:rPr>
              <w:t>最低要求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可运行源码</w:t>
            </w:r>
          </w:p>
        </w:tc>
        <w:tc>
          <w:tcPr>
            <w:tcW w:type="dxa" w:w="6406"/>
            <w:vAlign w:val="center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Python项目、配置文件、依赖清单、入口脚本、README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6F9FA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视频/图像处理</w:t>
            </w:r>
          </w:p>
        </w:tc>
        <w:tc>
          <w:tcPr>
            <w:tcW w:type="dxa" w:w="6406"/>
            <w:vAlign w:val="center"/>
            <w:shd w:fill="F6F9FA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去畸变接口、中值滤波、HSV转换、双视角ROI处理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视觉算法</w:t>
            </w:r>
          </w:p>
        </w:tc>
        <w:tc>
          <w:tcPr>
            <w:tcW w:type="dxa" w:w="6406"/>
            <w:vAlign w:val="center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LBAdaptiveSOM、目标区域/质心、单目标跟踪、双视角匹配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6F9FA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几何与运动分析</w:t>
            </w:r>
          </w:p>
        </w:tc>
        <w:tc>
          <w:tcPr>
            <w:tcW w:type="dxa" w:w="6406"/>
            <w:vAlign w:val="center"/>
            <w:shd w:fill="F6F9FA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三维计算、轨迹、速度、角速度、无效帧标记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行为与展示</w:t>
            </w:r>
          </w:p>
        </w:tc>
        <w:tc>
          <w:tcPr>
            <w:tcW w:type="dxa" w:w="6406"/>
            <w:vAlign w:val="center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规则识别、行为事件表、标注视频、3D轨迹图、运动曲线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6F9FA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验证与文档</w:t>
            </w:r>
          </w:p>
        </w:tc>
        <w:tc>
          <w:tcPr>
            <w:tcW w:type="dxa" w:w="6406"/>
            <w:vAlign w:val="center"/>
            <w:shd w:fill="F6F9FA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模拟测试、单元测试、真实视频验证记录、局限性说明</w:t>
            </w:r>
          </w:p>
        </w:tc>
      </w:tr>
    </w:tbl>
    <w:p>
      <w:pPr>
        <w:pStyle w:val="Heading1"/>
      </w:pPr>
      <w:r>
        <w:t>2. 双方责任边界与数据交接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</w:trPr>
        <w:tc>
          <w:tcPr>
            <w:tcW w:type="dxa" w:w="1786"/>
            <w:shd w:fill="E3EEF2"/>
            <w:vAlign w:val="center"/>
          </w:tcPr>
          <w:p>
            <w:pPr>
              <w:spacing w:after="40" w:before="40" w:line="271" w:lineRule="auto"/>
            </w:pPr>
            <w:r>
              <w:rPr>
                <w:b/>
                <w:color w:val="1D3753"/>
                <w:sz w:val="17"/>
              </w:rPr>
              <w:t>事项</w:t>
            </w:r>
          </w:p>
        </w:tc>
        <w:tc>
          <w:tcPr>
            <w:tcW w:type="dxa" w:w="3515"/>
            <w:shd w:fill="E3EEF2"/>
            <w:vAlign w:val="center"/>
          </w:tcPr>
          <w:p>
            <w:pPr>
              <w:spacing w:after="40" w:before="40" w:line="271" w:lineRule="auto"/>
            </w:pPr>
            <w:r>
              <w:rPr>
                <w:b/>
                <w:color w:val="1D3753"/>
                <w:sz w:val="17"/>
              </w:rPr>
              <w:t>实验人员</w:t>
            </w:r>
          </w:p>
        </w:tc>
        <w:tc>
          <w:tcPr>
            <w:tcW w:type="dxa" w:w="3940"/>
            <w:shd w:fill="E3EEF2"/>
            <w:vAlign w:val="center"/>
          </w:tcPr>
          <w:p>
            <w:pPr>
              <w:spacing w:after="40" w:before="40" w:line="271" w:lineRule="auto"/>
            </w:pPr>
            <w:r>
              <w:rPr>
                <w:b/>
                <w:color w:val="1D3753"/>
                <w:sz w:val="17"/>
              </w:rPr>
              <w:t>你的算法侧</w:t>
            </w:r>
          </w:p>
        </w:tc>
      </w:tr>
      <w:tr>
        <w:trPr>
          <w:cantSplit/>
        </w:trPr>
        <w:tc>
          <w:tcPr>
            <w:tcW w:type="dxa" w:w="1786"/>
            <w:vAlign w:val="center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装置与实验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搭建设备、固定位置、实验记录</w:t>
            </w:r>
          </w:p>
        </w:tc>
        <w:tc>
          <w:tcPr>
            <w:tcW w:type="dxa" w:w="3940"/>
            <w:vAlign w:val="center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提出可计算所需几何及视频要求</w:t>
            </w:r>
          </w:p>
        </w:tc>
      </w:tr>
      <w:tr>
        <w:trPr>
          <w:cantSplit/>
        </w:trPr>
        <w:tc>
          <w:tcPr>
            <w:tcW w:type="dxa" w:w="1786"/>
            <w:vAlign w:val="center"/>
            <w:shd w:fill="F6F9FA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相机标定</w:t>
            </w:r>
          </w:p>
        </w:tc>
        <w:tc>
          <w:tcPr>
            <w:tcW w:type="dxa" w:w="3515"/>
            <w:vAlign w:val="center"/>
            <w:shd w:fill="F6F9FA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采集棋盘格图像并提供内参/畸变等文件</w:t>
            </w:r>
          </w:p>
        </w:tc>
        <w:tc>
          <w:tcPr>
            <w:tcW w:type="dxa" w:w="3940"/>
            <w:vAlign w:val="center"/>
            <w:shd w:fill="F6F9FA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读取、校验、去畸变；必要时复算标定</w:t>
            </w:r>
          </w:p>
        </w:tc>
      </w:tr>
      <w:tr>
        <w:trPr>
          <w:cantSplit/>
        </w:trPr>
        <w:tc>
          <w:tcPr>
            <w:tcW w:type="dxa" w:w="1786"/>
            <w:vAlign w:val="center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视频采集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保存原始视频、视频元数据、帧率/时间戳</w:t>
            </w:r>
          </w:p>
        </w:tc>
        <w:tc>
          <w:tcPr>
            <w:tcW w:type="dxa" w:w="3940"/>
            <w:vAlign w:val="center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读取、提取帧、处理并保存派生结果</w:t>
            </w:r>
          </w:p>
        </w:tc>
      </w:tr>
      <w:tr>
        <w:trPr>
          <w:cantSplit/>
        </w:trPr>
        <w:tc>
          <w:tcPr>
            <w:tcW w:type="dxa" w:w="1786"/>
            <w:vAlign w:val="center"/>
            <w:shd w:fill="F6F9FA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前景图与质心</w:t>
            </w:r>
          </w:p>
        </w:tc>
        <w:tc>
          <w:tcPr>
            <w:tcW w:type="dxa" w:w="3515"/>
            <w:vAlign w:val="center"/>
            <w:shd w:fill="F6F9FA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原则上无需人工生成</w:t>
            </w:r>
          </w:p>
        </w:tc>
        <w:tc>
          <w:tcPr>
            <w:tcW w:type="dxa" w:w="3940"/>
            <w:vAlign w:val="center"/>
            <w:shd w:fill="F6F9FA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算法生成前景掩膜和实体/镜像质心</w:t>
            </w:r>
          </w:p>
        </w:tc>
      </w:tr>
      <w:tr>
        <w:trPr>
          <w:cantSplit/>
        </w:trPr>
        <w:tc>
          <w:tcPr>
            <w:tcW w:type="dxa" w:w="1786"/>
            <w:vAlign w:val="center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3D坐标及速度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提供必要几何尺度与核验参考</w:t>
            </w:r>
          </w:p>
        </w:tc>
        <w:tc>
          <w:tcPr>
            <w:tcW w:type="dxa" w:w="3940"/>
            <w:vAlign w:val="center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算法重建并计算轨迹、速度、角速度</w:t>
            </w:r>
          </w:p>
        </w:tc>
      </w:tr>
      <w:tr>
        <w:trPr>
          <w:cantSplit/>
        </w:trPr>
        <w:tc>
          <w:tcPr>
            <w:tcW w:type="dxa" w:w="1786"/>
            <w:vAlign w:val="center"/>
            <w:shd w:fill="F6F9FA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行为标签</w:t>
            </w:r>
          </w:p>
        </w:tc>
        <w:tc>
          <w:tcPr>
            <w:tcW w:type="dxa" w:w="3515"/>
            <w:vAlign w:val="center"/>
            <w:shd w:fill="F6F9FA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协商人工核验标准；可提供参考标注</w:t>
            </w:r>
          </w:p>
        </w:tc>
        <w:tc>
          <w:tcPr>
            <w:tcW w:type="dxa" w:w="3940"/>
            <w:vAlign w:val="center"/>
            <w:shd w:fill="F6F9FA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程序生成规则标签并对照参考标签评价</w:t>
            </w:r>
          </w:p>
        </w:tc>
      </w:tr>
      <w:tr>
        <w:trPr>
          <w:cantSplit/>
        </w:trPr>
        <w:tc>
          <w:tcPr>
            <w:tcW w:type="dxa" w:w="1786"/>
            <w:vAlign w:val="center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最终结果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核查实验信息是否一致</w:t>
            </w:r>
          </w:p>
        </w:tc>
        <w:tc>
          <w:tcPr>
            <w:tcW w:type="dxa" w:w="3940"/>
            <w:vAlign w:val="center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代码、数据表、图表、视频和技术文档</w:t>
            </w:r>
          </w:p>
        </w:tc>
      </w:tr>
    </w:tbl>
    <w:p>
      <w:r>
        <w:t>交接原则：对方规划书“获取数据”包括前景图、三维坐标、轨迹、速度、角速度和标签（第1页），但这些属于算法派生数据；实际分工中由程序生成，不要求实验人员提前替你计算。</w:t>
      </w:r>
    </w:p>
    <w:p>
      <w:pPr>
        <w:pStyle w:val="Heading1"/>
      </w:pPr>
      <w:r>
        <w:t>3. 从原始视频到结果的算法主链</w:t>
      </w:r>
    </w:p>
    <w:p>
      <w:r>
        <w:t>原论文处理顺序：背景建模 → 前景检测 → 质心提取 → 空间位置计算 → 游动速度及角速度 → 行为描述。【论文依据：第251页图3】</w:t>
      </w:r>
    </w:p>
    <w:p>
      <w:r>
        <w:t>工程上的完整流水线（增加数据校验、双视角ROI、时间管理、结果追溯）：</w:t>
      </w:r>
    </w:p>
    <w:p>
      <w:pPr>
        <w:spacing w:before="80"/>
      </w:pPr>
      <w:r>
        <w:rPr>
          <w:rFonts w:ascii="DejaVu Sans Mono" w:hAnsi="DejaVu Sans Mono"/>
          <w:sz w:val="15"/>
        </w:rPr>
        <w:t>原始视频 + 元数据 + 标定文件 + 镜面几何配置</w:t>
        <w:br/>
      </w:r>
      <w:r>
        <w:rPr>
          <w:rFonts w:ascii="DejaVu Sans Mono" w:hAnsi="DejaVu Sans Mono"/>
          <w:sz w:val="15"/>
        </w:rPr>
        <w:t xml:space="preserve">             ↓</w:t>
        <w:br/>
      </w:r>
      <w:r>
        <w:rPr>
          <w:rFonts w:ascii="DejaVu Sans Mono" w:hAnsi="DejaVu Sans Mono"/>
          <w:sz w:val="15"/>
        </w:rPr>
        <w:t>帧读取/去畸变/中值滤波/HSV转换</w:t>
        <w:br/>
      </w:r>
      <w:r>
        <w:rPr>
          <w:rFonts w:ascii="DejaVu Sans Mono" w:hAnsi="DejaVu Sans Mono"/>
          <w:sz w:val="15"/>
        </w:rPr>
        <w:t xml:space="preserve">             ↓</w:t>
        <w:br/>
      </w:r>
      <w:r>
        <w:rPr>
          <w:rFonts w:ascii="DejaVu Sans Mono" w:hAnsi="DejaVu Sans Mono"/>
          <w:sz w:val="15"/>
        </w:rPr>
        <w:t>实体鱼ROI、镜像ROI  →  LBAdaptiveSOM前景掩膜</w:t>
        <w:br/>
      </w:r>
      <w:r>
        <w:rPr>
          <w:rFonts w:ascii="DejaVu Sans Mono" w:hAnsi="DejaVu Sans Mono"/>
          <w:sz w:val="15"/>
        </w:rPr>
        <w:t xml:space="preserve">             ↓</w:t>
        <w:br/>
      </w:r>
      <w:r>
        <w:rPr>
          <w:rFonts w:ascii="DejaVu Sans Mono" w:hAnsi="DejaVu Sans Mono"/>
          <w:sz w:val="15"/>
        </w:rPr>
        <w:t>连通域与质心计算 → 单目标时序跟踪 → 双视角对应</w:t>
        <w:br/>
      </w:r>
      <w:r>
        <w:rPr>
          <w:rFonts w:ascii="DejaVu Sans Mono" w:hAnsi="DejaVu Sans Mono"/>
          <w:sz w:val="15"/>
        </w:rPr>
        <w:t xml:space="preserve">             ↓</w:t>
        <w:br/>
      </w:r>
      <w:r>
        <w:rPr>
          <w:rFonts w:ascii="DejaVu Sans Mono" w:hAnsi="DejaVu Sans Mono"/>
          <w:sz w:val="15"/>
        </w:rPr>
        <w:t>几何坐标转换与3D质心估计（含有效性/单位）</w:t>
        <w:br/>
      </w:r>
      <w:r>
        <w:rPr>
          <w:rFonts w:ascii="DejaVu Sans Mono" w:hAnsi="DejaVu Sans Mono"/>
          <w:sz w:val="15"/>
        </w:rPr>
        <w:t xml:space="preserve">             ↓</w:t>
        <w:br/>
      </w:r>
      <w:r>
        <w:rPr>
          <w:rFonts w:ascii="DejaVu Sans Mono" w:hAnsi="DejaVu Sans Mono"/>
          <w:sz w:val="15"/>
        </w:rPr>
        <w:t>3D轨迹 → 速度/角速度 → 行为规则 → CSV/图片/标注视频</w:t>
      </w:r>
    </w:p>
    <w:p>
      <w:pPr>
        <w:pStyle w:val="Heading1"/>
      </w:pPr>
      <w:r>
        <w:t>4. 模块级详细需求</w:t>
      </w:r>
    </w:p>
    <w:p>
      <w:pPr>
        <w:pStyle w:val="Heading2"/>
      </w:pPr>
      <w:r>
        <w:t>4.1 M0：工程与数据接口（首先完成）</w:t>
      </w:r>
    </w:p>
    <w:p>
      <w:r>
        <w:t>输入：配置文件、实验数据交付规范。输出：可执行工程框架、数据结构、验证工具。</w:t>
      </w:r>
    </w:p>
    <w:p>
      <w:pPr>
        <w:pStyle w:val="ListBullet"/>
      </w:pPr>
      <w:r>
        <w:t>统一 frame_id、timestamp_s、fps、view（real/mirror）、坐标方向、单位和缺失值策略。</w:t>
      </w:r>
    </w:p>
    <w:p>
      <w:pPr>
        <w:pStyle w:val="ListBullet"/>
      </w:pPr>
      <w:r>
        <w:t>所有计算结果写明数据来源、算法版本、配置快照，原始视频只读保存。</w:t>
      </w:r>
    </w:p>
    <w:p>
      <w:pPr>
        <w:pStyle w:val="ListBullet"/>
      </w:pPr>
      <w:r>
        <w:t>参数不得散落硬编码：ROI、alpha、split_x、阈值、滤波核、背景学习轮数等进入 YAML 配置。</w:t>
      </w:r>
    </w:p>
    <w:p>
      <w:pPr>
        <w:pStyle w:val="Heading2"/>
      </w:pPr>
      <w:r>
        <w:t>4.2 M1：轨迹数学与模拟测试</w:t>
      </w:r>
    </w:p>
    <w:p>
      <w:r>
        <w:t>输入：带时间戳和有效性标记的二维/三维坐标；输出：逐帧运动数据、轨迹图、速度图、角速度图。</w:t>
      </w:r>
    </w:p>
    <w:p>
      <w:r>
        <w:t>建议的中心差分速率：v_i = ||P_(i+1) - P_(i-1)|| / (t_(i+1) - t_(i-1))。这是中心时间窗口内的端点位移速率近似；累计路程应另按逐段路径求和。【工程设计：显式统一时间定义】</w:t>
      </w:r>
    </w:p>
    <w:p>
      <w:r>
        <w:t>方向变化角：u = P_i - P_(i-1)；w = P_(i+1) - P_i；Δφ = arccos(clip((u·w) / (||u||·||w||), -1, 1))；角速度模 = Δφ / (t_(i+1)-t_(i-1))。若向量长度过小、缺帧或时间戳无效，则该指标标记为无效。</w:t>
      </w:r>
    </w:p>
    <w:p>
      <w:r>
        <w:t>必须测试：静止（速度0，方向角不可定义）、匀速直线、拐弯、缺失点、重复时间戳、像素与毫米单位。数据若无物理标定，只能报告 px/s 或 pN/s，不可写成 mm/s。</w:t>
      </w:r>
    </w:p>
    <w:p>
      <w:pPr>
        <w:pStyle w:val="Heading2"/>
      </w:pPr>
      <w:r>
        <w:t>4.3 M2：视频预处理与区域配置</w:t>
      </w:r>
    </w:p>
    <w:p>
      <w:r>
        <w:t>【规划书依据：第6—8页】读取每帧；进行相机去畸变、中值滤波、HSV转换，并可保存过程图像。论文描述先进行中值滤波用于实验比较。【论文依据：第253页】</w:t>
      </w:r>
    </w:p>
    <w:p>
      <w:pPr>
        <w:pStyle w:val="ListBullet"/>
      </w:pPr>
      <w:r>
        <w:t>优先用原始帧配置或校验左右视角ROI，再把区域分割和质心结果映射回全帧坐标。</w:t>
      </w:r>
    </w:p>
    <w:p>
      <w:pPr>
        <w:pStyle w:val="ListBullet"/>
      </w:pPr>
      <w:r>
        <w:t>论文/规划书示例分辨率640×480、左侧285像素和右侧355像素；实际位置必须从实验画面确认。</w:t>
      </w:r>
    </w:p>
    <w:p>
      <w:pPr>
        <w:pStyle w:val="ListBullet"/>
      </w:pPr>
      <w:r>
        <w:t>保存或计算帧号到时间戳映射；若无法获取独立时间戳，才用 frame_id/fps 计算近似时间。</w:t>
      </w:r>
    </w:p>
    <w:p>
      <w:pPr>
        <w:pStyle w:val="Heading2"/>
      </w:pPr>
      <w:r>
        <w:t>4.4 M3：LBAdaptiveSOM前景分割（论文核心复现）</w:t>
      </w:r>
    </w:p>
    <w:p>
      <w:r>
        <w:t>【论文依据：第251—252页式(2)—(5)；规划书依据：第9—13页】背景模型3×3映射（n=3）、HSV特征、初始化/学习阶段与在线阶段、最小距离判别、阴影判断、邻域加权更新。</w:t>
      </w:r>
    </w:p>
    <w:p>
      <w:pPr>
        <w:pStyle w:val="ListBullet"/>
      </w:pPr>
      <w:r>
        <w:t>模块输入：HSV帧、模型状态、阈值参数；输出：每帧二值前景掩膜、可选背景状态/诊断图。</w:t>
      </w:r>
    </w:p>
    <w:p>
      <w:pPr>
        <w:pStyle w:val="ListBullet"/>
      </w:pPr>
      <w:r>
        <w:t>必须显式处理OpenCV H/S/V数值范围及归一化，保留论文中的色相周期性表示；阈值与数值范围必须配套。</w:t>
      </w:r>
    </w:p>
    <w:p>
      <w:pPr>
        <w:pStyle w:val="ListBullet"/>
      </w:pPr>
      <w:r>
        <w:t>第一帧用于初始化是论文设定；鱼在第一帧出现时可能进入背景，应记录并测试，必要时提供独立的工程改进选项。</w:t>
      </w:r>
    </w:p>
    <w:p>
      <w:pPr>
        <w:pStyle w:val="ListBullet"/>
      </w:pPr>
      <w:r>
        <w:t>原论文给出ε1∈[0.05,0.2]、ε2约为ε1的10⁻¹倍、γ=0.7、β=1.0、τS=0.1、τH=10等示例；K、学习率及权重细节仍需实现中记录配置。</w:t>
      </w:r>
    </w:p>
    <w:p>
      <w:r>
        <w:t>对比方法如MOG2/KNN可以作为基线，但不得未经说明替代LBAdaptiveSOM作为“论文复现结果”。</w:t>
      </w:r>
    </w:p>
    <w:p>
      <w:pPr>
        <w:pStyle w:val="Heading2"/>
      </w:pPr>
      <w:r>
        <w:t>4.5 M4：质心提取、时间跟踪、双视角匹配</w:t>
      </w:r>
    </w:p>
    <w:p>
      <w:r>
        <w:t>输入：实体视角与镜像视角的前景二值图；输出：每帧两个视角的检测质心、有效性标记和关联结果。</w:t>
      </w:r>
    </w:p>
    <w:p>
      <w:pPr>
        <w:pStyle w:val="ListBullet"/>
      </w:pPr>
      <w:r>
        <w:t>对每个区域进行阈值/形态学清理、连通域筛选，使用前景像素均值得到质心：xc=Σxk/N，yc=Σyk/N。N=0则返回缺失，不能返回(0,0)。</w:t>
      </w:r>
    </w:p>
    <w:p>
      <w:pPr>
        <w:pStyle w:val="ListBullet"/>
      </w:pPr>
      <w:r>
        <w:t>优先按规划书先用1条鱼测试；先做单目标关联，再依据真实鱼数量决定是否需多目标跟踪和身份管理。</w:t>
      </w:r>
    </w:p>
    <w:p>
      <w:pPr>
        <w:pStyle w:val="ListBullet"/>
      </w:pPr>
      <w:r>
        <w:t>左右ROI的局部坐标须转换为一致的全帧坐标；鱼本体与镜像必须在同一时间戳对应。</w:t>
      </w:r>
    </w:p>
    <w:p>
      <w:pPr>
        <w:pStyle w:val="Heading2"/>
      </w:pPr>
      <w:r>
        <w:t>4.6 M5：单摄像机+平面镜三维几何</w:t>
      </w:r>
    </w:p>
    <w:p>
      <w:r>
        <w:t>【论文依据：第250—251页图1、图2及式(1)】根据成像装置几何关系，以两个视角的鱼质心作为匹配点估计三维坐标。论文给出 z = z′ = (a - x′)tanα，α=45°。</w:t>
      </w:r>
    </w:p>
    <w:p>
      <w:r>
        <w:t>【规划书依据：第14—15页】写出示例简式 X=x、Y=y、Z=285−x′（单位pN）。这反映规划书采用论文像素尺度/理想模型的复现路线，不等于在任何真实实验中得到物理毫米坐标。</w:t>
      </w:r>
    </w:p>
    <w:p>
      <w:pPr>
        <w:pStyle w:val="ListBullet"/>
      </w:pPr>
      <w:r>
        <w:t>软件必须分离：像素坐标、校正后像素坐标、几何模型坐标和物理世界坐标；每种结果随字段标注 coordinate_frame 和 unit。</w:t>
      </w:r>
    </w:p>
    <w:p>
      <w:pPr>
        <w:pStyle w:val="ListBullet"/>
      </w:pPr>
      <w:r>
        <w:t>对方至少提供相机内参/畸变、镜面夹角、镜面位置、实际空间尺度、视频视角/ROI；若要报告物理3D尺度，还需建立可验证的像素到物理坐标映射。</w:t>
      </w:r>
    </w:p>
    <w:p>
      <w:pPr>
        <w:pStyle w:val="ListBullet"/>
      </w:pPr>
      <w:r>
        <w:t>玻璃/水界面折射可能产生偏差；如未建模或未验证，应明确标为几何简化模型结果。</w:t>
      </w:r>
    </w:p>
    <w:p>
      <w:pPr>
        <w:pStyle w:val="ListBullet"/>
      </w:pPr>
      <w:r>
        <w:t>先以理想模型和已知三维点进行逆向一致性单元测试，再用实际标定与参考点进行验证。</w:t>
      </w:r>
    </w:p>
    <w:p>
      <w:pPr>
        <w:pStyle w:val="Heading2"/>
      </w:pPr>
      <w:r>
        <w:t>4.7 M6：行为识别、结果展示与评估</w:t>
      </w:r>
    </w:p>
    <w:p>
      <w:r>
        <w:t>【论文依据：第253页表1】论文讨论：跳出水面（z&gt;h）、在水面持续漂浮（z=h且持续&gt;15s）、狂游（速度&gt;阈值或角速度&gt;阈值）。论文给出h=182、v阈值45、角速度阈值1.7等特定实验条件数据。</w:t>
      </w:r>
    </w:p>
    <w:p>
      <w:pPr>
        <w:pStyle w:val="ListBullet"/>
      </w:pPr>
      <w:r>
        <w:t>规则作为可配置策略；实际结果不能把“z==h”直接浮点精确比较，需设置高度容差和时间窗口。</w:t>
      </w:r>
    </w:p>
    <w:p>
      <w:pPr>
        <w:pStyle w:val="ListBullet"/>
      </w:pPr>
      <w:r>
        <w:t>自动预测标签需与人工参考标签区分；规划书仅列出行为标签数据要求，未定义其独立真值标注流程，需与实验人员补充确认。</w:t>
      </w:r>
    </w:p>
    <w:p>
      <w:pPr>
        <w:pStyle w:val="ListBullet"/>
      </w:pPr>
      <w:r>
        <w:t>输出：带检测/质心/轨迹的MP4、foreground PNG、逐帧CSV、3D轨迹PNG、速度与角速度曲线PNG、事件CSV。</w:t>
      </w:r>
    </w:p>
    <w:p>
      <w:pPr>
        <w:pStyle w:val="ListBullet"/>
      </w:pPr>
      <w:r>
        <w:t>性能评估：若具有人为标注，可计算分割IoU/Precision/Recall、质心误差、轨迹中断率、事件级查准/查全等；无人工真值不能声称识别准确率。</w:t>
      </w:r>
    </w:p>
    <w:p>
      <w:pPr>
        <w:pStyle w:val="Heading1"/>
      </w:pPr>
      <w:r>
        <w:t>5. 输入数据规范：请实验负责人交付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</w:trPr>
        <w:tc>
          <w:tcPr>
            <w:tcW w:type="dxa" w:w="737"/>
            <w:shd w:fill="E3EEF2"/>
            <w:vAlign w:val="center"/>
          </w:tcPr>
          <w:p>
            <w:pPr>
              <w:spacing w:after="40" w:before="40" w:line="271" w:lineRule="auto"/>
            </w:pPr>
            <w:r>
              <w:rPr>
                <w:b/>
                <w:color w:val="1D3753"/>
                <w:sz w:val="17"/>
              </w:rPr>
              <w:t>优先级</w:t>
            </w:r>
          </w:p>
        </w:tc>
        <w:tc>
          <w:tcPr>
            <w:tcW w:type="dxa" w:w="2438"/>
            <w:shd w:fill="E3EEF2"/>
            <w:vAlign w:val="center"/>
          </w:tcPr>
          <w:p>
            <w:pPr>
              <w:spacing w:after="40" w:before="40" w:line="271" w:lineRule="auto"/>
            </w:pPr>
            <w:r>
              <w:rPr>
                <w:b/>
                <w:color w:val="1D3753"/>
                <w:sz w:val="17"/>
              </w:rPr>
              <w:t>数据文件/信息</w:t>
            </w:r>
          </w:p>
        </w:tc>
        <w:tc>
          <w:tcPr>
            <w:tcW w:type="dxa" w:w="6066"/>
            <w:shd w:fill="E3EEF2"/>
            <w:vAlign w:val="center"/>
          </w:tcPr>
          <w:p>
            <w:pPr>
              <w:spacing w:after="40" w:before="40" w:line="271" w:lineRule="auto"/>
            </w:pPr>
            <w:r>
              <w:rPr>
                <w:b/>
                <w:color w:val="1D3753"/>
                <w:sz w:val="17"/>
              </w:rPr>
              <w:t>用途与最低约束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P0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原始视频（MP4/AVI等）</w:t>
            </w:r>
          </w:p>
        </w:tc>
        <w:tc>
          <w:tcPr>
            <w:tcW w:type="dxa" w:w="6066"/>
            <w:vAlign w:val="center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全画面保留实体鱼+镜像鱼；提供文件、录制时长、帧率、分辨率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6F9FA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P0</w:t>
            </w:r>
          </w:p>
        </w:tc>
        <w:tc>
          <w:tcPr>
            <w:tcW w:type="dxa" w:w="2438"/>
            <w:vAlign w:val="center"/>
            <w:shd w:fill="F6F9FA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视频时间信息</w:t>
            </w:r>
          </w:p>
        </w:tc>
        <w:tc>
          <w:tcPr>
            <w:tcW w:type="dxa" w:w="6066"/>
            <w:vAlign w:val="center"/>
            <w:shd w:fill="F6F9FA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帧率或逐帧时间戳；若有掉帧需明确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P0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装置几何记录</w:t>
            </w:r>
          </w:p>
        </w:tc>
        <w:tc>
          <w:tcPr>
            <w:tcW w:type="dxa" w:w="6066"/>
            <w:vAlign w:val="center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镜面实际角度和位置、鱼缸尺寸、水面高度、固定点/尺度参考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6F9FA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P0</w:t>
            </w:r>
          </w:p>
        </w:tc>
        <w:tc>
          <w:tcPr>
            <w:tcW w:type="dxa" w:w="2438"/>
            <w:vAlign w:val="center"/>
            <w:shd w:fill="F6F9FA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相机标定</w:t>
            </w:r>
          </w:p>
        </w:tc>
        <w:tc>
          <w:tcPr>
            <w:tcW w:type="dxa" w:w="6066"/>
            <w:vAlign w:val="center"/>
            <w:shd w:fill="F6F9FA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内参矩阵、畸变系数、图像分辨率、重投影误差；最好同时提供标定原图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P1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可代表真实情况的短测试视频</w:t>
            </w:r>
          </w:p>
        </w:tc>
        <w:tc>
          <w:tcPr>
            <w:tcW w:type="dxa" w:w="6066"/>
            <w:vAlign w:val="center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即使正式实验未完成，也可用于验证ROI、反光、鱼像尺度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6F9FA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P1</w:t>
            </w:r>
          </w:p>
        </w:tc>
        <w:tc>
          <w:tcPr>
            <w:tcW w:type="dxa" w:w="2438"/>
            <w:vAlign w:val="center"/>
            <w:shd w:fill="F6F9FA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实验元数据</w:t>
            </w:r>
          </w:p>
        </w:tc>
        <w:tc>
          <w:tcPr>
            <w:tcW w:type="dxa" w:w="6066"/>
            <w:vAlign w:val="center"/>
            <w:shd w:fill="F6F9FA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鱼数量、鱼种、体长体重、光照、水温、水质、pH、溶氧及录制条件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P2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人工参考标注（协商）</w:t>
            </w:r>
          </w:p>
        </w:tc>
        <w:tc>
          <w:tcPr>
            <w:tcW w:type="dxa" w:w="6066"/>
            <w:vAlign w:val="center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分割mask/质心参考、异常行为时间段或复核记录</w:t>
            </w:r>
          </w:p>
        </w:tc>
      </w:tr>
    </w:tbl>
    <w:p>
      <w:pPr>
        <w:spacing w:before="100" w:after="160"/>
        <w:ind w:left="125" w:right="91"/>
      </w:pPr>
      <w:r>
        <w:rPr>
          <w:b/>
          <w:color w:val="177676"/>
        </w:rPr>
        <w:t>注意  规划书中“0.15像素标定误差”是对原论文结果的引用，应作为参考而非无条件验收目标；最终应记录新相机的实际重投影误差。</w:t>
      </w:r>
    </w:p>
    <w:p>
      <w:pPr>
        <w:pStyle w:val="Heading1"/>
      </w:pPr>
      <w:r>
        <w:t>6. 标准化数据文件与字段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/>
        </w:trPr>
        <w:tc>
          <w:tcPr>
            <w:tcW w:type="dxa" w:w="2891"/>
            <w:shd w:fill="E3EEF2"/>
            <w:vAlign w:val="center"/>
          </w:tcPr>
          <w:p>
            <w:pPr>
              <w:spacing w:after="40" w:before="40" w:line="271" w:lineRule="auto"/>
            </w:pPr>
            <w:r>
              <w:rPr>
                <w:b/>
                <w:color w:val="1D3753"/>
                <w:sz w:val="17"/>
              </w:rPr>
              <w:t>文件/目录（工程建议）</w:t>
            </w:r>
          </w:p>
        </w:tc>
        <w:tc>
          <w:tcPr>
            <w:tcW w:type="dxa" w:w="6350"/>
            <w:shd w:fill="E3EEF2"/>
            <w:vAlign w:val="center"/>
          </w:tcPr>
          <w:p>
            <w:pPr>
              <w:spacing w:after="40" w:before="40" w:line="271" w:lineRule="auto"/>
            </w:pPr>
            <w:r>
              <w:rPr>
                <w:b/>
                <w:color w:val="1D3753"/>
                <w:sz w:val="17"/>
              </w:rPr>
              <w:t>推荐字段或内容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data/raw/</w:t>
            </w:r>
          </w:p>
        </w:tc>
        <w:tc>
          <w:tcPr>
            <w:tcW w:type="dxa" w:w="6350"/>
            <w:vAlign w:val="center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原始视频、装置照片、标定文件；保持只读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6F9FA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data/metadata/session.yaml</w:t>
            </w:r>
          </w:p>
        </w:tc>
        <w:tc>
          <w:tcPr>
            <w:tcW w:type="dxa" w:w="6350"/>
            <w:vAlign w:val="center"/>
            <w:shd w:fill="F6F9FA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session_id、video、fps、resolution、fish_count、mirror_angle、ROI、units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data/calibration/</w:t>
            </w:r>
          </w:p>
        </w:tc>
        <w:tc>
          <w:tcPr>
            <w:tcW w:type="dxa" w:w="6350"/>
            <w:vAlign w:val="center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camera_matrix、distortion、image_size、geometry、quality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6F9FA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outputs/&lt;run_id&gt;/masks/</w:t>
            </w:r>
          </w:p>
        </w:tc>
        <w:tc>
          <w:tcPr>
            <w:tcW w:type="dxa" w:w="6350"/>
            <w:vAlign w:val="center"/>
            <w:shd w:fill="F6F9FA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按frame_id命名的前景PNG，0/255标准二值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detections.csv</w:t>
            </w:r>
          </w:p>
        </w:tc>
        <w:tc>
          <w:tcPr>
            <w:tcW w:type="dxa" w:w="6350"/>
            <w:vAlign w:val="center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frame_id,timestamp_s,view,object_id,x_px,y_px,area_px,valid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6F9FA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trajectory_3d.csv</w:t>
            </w:r>
          </w:p>
        </w:tc>
        <w:tc>
          <w:tcPr>
            <w:tcW w:type="dxa" w:w="6350"/>
            <w:vAlign w:val="center"/>
            <w:shd w:fill="F6F9FA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frame_id,timestamp_s,object_id,X,Y,Z,unit,coordinate_frame,valid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motion.csv</w:t>
            </w:r>
          </w:p>
        </w:tc>
        <w:tc>
          <w:tcPr>
            <w:tcW w:type="dxa" w:w="6350"/>
            <w:vAlign w:val="center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frame_id,timestamp_s,object_id,speed,angular_speed,unit,valid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6F9FA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events.csv</w:t>
            </w:r>
          </w:p>
        </w:tc>
        <w:tc>
          <w:tcPr>
            <w:tcW w:type="dxa" w:w="6350"/>
            <w:vAlign w:val="center"/>
            <w:shd w:fill="F6F9FA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object_id,behavior,start_s,end_s,rule_version,confidence_or_status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plots/ 与 overlay.mp4</w:t>
            </w:r>
          </w:p>
        </w:tc>
        <w:tc>
          <w:tcPr>
            <w:tcW w:type="dxa" w:w="6350"/>
            <w:vAlign w:val="center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三维轨迹、速度/角速度图、目标叠加可视化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6F9FA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run_manifest.json</w:t>
            </w:r>
          </w:p>
        </w:tc>
        <w:tc>
          <w:tcPr>
            <w:tcW w:type="dxa" w:w="6350"/>
            <w:vAlign w:val="center"/>
            <w:shd w:fill="F6F9FA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输入文件哈希或名称、代码版本、配置快照、异常日志</w:t>
            </w:r>
          </w:p>
        </w:tc>
      </w:tr>
    </w:tbl>
    <w:p>
      <w:r>
        <w:t>字段约束：时间单位统一秒；原始像素位置以px表示；估计3D轨迹如果尚未转换真实尺度，应使用“模型像素单位”并写明其定义；无效坐标使用NaN+valid=false，不能写成0；图像视角标签real/mirror固定。</w:t>
      </w:r>
    </w:p>
    <w:p>
      <w:pPr>
        <w:pStyle w:val="Heading1"/>
      </w:pPr>
      <w:r>
        <w:t>7. 开发顺序、里程碑与验收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</w:trPr>
        <w:tc>
          <w:tcPr>
            <w:tcW w:type="dxa" w:w="2324"/>
            <w:shd w:fill="E3EEF2"/>
            <w:vAlign w:val="center"/>
          </w:tcPr>
          <w:p>
            <w:pPr>
              <w:spacing w:after="40" w:before="40" w:line="271" w:lineRule="auto"/>
            </w:pPr>
            <w:r>
              <w:rPr>
                <w:b/>
                <w:color w:val="1D3753"/>
                <w:sz w:val="17"/>
              </w:rPr>
              <w:t>阶段</w:t>
            </w:r>
          </w:p>
        </w:tc>
        <w:tc>
          <w:tcPr>
            <w:tcW w:type="dxa" w:w="2381"/>
            <w:shd w:fill="E3EEF2"/>
            <w:vAlign w:val="center"/>
          </w:tcPr>
          <w:p>
            <w:pPr>
              <w:spacing w:after="40" w:before="40" w:line="271" w:lineRule="auto"/>
            </w:pPr>
            <w:r>
              <w:rPr>
                <w:b/>
                <w:color w:val="1D3753"/>
                <w:sz w:val="17"/>
              </w:rPr>
              <w:t>优先级 / 依赖</w:t>
            </w:r>
          </w:p>
        </w:tc>
        <w:tc>
          <w:tcPr>
            <w:tcW w:type="dxa" w:w="4535"/>
            <w:shd w:fill="E3EEF2"/>
            <w:vAlign w:val="center"/>
          </w:tcPr>
          <w:p>
            <w:pPr>
              <w:spacing w:after="40" w:before="40" w:line="271" w:lineRule="auto"/>
            </w:pPr>
            <w:r>
              <w:rPr>
                <w:b/>
                <w:color w:val="1D3753"/>
                <w:sz w:val="17"/>
              </w:rPr>
              <w:t>本阶段最低验收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S0 数据合同与工程框架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现在立即开始；无视频依赖</w:t>
            </w:r>
          </w:p>
        </w:tc>
        <w:tc>
          <w:tcPr>
            <w:tcW w:type="dxa" w:w="4535"/>
            <w:vAlign w:val="center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仓库可运行；配置解析；数据结构、时间戳/单位检查通过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6F9FA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S1 三维运动数学</w:t>
            </w:r>
          </w:p>
        </w:tc>
        <w:tc>
          <w:tcPr>
            <w:tcW w:type="dxa" w:w="2381"/>
            <w:vAlign w:val="center"/>
            <w:shd w:fill="F6F9FA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依赖S0；无视频依赖</w:t>
            </w:r>
          </w:p>
        </w:tc>
        <w:tc>
          <w:tcPr>
            <w:tcW w:type="dxa" w:w="4535"/>
            <w:vAlign w:val="center"/>
            <w:shd w:fill="F6F9FA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静止、匀速、转向、缺帧等单元测试通过，能生成三图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S2 合成视频与预处理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依赖S0；无真实视频依赖</w:t>
            </w:r>
          </w:p>
        </w:tc>
        <w:tc>
          <w:tcPr>
            <w:tcW w:type="dxa" w:w="4535"/>
            <w:vAlign w:val="center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合成双区域视频可读；中值/HSV/ROI接口有测试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6F9FA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S3 LBAdaptiveSOM与质心</w:t>
            </w:r>
          </w:p>
        </w:tc>
        <w:tc>
          <w:tcPr>
            <w:tcW w:type="dxa" w:w="2381"/>
            <w:vAlign w:val="center"/>
            <w:shd w:fill="F6F9FA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依赖S2</w:t>
            </w:r>
          </w:p>
        </w:tc>
        <w:tc>
          <w:tcPr>
            <w:tcW w:type="dxa" w:w="4535"/>
            <w:vAlign w:val="center"/>
            <w:shd w:fill="F6F9FA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生成前景mask、质心表；论文路线实现、参数记录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S4 跟踪、双视角匹配与3D几何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依赖S3；真实标定验证待后续</w:t>
            </w:r>
          </w:p>
        </w:tc>
        <w:tc>
          <w:tcPr>
            <w:tcW w:type="dxa" w:w="4535"/>
            <w:vAlign w:val="center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合成例可回归已知轨迹，单位与无效状态处理正确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6F9FA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S5 行为规则、可视化和集成</w:t>
            </w:r>
          </w:p>
        </w:tc>
        <w:tc>
          <w:tcPr>
            <w:tcW w:type="dxa" w:w="2381"/>
            <w:vAlign w:val="center"/>
            <w:shd w:fill="F6F9FA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依赖S1、S4</w:t>
            </w:r>
          </w:p>
        </w:tc>
        <w:tc>
          <w:tcPr>
            <w:tcW w:type="dxa" w:w="4535"/>
            <w:vAlign w:val="center"/>
            <w:shd w:fill="F6F9FA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模拟视频端到端完成，生成视频、CSV、图表和日志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S6 真实视频校准与验证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必须等待真实视频及标定</w:t>
            </w:r>
          </w:p>
        </w:tc>
        <w:tc>
          <w:tcPr>
            <w:tcW w:type="dxa" w:w="4535"/>
            <w:vAlign w:val="center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记录真实分割/跟踪效果、3D误差限制，版本冻结</w:t>
            </w:r>
          </w:p>
        </w:tc>
      </w:tr>
    </w:tbl>
    <w:p>
      <w:r>
        <w:t>推荐Codex运行节奏：一次只实现一个阶段，完成后运行测试、检查输出并提交代码；用户验收后进入下一阶段。不要一次生成整套未经验证的系统。</w:t>
      </w:r>
    </w:p>
    <w:p>
      <w:pPr>
        <w:pStyle w:val="Heading1"/>
      </w:pPr>
      <w:r>
        <w:t>8. 建议 Python 工程目录</w:t>
      </w:r>
    </w:p>
    <w:p>
      <w:pPr>
        <w:spacing w:before="80"/>
      </w:pPr>
      <w:r>
        <w:rPr>
          <w:rFonts w:ascii="DejaVu Sans Mono" w:hAnsi="DejaVu Sans Mono"/>
          <w:sz w:val="15"/>
        </w:rPr>
        <w:t>FishBehaviorAnalysis/</w:t>
        <w:br/>
      </w:r>
      <w:r>
        <w:rPr>
          <w:rFonts w:ascii="DejaVu Sans Mono" w:hAnsi="DejaVu Sans Mono"/>
          <w:sz w:val="15"/>
        </w:rPr>
        <w:t>├── configs/default.yaml</w:t>
        <w:br/>
      </w:r>
      <w:r>
        <w:rPr>
          <w:rFonts w:ascii="DejaVu Sans Mono" w:hAnsi="DejaVu Sans Mono"/>
          <w:sz w:val="15"/>
        </w:rPr>
        <w:t>├── data/raw/                         # 只读原始视频</w:t>
        <w:br/>
      </w:r>
      <w:r>
        <w:rPr>
          <w:rFonts w:ascii="DejaVu Sans Mono" w:hAnsi="DejaVu Sans Mono"/>
          <w:sz w:val="15"/>
        </w:rPr>
        <w:t>├── data/calibration/                 # 内参与装置几何</w:t>
        <w:br/>
      </w:r>
      <w:r>
        <w:rPr>
          <w:rFonts w:ascii="DejaVu Sans Mono" w:hAnsi="DejaVu Sans Mono"/>
          <w:sz w:val="15"/>
        </w:rPr>
        <w:t>├── data/synthetic/                   # 模拟轨迹与模拟视频</w:t>
        <w:br/>
      </w:r>
      <w:r>
        <w:rPr>
          <w:rFonts w:ascii="DejaVu Sans Mono" w:hAnsi="DejaVu Sans Mono"/>
          <w:sz w:val="15"/>
        </w:rPr>
        <w:t>├── src/fish3d/</w:t>
        <w:br/>
      </w:r>
      <w:r>
        <w:rPr>
          <w:rFonts w:ascii="DejaVu Sans Mono" w:hAnsi="DejaVu Sans Mono"/>
          <w:sz w:val="15"/>
        </w:rPr>
        <w:t>│   ├── schemas.py                    # 时间、视角、坐标与结果数据结构</w:t>
        <w:br/>
      </w:r>
      <w:r>
        <w:rPr>
          <w:rFonts w:ascii="DejaVu Sans Mono" w:hAnsi="DejaVu Sans Mono"/>
          <w:sz w:val="15"/>
        </w:rPr>
        <w:t>│   ├── io_video.py                   # 视频读写、时间戳</w:t>
        <w:br/>
      </w:r>
      <w:r>
        <w:rPr>
          <w:rFonts w:ascii="DejaVu Sans Mono" w:hAnsi="DejaVu Sans Mono"/>
          <w:sz w:val="15"/>
        </w:rPr>
        <w:t>│   ├── preprocessing.py              # 去畸变、中值、HSV、ROI</w:t>
        <w:br/>
      </w:r>
      <w:r>
        <w:rPr>
          <w:rFonts w:ascii="DejaVu Sans Mono" w:hAnsi="DejaVu Sans Mono"/>
          <w:sz w:val="15"/>
        </w:rPr>
        <w:t>│   ├── lbadaptive_som.py             # 原论文背景建模算法</w:t>
        <w:br/>
      </w:r>
      <w:r>
        <w:rPr>
          <w:rFonts w:ascii="DejaVu Sans Mono" w:hAnsi="DejaVu Sans Mono"/>
          <w:sz w:val="15"/>
        </w:rPr>
        <w:t>│   ├── centroid.py                   # 前景区域与质心</w:t>
        <w:br/>
      </w:r>
      <w:r>
        <w:rPr>
          <w:rFonts w:ascii="DejaVu Sans Mono" w:hAnsi="DejaVu Sans Mono"/>
          <w:sz w:val="15"/>
        </w:rPr>
        <w:t>│   ├── tracking.py                   # 逐帧跟踪与关联</w:t>
        <w:br/>
      </w:r>
      <w:r>
        <w:rPr>
          <w:rFonts w:ascii="DejaVu Sans Mono" w:hAnsi="DejaVu Sans Mono"/>
          <w:sz w:val="15"/>
        </w:rPr>
        <w:t>│   ├── geometry.py                   # 平面镜3D重建/标定接口</w:t>
        <w:br/>
      </w:r>
      <w:r>
        <w:rPr>
          <w:rFonts w:ascii="DejaVu Sans Mono" w:hAnsi="DejaVu Sans Mono"/>
          <w:sz w:val="15"/>
        </w:rPr>
        <w:t>│   ├── motion.py                     # 轨迹、速度、角速度</w:t>
        <w:br/>
      </w:r>
      <w:r>
        <w:rPr>
          <w:rFonts w:ascii="DejaVu Sans Mono" w:hAnsi="DejaVu Sans Mono"/>
          <w:sz w:val="15"/>
        </w:rPr>
        <w:t>│   ├── behavior.py                   # 行为事件规则</w:t>
        <w:br/>
      </w:r>
      <w:r>
        <w:rPr>
          <w:rFonts w:ascii="DejaVu Sans Mono" w:hAnsi="DejaVu Sans Mono"/>
          <w:sz w:val="15"/>
        </w:rPr>
        <w:t>│   └── visualization.py              # 图表、视频结果</w:t>
        <w:br/>
      </w:r>
      <w:r>
        <w:rPr>
          <w:rFonts w:ascii="DejaVu Sans Mono" w:hAnsi="DejaVu Sans Mono"/>
          <w:sz w:val="15"/>
        </w:rPr>
        <w:t>├── scripts/                           # 合成数据与批处理入口</w:t>
        <w:br/>
      </w:r>
      <w:r>
        <w:rPr>
          <w:rFonts w:ascii="DejaVu Sans Mono" w:hAnsi="DejaVu Sans Mono"/>
          <w:sz w:val="15"/>
        </w:rPr>
        <w:t>├── tests/                             # 单元、集成测试</w:t>
        <w:br/>
      </w:r>
      <w:r>
        <w:rPr>
          <w:rFonts w:ascii="DejaVu Sans Mono" w:hAnsi="DejaVu Sans Mono"/>
          <w:sz w:val="15"/>
        </w:rPr>
        <w:t>├── outputs/                           # 每次运行独立目录</w:t>
        <w:br/>
      </w:r>
      <w:r>
        <w:rPr>
          <w:rFonts w:ascii="DejaVu Sans Mono" w:hAnsi="DejaVu Sans Mono"/>
          <w:sz w:val="15"/>
        </w:rPr>
        <w:t>├── pyproject.toml</w:t>
        <w:br/>
      </w:r>
      <w:r>
        <w:rPr>
          <w:rFonts w:ascii="DejaVu Sans Mono" w:hAnsi="DejaVu Sans Mono"/>
          <w:sz w:val="15"/>
        </w:rPr>
        <w:t>└── README.md</w:t>
      </w:r>
    </w:p>
    <w:p>
      <w:pPr>
        <w:pStyle w:val="Heading1"/>
      </w:pPr>
      <w:r>
        <w:t>9. 公式、参数与潜在歧义核对表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</w:trPr>
        <w:tc>
          <w:tcPr>
            <w:tcW w:type="dxa" w:w="2268"/>
            <w:shd w:fill="E3EEF2"/>
            <w:vAlign w:val="center"/>
          </w:tcPr>
          <w:p>
            <w:pPr>
              <w:spacing w:after="40" w:before="40" w:line="271" w:lineRule="auto"/>
            </w:pPr>
            <w:r>
              <w:rPr>
                <w:b/>
                <w:color w:val="1D3753"/>
                <w:sz w:val="17"/>
              </w:rPr>
              <w:t>来源位置</w:t>
            </w:r>
          </w:p>
        </w:tc>
        <w:tc>
          <w:tcPr>
            <w:tcW w:type="dxa" w:w="3005"/>
            <w:shd w:fill="E3EEF2"/>
            <w:vAlign w:val="center"/>
          </w:tcPr>
          <w:p>
            <w:pPr>
              <w:spacing w:after="40" w:before="40" w:line="271" w:lineRule="auto"/>
            </w:pPr>
            <w:r>
              <w:rPr>
                <w:b/>
                <w:color w:val="1D3753"/>
                <w:sz w:val="17"/>
              </w:rPr>
              <w:t>需核对事项</w:t>
            </w:r>
          </w:p>
        </w:tc>
        <w:tc>
          <w:tcPr>
            <w:tcW w:type="dxa" w:w="3969"/>
            <w:shd w:fill="E3EEF2"/>
            <w:vAlign w:val="center"/>
          </w:tcPr>
          <w:p>
            <w:pPr>
              <w:spacing w:after="40" w:before="40" w:line="271" w:lineRule="auto"/>
            </w:pPr>
            <w:r>
              <w:rPr>
                <w:b/>
                <w:color w:val="1D3753"/>
                <w:sz w:val="17"/>
              </w:rPr>
              <w:t>执行约束 / 建议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论文p250—251 / 规划书p14—15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a既用于示意几何距离，也用于图像区域分界；Z=285−x′属于特定理想像素模型。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分别命名镜面几何偏移和split_x，不将裸像素坐标当毫米坐标。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6F9FA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规划书p16—17</w:t>
            </w:r>
          </w:p>
        </w:tc>
        <w:tc>
          <w:tcPr>
            <w:tcW w:type="dxa" w:w="3005"/>
            <w:vAlign w:val="center"/>
            <w:shd w:fill="F6F9FA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位移式展示只包含X、Y，没有Z；Δt定义为2/fps，但公式又写2Δt。</w:t>
            </w:r>
          </w:p>
        </w:tc>
        <w:tc>
          <w:tcPr>
            <w:tcW w:type="dxa" w:w="3969"/>
            <w:vAlign w:val="center"/>
            <w:shd w:fill="F6F9FA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三维范数必须含Z；实际时间差以t_(i+1)−t_(i−1)为分母，不重复乘2。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论文p251—252 / 规划书p9—12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HSV特征距离和阈值依赖数值范围；K、学习率等需要确定。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定义色相映射、单位尺度和参数清单，并在试验日志中固定。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6F9FA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论文p253 表1 / 规划书p1</w:t>
            </w:r>
          </w:p>
        </w:tc>
        <w:tc>
          <w:tcPr>
            <w:tcW w:type="dxa" w:w="3005"/>
            <w:vAlign w:val="center"/>
            <w:shd w:fill="F6F9FA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漂浮判断 z=h；行为数据虽列出但无人工真值流程。</w:t>
            </w:r>
          </w:p>
        </w:tc>
        <w:tc>
          <w:tcPr>
            <w:tcW w:type="dxa" w:w="3969"/>
            <w:vAlign w:val="center"/>
            <w:shd w:fill="F6F9FA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高度容差+持续时长+阈值配置；与实验方确认人工核验机制。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规划书p2 与 p4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“摄像机正上方，也可按单摄像头+反射镜方式”表达不够统一。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实际装置应明确同帧双视角、镜面几何和ROI位置，不仅依靠文字描述。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6F9FA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论文p254 表2</w:t>
            </w:r>
          </w:p>
        </w:tc>
        <w:tc>
          <w:tcPr>
            <w:tcW w:type="dxa" w:w="3005"/>
            <w:vAlign w:val="center"/>
            <w:shd w:fill="F6F9FA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91.2%、85ms/帧是在原论文两帧抽样和具体环境下报告。</w:t>
            </w:r>
          </w:p>
        </w:tc>
        <w:tc>
          <w:tcPr>
            <w:tcW w:type="dxa" w:w="3969"/>
            <w:vAlign w:val="center"/>
            <w:shd w:fill="F6F9FA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仅作原文参考，不直接写入本系统验收指标或复现结论。</w:t>
            </w:r>
          </w:p>
        </w:tc>
      </w:tr>
    </w:tbl>
    <w:p>
      <w:pPr>
        <w:pStyle w:val="Heading1"/>
      </w:pPr>
      <w:r>
        <w:t>10. 首次开发任务（可直接交给 Codex）</w:t>
      </w:r>
    </w:p>
    <w:p>
      <w:r>
        <w:t>请先完成S0+S1；不要等待真实视频，不要开发GUI或训练深度学习模型。</w:t>
      </w:r>
    </w:p>
    <w:p>
      <w:pPr>
        <w:pStyle w:val="ListNumber"/>
      </w:pPr>
      <w:r>
        <w:t>新建模块化 Python 项目、pyproject.toml、README、默认配置、tests。</w:t>
      </w:r>
    </w:p>
    <w:p>
      <w:pPr>
        <w:pStyle w:val="ListNumber"/>
      </w:pPr>
      <w:r>
        <w:t>定义逐帧记录和3D轨迹数据结构（帧号、时间戳、坐标、单位、有效标记）。</w:t>
      </w:r>
    </w:p>
    <w:p>
      <w:pPr>
        <w:pStyle w:val="ListNumber"/>
      </w:pPr>
      <w:r>
        <w:t>实现距离、中心差分速度、三点方向角与角速度，并处理缺帧、静止、重复时间戳。</w:t>
      </w:r>
    </w:p>
    <w:p>
      <w:pPr>
        <w:pStyle w:val="ListNumber"/>
      </w:pPr>
      <w:r>
        <w:t>生成可重复的模拟轨迹，绘制3D轨迹、速度与角速度曲线，导出CSV。</w:t>
      </w:r>
    </w:p>
    <w:p>
      <w:pPr>
        <w:pStyle w:val="ListNumber"/>
      </w:pPr>
      <w:r>
        <w:t>实际运行pytest，附上测试通过/失败结果及运行命令；不要虚构测试结果。</w:t>
      </w:r>
    </w:p>
    <w:p>
      <w:pPr>
        <w:pStyle w:val="ListNumber"/>
      </w:pPr>
      <w:r>
        <w:t>写出下一阶段S2所需的接口列表，不提前声称真实3D算法完成。</w:t>
      </w:r>
    </w:p>
    <w:p>
      <w:pPr>
        <w:pStyle w:val="Heading1"/>
      </w:pPr>
      <w:r>
        <w:t>11. 尚待双方确认的关键问题</w:t>
      </w:r>
    </w:p>
    <w:p>
      <w:pPr>
        <w:pStyle w:val="ListBullet"/>
      </w:pPr>
      <w:r>
        <w:t>原始视频是否始终在同一帧内包含实体鱼和镜像鱼，画面中间分界线在哪？</w:t>
      </w:r>
    </w:p>
    <w:p>
      <w:pPr>
        <w:pStyle w:val="ListBullet"/>
      </w:pPr>
      <w:r>
        <w:t>实验相机真实型号、分辨率、帧率和视频编码；是否支持固定曝光/稳定光照？</w:t>
      </w:r>
    </w:p>
    <w:p>
      <w:pPr>
        <w:pStyle w:val="ListBullet"/>
      </w:pPr>
      <w:r>
        <w:t>能否提供可用于读取的相机标定结果（.mat/.xml/.json）及标定原图？</w:t>
      </w:r>
    </w:p>
    <w:p>
      <w:pPr>
        <w:pStyle w:val="ListBullet"/>
      </w:pPr>
      <w:r>
        <w:t>平面镜实际角度、位置、鱼缸尺寸、水深、水面相对坐标和尺度参考如何记录？</w:t>
      </w:r>
    </w:p>
    <w:p>
      <w:pPr>
        <w:pStyle w:val="ListBullet"/>
      </w:pPr>
      <w:r>
        <w:t>是否先拍1条鱼？后期是否需要多鱼身份跟踪？</w:t>
      </w:r>
    </w:p>
    <w:p>
      <w:pPr>
        <w:pStyle w:val="ListBullet"/>
      </w:pPr>
      <w:r>
        <w:t>需要何种行为作为最终考核：仅原论文三类，还是额外姿态/群体异常？</w:t>
      </w:r>
    </w:p>
    <w:p>
      <w:pPr>
        <w:pStyle w:val="ListBullet"/>
      </w:pPr>
      <w:r>
        <w:t>实验方能否提供一段短样本或人工复核行为时间段，作为第一批真实数据验证？</w:t>
      </w:r>
    </w:p>
    <w:p>
      <w:pPr>
        <w:pStyle w:val="Heading1"/>
      </w:pPr>
      <w:r>
        <w:t>12. 文献/文件依据</w:t>
      </w:r>
    </w:p>
    <w:p>
      <w:r>
        <w:t>[A] 汤一平、刘森森、石兴民、钟羽云：《基于3D计算机视觉的鱼类行为分析研究》，《高技术通讯》，2015，25(3)：249—256。重点：p250装置与图2；p251—252 LBAdaptiveSOM；p253行为规则；p254—255实验对比与轨迹。</w:t>
      </w:r>
    </w:p>
    <w:p>
      <w:r>
        <w:t>[B] 实验方：《关于〈基于3D计算机视觉的鱼类行为分析研究〉复现方法及设计》，18页，用户提供。重点：p1数据清单；p2—7装置/标定/采集；p8—12预处理/前景；p13—15质心/3D；p16—18运动分析。</w:t>
      </w:r>
    </w:p>
    <w:p>
      <w:r>
        <w:t>状态说明：本任务书依据给定材料编制，其中“工程设计”“数学实现澄清”“质量评估”部分是为了可复现与可交付所作的实现建议，不代表两份原始材料逐条承诺。</w:t>
      </w:r>
    </w:p>
    <w:p>
      <w:pPr>
        <w:pStyle w:val="Heading1"/>
      </w:pPr>
      <w:r>
        <w:t>附录A. 双方交接确认表（开始真实视频处理前）</w:t>
      </w:r>
    </w:p>
    <w:p>
      <w:r>
        <w:t>本表是工程对接建议，不是原论文中的表格。每收到一份材料，就在项目的 session.yaml 或交接记录中标记版本和日期。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</w:trPr>
        <w:tc>
          <w:tcPr>
            <w:tcW w:type="dxa" w:w="1191"/>
            <w:shd w:fill="E3EEF2"/>
            <w:vAlign w:val="center"/>
          </w:tcPr>
          <w:p>
            <w:pPr>
              <w:spacing w:after="40" w:before="40" w:line="271" w:lineRule="auto"/>
            </w:pPr>
            <w:r>
              <w:rPr>
                <w:b/>
                <w:color w:val="1D3753"/>
                <w:sz w:val="17"/>
              </w:rPr>
              <w:t>项目</w:t>
            </w:r>
          </w:p>
        </w:tc>
        <w:tc>
          <w:tcPr>
            <w:tcW w:type="dxa" w:w="3798"/>
            <w:shd w:fill="E3EEF2"/>
            <w:vAlign w:val="center"/>
          </w:tcPr>
          <w:p>
            <w:pPr>
              <w:spacing w:after="40" w:before="40" w:line="271" w:lineRule="auto"/>
            </w:pPr>
            <w:r>
              <w:rPr>
                <w:b/>
                <w:color w:val="1D3753"/>
                <w:sz w:val="17"/>
              </w:rPr>
              <w:t>实验人员交付内容</w:t>
            </w:r>
          </w:p>
        </w:tc>
        <w:tc>
          <w:tcPr>
            <w:tcW w:type="dxa" w:w="4252"/>
            <w:shd w:fill="E3EEF2"/>
            <w:vAlign w:val="center"/>
          </w:tcPr>
          <w:p>
            <w:pPr>
              <w:spacing w:after="40" w:before="40" w:line="271" w:lineRule="auto"/>
            </w:pPr>
            <w:r>
              <w:rPr>
                <w:b/>
                <w:color w:val="1D3753"/>
                <w:sz w:val="17"/>
              </w:rPr>
              <w:t>算法侧检查项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视频</w:t>
            </w:r>
          </w:p>
        </w:tc>
        <w:tc>
          <w:tcPr>
            <w:tcW w:type="dxa" w:w="3798"/>
            <w:vAlign w:val="center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原始视频文件与采集参数</w:t>
            </w:r>
          </w:p>
        </w:tc>
        <w:tc>
          <w:tcPr>
            <w:tcW w:type="dxa" w:w="4252"/>
            <w:vAlign w:val="center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双视角是否同帧、画面是否完整、帧率可读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6F9FA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标定</w:t>
            </w:r>
          </w:p>
        </w:tc>
        <w:tc>
          <w:tcPr>
            <w:tcW w:type="dxa" w:w="3798"/>
            <w:vAlign w:val="center"/>
            <w:shd w:fill="F6F9FA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相机参数文件及可选棋盘格图像</w:t>
            </w:r>
          </w:p>
        </w:tc>
        <w:tc>
          <w:tcPr>
            <w:tcW w:type="dxa" w:w="4252"/>
            <w:vAlign w:val="center"/>
            <w:shd w:fill="F6F9FA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能否读取参数、尺寸是否与视频一致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装置</w:t>
            </w:r>
          </w:p>
        </w:tc>
        <w:tc>
          <w:tcPr>
            <w:tcW w:type="dxa" w:w="3798"/>
            <w:vAlign w:val="center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镜面/鱼缸/水位尺寸及装置照片</w:t>
            </w:r>
          </w:p>
        </w:tc>
        <w:tc>
          <w:tcPr>
            <w:tcW w:type="dxa" w:w="4252"/>
            <w:vAlign w:val="center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坐标系约定、镜面角度和实际尺度能否闭合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6F9FA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观测对象</w:t>
            </w:r>
          </w:p>
        </w:tc>
        <w:tc>
          <w:tcPr>
            <w:tcW w:type="dxa" w:w="3798"/>
            <w:vAlign w:val="center"/>
            <w:shd w:fill="F6F9FA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单鱼或多鱼、实验记录</w:t>
            </w:r>
          </w:p>
        </w:tc>
        <w:tc>
          <w:tcPr>
            <w:tcW w:type="dxa" w:w="4252"/>
            <w:vAlign w:val="center"/>
            <w:shd w:fill="F6F9FA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确定单目标/多目标算法分支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参考数据</w:t>
            </w:r>
          </w:p>
        </w:tc>
        <w:tc>
          <w:tcPr>
            <w:tcW w:type="dxa" w:w="3798"/>
            <w:vAlign w:val="center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可选人工质心或行为时间段</w:t>
            </w:r>
          </w:p>
        </w:tc>
        <w:tc>
          <w:tcPr>
            <w:tcW w:type="dxa" w:w="4252"/>
            <w:vAlign w:val="center"/>
          </w:tcPr>
          <w:p>
            <w:pPr>
              <w:spacing w:after="40" w:before="40" w:line="271" w:lineRule="auto"/>
            </w:pPr>
            <w:r>
              <w:rPr>
                <w:sz w:val="17"/>
              </w:rPr>
              <w:t>明确是否足以计算客观评价指标</w:t>
            </w:r>
          </w:p>
        </w:tc>
      </w:tr>
    </w:tbl>
    <w:p>
      <w:pPr>
        <w:pStyle w:val="Heading1"/>
      </w:pPr>
      <w:r>
        <w:t>附录B. 首版验收时必须回答的五个问题</w:t>
      </w:r>
    </w:p>
    <w:p>
      <w:r>
        <w:t>1. 不用真实视频，项目能否在一条命令下生成可复现的模拟轨迹CSV和三张曲线图？</w:t>
      </w:r>
    </w:p>
    <w:p>
      <w:r>
        <w:t>2. 当鱼静止、鱼消失、重复时间戳或单位不一致时，程序能否给出正确或明确的无效结果？</w:t>
      </w:r>
    </w:p>
    <w:p>
      <w:r>
        <w:t>3. 能否区分实体鱼与镜像鱼质心、保留原始帧坐标，并避免把ROI局部坐标直接当世界坐标？</w:t>
      </w:r>
    </w:p>
    <w:p>
      <w:r>
        <w:t>4. 几何重建能否说明输出单位与坐标系，避免将理想模型输出冒充物理毫米结果？</w:t>
      </w:r>
    </w:p>
    <w:p>
      <w:r>
        <w:t>5. 不同配置参数运行后，是否可以根据run_manifest追溯输入、输出和算法版本？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19" w:bottom="1134" w:left="1332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E6C78"/>
        <w:sz w:val="16"/>
      </w:rPr>
      <w:t xml:space="preserve">内部开发与数据对接文件  ·  第 </w:t>
    </w:r>
    <w:fldSimple w:instr="PAGE"/>
    <w:r>
      <w:rPr>
        <w:color w:val="5E6C78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E6C78"/>
        <w:sz w:val="16"/>
      </w:rPr>
      <w:t>鱼类三维行为分析  |  计算机算法开发任务书  ·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5" w:lineRule="auto"/>
    </w:pPr>
    <w:rPr>
      <w:rFonts w:ascii="Noto Sans CJK SC" w:hAnsi="Noto Sans CJK SC" w:eastAsia="Noto Sans CJK SC" w:cs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1D3753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1D375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1D375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320"/>
      <w:contextualSpacing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color w:val="1D375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 w:cs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 w:cs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Small">
    <w:name w:val="CaptionSmall"/>
    <w:pPr>
      <w:spacing w:after="120"/>
    </w:pPr>
    <w:rPr>
      <w:rFonts w:ascii="Noto Sans CJK SC" w:hAnsi="Noto Sans CJK SC" w:eastAsia="Noto Sans CJK SC" w:cs="Noto Sans CJK SC"/>
      <w:color w:val="5E6C78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鱼类三维行为分析——计算机算法开发任务书</dc:title>
  <dc:subject>原论文与实验方规划书整合；算法开发任务与交付</dc:subject>
  <dc:creator>python-docx</dc:creator>
  <cp:keywords>计算机视觉, 鱼类行为, LBAdaptiveSOM, 3D轨迹, Codex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