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CE10A9" w14:textId="029E4E0A" w:rsidR="00CA4F46" w:rsidRDefault="00CA4F46" w:rsidP="00CA4F46">
      <w:pPr>
        <w:pStyle w:val="Title"/>
      </w:pPr>
      <w:bookmarkStart w:id="0" w:name="_GoBack"/>
      <w:bookmarkEnd w:id="0"/>
      <w:r>
        <w:t>Open Questions Documentation</w:t>
      </w:r>
    </w:p>
    <w:p w14:paraId="0E247854" w14:textId="77777777" w:rsidR="00CA4F46" w:rsidRPr="00CA4F46" w:rsidRDefault="00CA4F46" w:rsidP="00CA4F46"/>
    <w:p w14:paraId="518E1F7E" w14:textId="7836705D" w:rsidR="00CA4F46" w:rsidRDefault="00CA4F46" w:rsidP="00CA4F46">
      <w:r>
        <w:t>By Darla Poling</w:t>
      </w:r>
    </w:p>
    <w:p w14:paraId="5B8186E3" w14:textId="1CD8903F" w:rsidR="00CA4F46" w:rsidRDefault="00CA4F46" w:rsidP="00CA4F46">
      <w:r>
        <w:t>7/9/2026</w:t>
      </w:r>
    </w:p>
    <w:p w14:paraId="3B2293FC" w14:textId="2828E5D1" w:rsidR="00CA4F46" w:rsidRDefault="00CA4F46" w:rsidP="00CA4F46">
      <w:r>
        <w:t>Version 1.0</w:t>
      </w:r>
    </w:p>
    <w:p w14:paraId="44054F5A" w14:textId="1AC21407" w:rsidR="00CA4F46" w:rsidRDefault="00CA4F46">
      <w:r>
        <w:br w:type="page"/>
      </w:r>
    </w:p>
    <w:p w14:paraId="22870C56" w14:textId="77777777" w:rsidR="00CA4F46" w:rsidRPr="00CA4F46" w:rsidRDefault="00CA4F46" w:rsidP="00CA4F46"/>
    <w:p w14:paraId="4F8790CE" w14:textId="128267A0" w:rsidR="00CA4F46" w:rsidRPr="00325B73" w:rsidRDefault="00CA4F46" w:rsidP="00CA4F46">
      <w:pPr>
        <w:pStyle w:val="Heading1"/>
      </w:pPr>
      <w:r>
        <w:t>Overview:</w:t>
      </w:r>
    </w:p>
    <w:p w14:paraId="154E36C6" w14:textId="243DC834" w:rsidR="00A14A85" w:rsidRDefault="00A14A85">
      <w:pPr>
        <w:rPr>
          <w:rFonts w:asciiTheme="majorHAnsi" w:hAnsiTheme="majorHAnsi" w:cstheme="majorHAnsi"/>
        </w:rPr>
      </w:pPr>
      <w:r>
        <w:rPr>
          <w:rFonts w:asciiTheme="majorHAnsi" w:hAnsiTheme="majorHAnsi" w:cstheme="majorHAnsi"/>
        </w:rPr>
        <w:t>T</w:t>
      </w:r>
      <w:r w:rsidRPr="00A14A85">
        <w:rPr>
          <w:rFonts w:asciiTheme="majorHAnsi" w:hAnsiTheme="majorHAnsi" w:cstheme="majorHAnsi"/>
        </w:rPr>
        <w:t>his document accompanies the Business Requirements Document (BRD) v1.1 for the Employee Equipment Request Modernization project. It captures how open questions from the BRD were categorized and resolved to enable downstream artifacts, specifically the Requirements Traceability Matrix (RTM).</w:t>
      </w:r>
      <w:r>
        <w:rPr>
          <w:rFonts w:asciiTheme="majorHAnsi" w:hAnsiTheme="majorHAnsi" w:cstheme="majorHAnsi"/>
        </w:rPr>
        <w:t xml:space="preserve"> </w:t>
      </w:r>
    </w:p>
    <w:p w14:paraId="71362F81" w14:textId="197204D0" w:rsidR="00CA4F46" w:rsidRDefault="00CA4F46" w:rsidP="00CA4F46">
      <w:pPr>
        <w:pStyle w:val="Heading1"/>
      </w:pPr>
      <w:r>
        <w:t>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799"/>
        <w:gridCol w:w="1236"/>
        <w:gridCol w:w="1771"/>
      </w:tblGrid>
      <w:tr w:rsidR="00CA4F46" w14:paraId="333904D2" w14:textId="77777777" w:rsidTr="00CA4F46">
        <w:trPr>
          <w:tblHeader/>
          <w:tblCellSpacing w:w="15" w:type="dxa"/>
        </w:trPr>
        <w:tc>
          <w:tcPr>
            <w:tcW w:w="0" w:type="auto"/>
            <w:vAlign w:val="center"/>
            <w:hideMark/>
          </w:tcPr>
          <w:p w14:paraId="6903584B" w14:textId="77777777" w:rsidR="00CA4F46" w:rsidRPr="00CA4F46" w:rsidRDefault="00CA4F46">
            <w:pPr>
              <w:jc w:val="center"/>
              <w:rPr>
                <w:rFonts w:asciiTheme="majorHAnsi" w:hAnsiTheme="majorHAnsi" w:cstheme="majorHAnsi"/>
                <w:b/>
                <w:bCs/>
              </w:rPr>
            </w:pPr>
            <w:r w:rsidRPr="00CA4F46">
              <w:rPr>
                <w:rFonts w:asciiTheme="majorHAnsi" w:hAnsiTheme="majorHAnsi" w:cstheme="majorHAnsi"/>
                <w:b/>
                <w:bCs/>
              </w:rPr>
              <w:t>Total Open Questions</w:t>
            </w:r>
          </w:p>
        </w:tc>
        <w:tc>
          <w:tcPr>
            <w:tcW w:w="0" w:type="auto"/>
            <w:vAlign w:val="center"/>
            <w:hideMark/>
          </w:tcPr>
          <w:p w14:paraId="405F142E" w14:textId="77777777" w:rsidR="00CA4F46" w:rsidRPr="00CA4F46" w:rsidRDefault="00CA4F46">
            <w:pPr>
              <w:jc w:val="center"/>
              <w:rPr>
                <w:rFonts w:asciiTheme="majorHAnsi" w:hAnsiTheme="majorHAnsi" w:cstheme="majorHAnsi"/>
                <w:b/>
                <w:bCs/>
              </w:rPr>
            </w:pPr>
            <w:r w:rsidRPr="00CA4F46">
              <w:rPr>
                <w:rFonts w:asciiTheme="majorHAnsi" w:hAnsiTheme="majorHAnsi" w:cstheme="majorHAnsi"/>
                <w:b/>
                <w:bCs/>
              </w:rPr>
              <w:t>Blocking</w:t>
            </w:r>
          </w:p>
        </w:tc>
        <w:tc>
          <w:tcPr>
            <w:tcW w:w="0" w:type="auto"/>
            <w:vAlign w:val="center"/>
            <w:hideMark/>
          </w:tcPr>
          <w:p w14:paraId="1A9607DF" w14:textId="77777777" w:rsidR="00CA4F46" w:rsidRPr="00CA4F46" w:rsidRDefault="00CA4F46">
            <w:pPr>
              <w:jc w:val="center"/>
              <w:rPr>
                <w:rFonts w:asciiTheme="majorHAnsi" w:hAnsiTheme="majorHAnsi" w:cstheme="majorHAnsi"/>
                <w:b/>
                <w:bCs/>
              </w:rPr>
            </w:pPr>
            <w:r w:rsidRPr="00CA4F46">
              <w:rPr>
                <w:rFonts w:asciiTheme="majorHAnsi" w:hAnsiTheme="majorHAnsi" w:cstheme="majorHAnsi"/>
                <w:b/>
                <w:bCs/>
              </w:rPr>
              <w:t>Non-Blocking</w:t>
            </w:r>
          </w:p>
        </w:tc>
        <w:tc>
          <w:tcPr>
            <w:tcW w:w="0" w:type="auto"/>
            <w:vAlign w:val="center"/>
            <w:hideMark/>
          </w:tcPr>
          <w:p w14:paraId="08B8C3B7" w14:textId="77777777" w:rsidR="00CA4F46" w:rsidRPr="00CA4F46" w:rsidRDefault="00CA4F46">
            <w:pPr>
              <w:jc w:val="center"/>
              <w:rPr>
                <w:rFonts w:asciiTheme="majorHAnsi" w:hAnsiTheme="majorHAnsi" w:cstheme="majorHAnsi"/>
                <w:b/>
                <w:bCs/>
              </w:rPr>
            </w:pPr>
            <w:r w:rsidRPr="00CA4F46">
              <w:rPr>
                <w:rFonts w:asciiTheme="majorHAnsi" w:hAnsiTheme="majorHAnsi" w:cstheme="majorHAnsi"/>
                <w:b/>
                <w:bCs/>
              </w:rPr>
              <w:t>Assumptions Made</w:t>
            </w:r>
          </w:p>
        </w:tc>
      </w:tr>
      <w:tr w:rsidR="00CA4F46" w14:paraId="7FE0DB82" w14:textId="77777777" w:rsidTr="00CA4F46">
        <w:trPr>
          <w:tblCellSpacing w:w="15" w:type="dxa"/>
        </w:trPr>
        <w:tc>
          <w:tcPr>
            <w:tcW w:w="0" w:type="auto"/>
            <w:vAlign w:val="center"/>
            <w:hideMark/>
          </w:tcPr>
          <w:p w14:paraId="2D7AAEC0" w14:textId="77777777" w:rsidR="00CA4F46" w:rsidRPr="00CA4F46" w:rsidRDefault="00CA4F46">
            <w:pPr>
              <w:rPr>
                <w:rFonts w:asciiTheme="majorHAnsi" w:hAnsiTheme="majorHAnsi" w:cstheme="majorHAnsi"/>
              </w:rPr>
            </w:pPr>
            <w:r w:rsidRPr="00CA4F46">
              <w:rPr>
                <w:rFonts w:asciiTheme="majorHAnsi" w:hAnsiTheme="majorHAnsi" w:cstheme="majorHAnsi"/>
              </w:rPr>
              <w:t>10</w:t>
            </w:r>
          </w:p>
        </w:tc>
        <w:tc>
          <w:tcPr>
            <w:tcW w:w="0" w:type="auto"/>
            <w:vAlign w:val="center"/>
            <w:hideMark/>
          </w:tcPr>
          <w:p w14:paraId="568EDA02" w14:textId="77777777" w:rsidR="00CA4F46" w:rsidRPr="00CA4F46" w:rsidRDefault="00CA4F46">
            <w:pPr>
              <w:rPr>
                <w:rFonts w:asciiTheme="majorHAnsi" w:hAnsiTheme="majorHAnsi" w:cstheme="majorHAnsi"/>
              </w:rPr>
            </w:pPr>
            <w:r w:rsidRPr="00CA4F46">
              <w:rPr>
                <w:rFonts w:asciiTheme="majorHAnsi" w:hAnsiTheme="majorHAnsi" w:cstheme="majorHAnsi"/>
              </w:rPr>
              <w:t>6</w:t>
            </w:r>
          </w:p>
        </w:tc>
        <w:tc>
          <w:tcPr>
            <w:tcW w:w="0" w:type="auto"/>
            <w:vAlign w:val="center"/>
            <w:hideMark/>
          </w:tcPr>
          <w:p w14:paraId="414E6BE6" w14:textId="77777777" w:rsidR="00CA4F46" w:rsidRPr="00CA4F46" w:rsidRDefault="00CA4F46">
            <w:pPr>
              <w:rPr>
                <w:rFonts w:asciiTheme="majorHAnsi" w:hAnsiTheme="majorHAnsi" w:cstheme="majorHAnsi"/>
              </w:rPr>
            </w:pPr>
            <w:r w:rsidRPr="00CA4F46">
              <w:rPr>
                <w:rFonts w:asciiTheme="majorHAnsi" w:hAnsiTheme="majorHAnsi" w:cstheme="majorHAnsi"/>
              </w:rPr>
              <w:t>4</w:t>
            </w:r>
          </w:p>
        </w:tc>
        <w:tc>
          <w:tcPr>
            <w:tcW w:w="0" w:type="auto"/>
            <w:vAlign w:val="center"/>
            <w:hideMark/>
          </w:tcPr>
          <w:p w14:paraId="788E22FA" w14:textId="77777777" w:rsidR="00CA4F46" w:rsidRPr="00CA4F46" w:rsidRDefault="00CA4F46">
            <w:pPr>
              <w:rPr>
                <w:rFonts w:asciiTheme="majorHAnsi" w:hAnsiTheme="majorHAnsi" w:cstheme="majorHAnsi"/>
              </w:rPr>
            </w:pPr>
            <w:r w:rsidRPr="00CA4F46">
              <w:rPr>
                <w:rFonts w:asciiTheme="majorHAnsi" w:hAnsiTheme="majorHAnsi" w:cstheme="majorHAnsi"/>
              </w:rPr>
              <w:t>6</w:t>
            </w:r>
          </w:p>
        </w:tc>
      </w:tr>
    </w:tbl>
    <w:p w14:paraId="462F701C" w14:textId="77777777" w:rsidR="00CA4F46" w:rsidRDefault="00CA4F46">
      <w:pPr>
        <w:rPr>
          <w:rFonts w:asciiTheme="majorHAnsi" w:hAnsiTheme="majorHAnsi" w:cstheme="majorHAnsi"/>
        </w:rPr>
      </w:pPr>
    </w:p>
    <w:p w14:paraId="22D57D61" w14:textId="062E6747" w:rsidR="00CA4F46" w:rsidRDefault="00CA4F46" w:rsidP="00CA4F46">
      <w:pPr>
        <w:pStyle w:val="Heading1"/>
      </w:pPr>
      <w:r>
        <w:t>Open Questions:</w:t>
      </w:r>
    </w:p>
    <w:p w14:paraId="40260678" w14:textId="77193E96"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Who is the designated approver for non-standard equipment requests?</w:t>
      </w:r>
    </w:p>
    <w:p w14:paraId="0DD2EEC2"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What specifically qualifies as “standard” versus “non-standard” equipment?</w:t>
      </w:r>
    </w:p>
    <w:p w14:paraId="701E2EB0"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Should HR be notified when equipment is marked Completed?</w:t>
      </w:r>
    </w:p>
    <w:p w14:paraId="50F20834"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Should the system allow requests submitted fewer than five business days before the start date, and if so, under what conditions?</w:t>
      </w:r>
    </w:p>
    <w:p w14:paraId="70318CE0"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What specific reports and data fields does leadership need in the basic reporting view?</w:t>
      </w:r>
    </w:p>
    <w:p w14:paraId="37F67359"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Should managers receive automated notifications when a request’s status changes?</w:t>
      </w:r>
    </w:p>
    <w:p w14:paraId="04B3EE7C"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What is HR’s specific role in this process, if any?</w:t>
      </w:r>
    </w:p>
    <w:p w14:paraId="05D0B3A9"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Should new employees receive any communication or visibility into their equipment status?</w:t>
      </w:r>
    </w:p>
    <w:p w14:paraId="32891F1B" w14:textId="77777777" w:rsidR="00325B73" w:rsidRPr="00F803DA"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What is the process when a request is Cancelled — who can cancel and why?</w:t>
      </w:r>
    </w:p>
    <w:p w14:paraId="517B17F0" w14:textId="44D526F1" w:rsidR="00325B73" w:rsidRDefault="00325B73" w:rsidP="00325B73">
      <w:pPr>
        <w:numPr>
          <w:ilvl w:val="0"/>
          <w:numId w:val="1"/>
        </w:numPr>
        <w:spacing w:before="100" w:beforeAutospacing="1" w:after="100" w:afterAutospacing="1" w:line="240" w:lineRule="auto"/>
        <w:rPr>
          <w:rFonts w:asciiTheme="majorHAnsi" w:hAnsiTheme="majorHAnsi"/>
        </w:rPr>
      </w:pPr>
      <w:r w:rsidRPr="00F803DA">
        <w:rPr>
          <w:rFonts w:asciiTheme="majorHAnsi" w:hAnsiTheme="majorHAnsi"/>
        </w:rPr>
        <w:t>Which existing company tools are expected to support this process?</w:t>
      </w:r>
    </w:p>
    <w:p w14:paraId="4043C038" w14:textId="3F19360E" w:rsidR="00CA4F46" w:rsidRPr="00F803DA" w:rsidRDefault="00CA4F46" w:rsidP="00CA4F46">
      <w:pPr>
        <w:pStyle w:val="Heading1"/>
      </w:pPr>
      <w:r>
        <w:t>Analysis:</w:t>
      </w:r>
    </w:p>
    <w:p w14:paraId="7A5236D0" w14:textId="453B7EB8" w:rsidR="00325B73" w:rsidRDefault="00325B73">
      <w:pPr>
        <w:rPr>
          <w:rFonts w:asciiTheme="majorHAnsi" w:hAnsiTheme="majorHAnsi" w:cstheme="majorHAnsi"/>
        </w:rPr>
      </w:pPr>
      <w:r>
        <w:rPr>
          <w:rFonts w:asciiTheme="majorHAnsi" w:hAnsiTheme="majorHAnsi" w:cstheme="majorHAnsi"/>
        </w:rPr>
        <w:t xml:space="preserve">To deal with these open questions, I have decided to make assumptions for blocking questions and leave them unresolved if they are non-blocking questions. </w:t>
      </w:r>
      <w:r w:rsidR="00CA4F46" w:rsidRPr="00CA4F46">
        <w:rPr>
          <w:rFonts w:asciiTheme="majorHAnsi" w:hAnsiTheme="majorHAnsi" w:cstheme="majorHAnsi"/>
        </w:rPr>
        <w:t>Blocking questions prevent forward progress because a requirement, workflow, or downstream artifact (like an FR, TR, or test case) cannot be precisely defined without an answer. Non-Blocking questions are those where the project can proceed without resolution</w:t>
      </w:r>
      <w:r w:rsidR="00CA4F46">
        <w:rPr>
          <w:rFonts w:asciiTheme="majorHAnsi" w:hAnsiTheme="majorHAnsi" w:cstheme="majorHAnsi"/>
        </w:rPr>
        <w:t xml:space="preserve">, </w:t>
      </w:r>
      <w:r w:rsidR="00CA4F46" w:rsidRPr="00CA4F46">
        <w:rPr>
          <w:rFonts w:asciiTheme="majorHAnsi" w:hAnsiTheme="majorHAnsi" w:cstheme="majorHAnsi"/>
        </w:rPr>
        <w:t>either because the question relates to a feature outside the current scope, or because the answer does not affect core requirements.</w:t>
      </w:r>
    </w:p>
    <w:p w14:paraId="16792533" w14:textId="77777777" w:rsidR="00CA4F46" w:rsidRDefault="00CA4F46">
      <w:pPr>
        <w:rPr>
          <w:rFonts w:asciiTheme="majorHAnsi" w:hAnsiTheme="majorHAnsi" w:cstheme="majorHAnsi"/>
        </w:rPr>
      </w:pPr>
    </w:p>
    <w:tbl>
      <w:tblPr>
        <w:tblStyle w:val="PlainTable4"/>
        <w:tblW w:w="0" w:type="auto"/>
        <w:tblLook w:val="04A0" w:firstRow="1" w:lastRow="0" w:firstColumn="1" w:lastColumn="0" w:noHBand="0" w:noVBand="1"/>
      </w:tblPr>
      <w:tblGrid>
        <w:gridCol w:w="1067"/>
        <w:gridCol w:w="2296"/>
        <w:gridCol w:w="1240"/>
        <w:gridCol w:w="1674"/>
        <w:gridCol w:w="1789"/>
        <w:gridCol w:w="1294"/>
      </w:tblGrid>
      <w:tr w:rsidR="00CA4F46" w14:paraId="1E2FC9E9" w14:textId="348E3783" w:rsidTr="00CA4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3F0DC798" w14:textId="77777777" w:rsidR="00CA4F46" w:rsidRDefault="00CA4F46">
            <w:pPr>
              <w:rPr>
                <w:rFonts w:asciiTheme="majorHAnsi" w:hAnsiTheme="majorHAnsi" w:cstheme="majorHAnsi"/>
              </w:rPr>
            </w:pPr>
            <w:r>
              <w:rPr>
                <w:rFonts w:asciiTheme="majorHAnsi" w:hAnsiTheme="majorHAnsi" w:cstheme="majorHAnsi"/>
              </w:rPr>
              <w:t>Number</w:t>
            </w:r>
          </w:p>
        </w:tc>
        <w:tc>
          <w:tcPr>
            <w:tcW w:w="2344" w:type="dxa"/>
          </w:tcPr>
          <w:p w14:paraId="0EAED9C7" w14:textId="77777777" w:rsidR="00CA4F46" w:rsidRDefault="00CA4F4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Open Question</w:t>
            </w:r>
          </w:p>
        </w:tc>
        <w:tc>
          <w:tcPr>
            <w:tcW w:w="1260" w:type="dxa"/>
          </w:tcPr>
          <w:p w14:paraId="64E56CAD" w14:textId="77777777" w:rsidR="00CA4F46" w:rsidRDefault="00CA4F4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Blocking or Non-Blocking</w:t>
            </w:r>
          </w:p>
        </w:tc>
        <w:tc>
          <w:tcPr>
            <w:tcW w:w="1697" w:type="dxa"/>
          </w:tcPr>
          <w:p w14:paraId="50870A54" w14:textId="77777777" w:rsidR="00CA4F46" w:rsidRDefault="00CA4F4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Handling</w:t>
            </w:r>
          </w:p>
        </w:tc>
        <w:tc>
          <w:tcPr>
            <w:tcW w:w="1796" w:type="dxa"/>
          </w:tcPr>
          <w:p w14:paraId="67A41E6A" w14:textId="77777777" w:rsidR="00CA4F46" w:rsidRDefault="00CA4F4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Reason</w:t>
            </w:r>
          </w:p>
        </w:tc>
        <w:tc>
          <w:tcPr>
            <w:tcW w:w="1187" w:type="dxa"/>
          </w:tcPr>
          <w:p w14:paraId="4EF46F9C" w14:textId="3CC98AAA" w:rsidR="00CA4F46" w:rsidRDefault="00CA4F4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Action Required</w:t>
            </w:r>
          </w:p>
        </w:tc>
      </w:tr>
      <w:tr w:rsidR="00CA4F46" w14:paraId="033A796A" w14:textId="7602F94B" w:rsidTr="00CA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A61BDB9"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1</w:t>
            </w:r>
          </w:p>
        </w:tc>
        <w:tc>
          <w:tcPr>
            <w:tcW w:w="2344" w:type="dxa"/>
          </w:tcPr>
          <w:p w14:paraId="02B82007" w14:textId="77777777" w:rsidR="00CA4F46" w:rsidRPr="00325B73"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325B73">
              <w:rPr>
                <w:rFonts w:asciiTheme="majorHAnsi" w:hAnsiTheme="majorHAnsi"/>
              </w:rPr>
              <w:t>Who is the designated approver for non-</w:t>
            </w:r>
            <w:r w:rsidRPr="00325B73">
              <w:rPr>
                <w:rFonts w:asciiTheme="majorHAnsi" w:hAnsiTheme="majorHAnsi"/>
              </w:rPr>
              <w:lastRenderedPageBreak/>
              <w:t>standard equipment requests?</w:t>
            </w:r>
          </w:p>
          <w:p w14:paraId="6CB15A66"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260" w:type="dxa"/>
          </w:tcPr>
          <w:p w14:paraId="6AE5DB30"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lastRenderedPageBreak/>
              <w:t>Blocking</w:t>
            </w:r>
          </w:p>
        </w:tc>
        <w:tc>
          <w:tcPr>
            <w:tcW w:w="1697" w:type="dxa"/>
          </w:tcPr>
          <w:p w14:paraId="0F16B302" w14:textId="4BD8168D"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Assume the approver is the department manager.</w:t>
            </w:r>
          </w:p>
        </w:tc>
        <w:tc>
          <w:tcPr>
            <w:tcW w:w="1796" w:type="dxa"/>
          </w:tcPr>
          <w:p w14:paraId="74DDFCDC"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Needed for workflow and FRs.</w:t>
            </w:r>
          </w:p>
        </w:tc>
        <w:tc>
          <w:tcPr>
            <w:tcW w:w="1187" w:type="dxa"/>
          </w:tcPr>
          <w:p w14:paraId="6B22B1EC" w14:textId="66A78649" w:rsidR="00CA4F46"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HR Department</w:t>
            </w:r>
          </w:p>
        </w:tc>
      </w:tr>
      <w:tr w:rsidR="00CA4F46" w:rsidRPr="00325B73" w14:paraId="684469D3" w14:textId="6AFA3E4C" w:rsidTr="00CA4F46">
        <w:tc>
          <w:tcPr>
            <w:cnfStyle w:val="001000000000" w:firstRow="0" w:lastRow="0" w:firstColumn="1" w:lastColumn="0" w:oddVBand="0" w:evenVBand="0" w:oddHBand="0" w:evenHBand="0" w:firstRowFirstColumn="0" w:firstRowLastColumn="0" w:lastRowFirstColumn="0" w:lastRowLastColumn="0"/>
            <w:tcW w:w="1076" w:type="dxa"/>
          </w:tcPr>
          <w:p w14:paraId="755083CA"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2</w:t>
            </w:r>
          </w:p>
        </w:tc>
        <w:tc>
          <w:tcPr>
            <w:tcW w:w="2344" w:type="dxa"/>
          </w:tcPr>
          <w:p w14:paraId="2CDCC3A3" w14:textId="77777777" w:rsidR="00CA4F46" w:rsidRPr="00325B73"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25B73">
              <w:rPr>
                <w:rFonts w:asciiTheme="majorHAnsi" w:hAnsiTheme="majorHAnsi"/>
              </w:rPr>
              <w:t>What specifically qualifies as “standard” versus “non-standard” equipment?</w:t>
            </w:r>
          </w:p>
          <w:p w14:paraId="2C4A1A4F" w14:textId="77777777" w:rsidR="00CA4F46" w:rsidRPr="00325B73"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260" w:type="dxa"/>
          </w:tcPr>
          <w:p w14:paraId="31E0173A"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Blocking</w:t>
            </w:r>
          </w:p>
        </w:tc>
        <w:tc>
          <w:tcPr>
            <w:tcW w:w="1697" w:type="dxa"/>
          </w:tcPr>
          <w:p w14:paraId="7CE7CD54" w14:textId="68E33A00"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Assume standard equipment includes items listed in BRD</w:t>
            </w:r>
            <w:bookmarkStart w:id="1" w:name="_Hlk234486579"/>
            <w:r>
              <w:rPr>
                <w:rFonts w:asciiTheme="majorHAnsi" w:hAnsiTheme="majorHAnsi" w:cstheme="majorHAnsi"/>
              </w:rPr>
              <w:t xml:space="preserve">: </w:t>
            </w:r>
            <w:r w:rsidRPr="00D4584F">
              <w:rPr>
                <w:rFonts w:asciiTheme="majorHAnsi" w:hAnsiTheme="majorHAnsi" w:cstheme="majorHAnsi"/>
              </w:rPr>
              <w:t>a laptop, monitor, headset, keyboard, mouse, docking station, or access badge</w:t>
            </w:r>
            <w:bookmarkEnd w:id="1"/>
            <w:r w:rsidRPr="00D4584F">
              <w:rPr>
                <w:rFonts w:asciiTheme="majorHAnsi" w:hAnsiTheme="majorHAnsi" w:cstheme="majorHAnsi"/>
              </w:rPr>
              <w:t>.</w:t>
            </w:r>
          </w:p>
        </w:tc>
        <w:tc>
          <w:tcPr>
            <w:tcW w:w="1796" w:type="dxa"/>
          </w:tcPr>
          <w:p w14:paraId="63BD17BC"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Needs to be resolved for BR-005. </w:t>
            </w:r>
          </w:p>
        </w:tc>
        <w:tc>
          <w:tcPr>
            <w:tcW w:w="1187" w:type="dxa"/>
          </w:tcPr>
          <w:p w14:paraId="1D34CA0B" w14:textId="4C9A17B4" w:rsidR="00CA4F46"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IT Department</w:t>
            </w:r>
          </w:p>
        </w:tc>
      </w:tr>
      <w:tr w:rsidR="00CA4F46" w:rsidRPr="00325B73" w14:paraId="1F66B740" w14:textId="2D31E095" w:rsidTr="00CA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39CBE63"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3</w:t>
            </w:r>
          </w:p>
        </w:tc>
        <w:tc>
          <w:tcPr>
            <w:tcW w:w="2344" w:type="dxa"/>
          </w:tcPr>
          <w:p w14:paraId="4F40A3AC" w14:textId="77777777" w:rsidR="00CA4F46" w:rsidRPr="00F803DA"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803DA">
              <w:rPr>
                <w:rFonts w:asciiTheme="majorHAnsi" w:hAnsiTheme="majorHAnsi"/>
              </w:rPr>
              <w:t>Should HR be notified when equipment is marked Completed?</w:t>
            </w:r>
          </w:p>
          <w:p w14:paraId="7DD3D0CD" w14:textId="77777777" w:rsidR="00CA4F46" w:rsidRPr="00325B73"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1260" w:type="dxa"/>
          </w:tcPr>
          <w:p w14:paraId="41FE4813"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Non-blocking</w:t>
            </w:r>
          </w:p>
        </w:tc>
        <w:tc>
          <w:tcPr>
            <w:tcW w:w="1697" w:type="dxa"/>
          </w:tcPr>
          <w:p w14:paraId="531FE7A1"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Leave unresolved.</w:t>
            </w:r>
          </w:p>
        </w:tc>
        <w:tc>
          <w:tcPr>
            <w:tcW w:w="1796" w:type="dxa"/>
          </w:tcPr>
          <w:p w14:paraId="0A05E674"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Not needed for core requirements. </w:t>
            </w:r>
          </w:p>
        </w:tc>
        <w:tc>
          <w:tcPr>
            <w:tcW w:w="1187" w:type="dxa"/>
          </w:tcPr>
          <w:p w14:paraId="6D817D42" w14:textId="4EAFB509" w:rsidR="00CA4F46"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r>
      <w:tr w:rsidR="00CA4F46" w:rsidRPr="00325B73" w14:paraId="021C0B26" w14:textId="748FC418" w:rsidTr="00CA4F46">
        <w:tc>
          <w:tcPr>
            <w:cnfStyle w:val="001000000000" w:firstRow="0" w:lastRow="0" w:firstColumn="1" w:lastColumn="0" w:oddVBand="0" w:evenVBand="0" w:oddHBand="0" w:evenHBand="0" w:firstRowFirstColumn="0" w:firstRowLastColumn="0" w:lastRowFirstColumn="0" w:lastRowLastColumn="0"/>
            <w:tcW w:w="1076" w:type="dxa"/>
          </w:tcPr>
          <w:p w14:paraId="4290D430"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4</w:t>
            </w:r>
          </w:p>
        </w:tc>
        <w:tc>
          <w:tcPr>
            <w:tcW w:w="2344" w:type="dxa"/>
          </w:tcPr>
          <w:p w14:paraId="49290948" w14:textId="1B907CD5" w:rsidR="00CA4F46" w:rsidRPr="00325B73"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803DA">
              <w:rPr>
                <w:rFonts w:asciiTheme="majorHAnsi" w:hAnsiTheme="majorHAnsi"/>
              </w:rPr>
              <w:t>Should the system allow requests submitted fewer than five business before the start date, and if so, under what conditions</w:t>
            </w:r>
            <w:r>
              <w:rPr>
                <w:rFonts w:asciiTheme="majorHAnsi" w:hAnsiTheme="majorHAnsi"/>
              </w:rPr>
              <w:t>?</w:t>
            </w:r>
          </w:p>
        </w:tc>
        <w:tc>
          <w:tcPr>
            <w:tcW w:w="1260" w:type="dxa"/>
          </w:tcPr>
          <w:p w14:paraId="4655F2D0"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Blocking</w:t>
            </w:r>
          </w:p>
        </w:tc>
        <w:tc>
          <w:tcPr>
            <w:tcW w:w="1697" w:type="dxa"/>
          </w:tcPr>
          <w:p w14:paraId="6A50DF5D"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Assume the system does not allow late submissions.</w:t>
            </w:r>
          </w:p>
        </w:tc>
        <w:tc>
          <w:tcPr>
            <w:tcW w:w="1796" w:type="dxa"/>
          </w:tcPr>
          <w:p w14:paraId="3B95EFC4"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Needed for BR-010.</w:t>
            </w:r>
          </w:p>
        </w:tc>
        <w:tc>
          <w:tcPr>
            <w:tcW w:w="1187" w:type="dxa"/>
          </w:tcPr>
          <w:p w14:paraId="4A62CCC5" w14:textId="6411408A" w:rsidR="00CA4F46"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HR Department</w:t>
            </w:r>
          </w:p>
        </w:tc>
      </w:tr>
      <w:tr w:rsidR="00CA4F46" w:rsidRPr="00325B73" w14:paraId="128A0185" w14:textId="586565B2" w:rsidTr="00CA4F46">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076" w:type="dxa"/>
          </w:tcPr>
          <w:p w14:paraId="08E45539"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5</w:t>
            </w:r>
          </w:p>
        </w:tc>
        <w:tc>
          <w:tcPr>
            <w:tcW w:w="2344" w:type="dxa"/>
          </w:tcPr>
          <w:p w14:paraId="3AA629D3" w14:textId="77777777" w:rsidR="00CA4F46" w:rsidRPr="00F803DA"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803DA">
              <w:rPr>
                <w:rFonts w:asciiTheme="majorHAnsi" w:hAnsiTheme="majorHAnsi"/>
              </w:rPr>
              <w:t>What specific reports and data fields does leadership need in the basic reporting view?</w:t>
            </w:r>
          </w:p>
          <w:p w14:paraId="139F6461"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260" w:type="dxa"/>
          </w:tcPr>
          <w:p w14:paraId="64DA9489"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Blocking</w:t>
            </w:r>
          </w:p>
        </w:tc>
        <w:tc>
          <w:tcPr>
            <w:tcW w:w="1697" w:type="dxa"/>
          </w:tcPr>
          <w:p w14:paraId="3081278F" w14:textId="4E680B9E"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Assume leadership needs total request count, volume, and fulfillment metrics. </w:t>
            </w:r>
          </w:p>
        </w:tc>
        <w:tc>
          <w:tcPr>
            <w:tcW w:w="1796" w:type="dxa"/>
          </w:tcPr>
          <w:p w14:paraId="65D75FFB"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Needed for BR-012</w:t>
            </w:r>
          </w:p>
        </w:tc>
        <w:tc>
          <w:tcPr>
            <w:tcW w:w="1187" w:type="dxa"/>
          </w:tcPr>
          <w:p w14:paraId="44FB30D6" w14:textId="54DBB381" w:rsidR="00CA4F46"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r>
      <w:tr w:rsidR="00CA4F46" w:rsidRPr="00325B73" w14:paraId="57AA6247" w14:textId="183D3714" w:rsidTr="00CA4F46">
        <w:tc>
          <w:tcPr>
            <w:cnfStyle w:val="001000000000" w:firstRow="0" w:lastRow="0" w:firstColumn="1" w:lastColumn="0" w:oddVBand="0" w:evenVBand="0" w:oddHBand="0" w:evenHBand="0" w:firstRowFirstColumn="0" w:firstRowLastColumn="0" w:lastRowFirstColumn="0" w:lastRowLastColumn="0"/>
            <w:tcW w:w="1076" w:type="dxa"/>
          </w:tcPr>
          <w:p w14:paraId="5368FCEB"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6</w:t>
            </w:r>
          </w:p>
        </w:tc>
        <w:tc>
          <w:tcPr>
            <w:tcW w:w="2344" w:type="dxa"/>
          </w:tcPr>
          <w:p w14:paraId="7DBBA6A6" w14:textId="77777777" w:rsidR="00CA4F46" w:rsidRPr="00F803DA"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803DA">
              <w:rPr>
                <w:rFonts w:asciiTheme="majorHAnsi" w:hAnsiTheme="majorHAnsi"/>
              </w:rPr>
              <w:t>Should managers receive automated notifications when a request’s status changes?</w:t>
            </w:r>
          </w:p>
        </w:tc>
        <w:tc>
          <w:tcPr>
            <w:tcW w:w="1260" w:type="dxa"/>
          </w:tcPr>
          <w:p w14:paraId="22F521FF"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Non-blocking</w:t>
            </w:r>
          </w:p>
        </w:tc>
        <w:tc>
          <w:tcPr>
            <w:tcW w:w="1697" w:type="dxa"/>
          </w:tcPr>
          <w:p w14:paraId="3125F87F"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Leave unresolved.</w:t>
            </w:r>
          </w:p>
        </w:tc>
        <w:tc>
          <w:tcPr>
            <w:tcW w:w="1796" w:type="dxa"/>
          </w:tcPr>
          <w:p w14:paraId="18BAF735" w14:textId="5B3266F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Automated communications are outside of scope.</w:t>
            </w:r>
          </w:p>
        </w:tc>
        <w:tc>
          <w:tcPr>
            <w:tcW w:w="1187" w:type="dxa"/>
          </w:tcPr>
          <w:p w14:paraId="7F76A62C" w14:textId="7AA773AA" w:rsidR="00CA4F46"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r>
      <w:tr w:rsidR="00CA4F46" w:rsidRPr="00325B73" w14:paraId="4226D6C2" w14:textId="59BC4BB3" w:rsidTr="00CA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3E891635"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7</w:t>
            </w:r>
          </w:p>
        </w:tc>
        <w:tc>
          <w:tcPr>
            <w:tcW w:w="2344" w:type="dxa"/>
          </w:tcPr>
          <w:p w14:paraId="2C25D5FB" w14:textId="77777777" w:rsidR="00CA4F46" w:rsidRPr="00F803DA"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803DA">
              <w:rPr>
                <w:rFonts w:asciiTheme="majorHAnsi" w:hAnsiTheme="majorHAnsi"/>
              </w:rPr>
              <w:t>What is HR’s specific role in this process, if any?</w:t>
            </w:r>
          </w:p>
        </w:tc>
        <w:tc>
          <w:tcPr>
            <w:tcW w:w="1260" w:type="dxa"/>
          </w:tcPr>
          <w:p w14:paraId="428ED926"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Non-blocking</w:t>
            </w:r>
          </w:p>
        </w:tc>
        <w:tc>
          <w:tcPr>
            <w:tcW w:w="1697" w:type="dxa"/>
          </w:tcPr>
          <w:p w14:paraId="7D2D4DE9"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Leave unresolved.</w:t>
            </w:r>
          </w:p>
        </w:tc>
        <w:tc>
          <w:tcPr>
            <w:tcW w:w="1796" w:type="dxa"/>
          </w:tcPr>
          <w:p w14:paraId="4E12CBF2"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Not needed for BRs.</w:t>
            </w:r>
          </w:p>
        </w:tc>
        <w:tc>
          <w:tcPr>
            <w:tcW w:w="1187" w:type="dxa"/>
          </w:tcPr>
          <w:p w14:paraId="27B10A70" w14:textId="41CEC058" w:rsidR="00CA4F46"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r>
      <w:tr w:rsidR="00CA4F46" w:rsidRPr="00325B73" w14:paraId="3AC73A9C" w14:textId="668119AA" w:rsidTr="00CA4F46">
        <w:tc>
          <w:tcPr>
            <w:cnfStyle w:val="001000000000" w:firstRow="0" w:lastRow="0" w:firstColumn="1" w:lastColumn="0" w:oddVBand="0" w:evenVBand="0" w:oddHBand="0" w:evenHBand="0" w:firstRowFirstColumn="0" w:firstRowLastColumn="0" w:lastRowFirstColumn="0" w:lastRowLastColumn="0"/>
            <w:tcW w:w="1076" w:type="dxa"/>
          </w:tcPr>
          <w:p w14:paraId="6709B421"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8</w:t>
            </w:r>
          </w:p>
        </w:tc>
        <w:tc>
          <w:tcPr>
            <w:tcW w:w="2344" w:type="dxa"/>
          </w:tcPr>
          <w:p w14:paraId="7A504627" w14:textId="77777777" w:rsidR="00CA4F46" w:rsidRPr="00F803DA"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803DA">
              <w:rPr>
                <w:rFonts w:asciiTheme="majorHAnsi" w:hAnsiTheme="majorHAnsi"/>
              </w:rPr>
              <w:t>Should new employees receive any communication or visibility into their equipment status?</w:t>
            </w:r>
          </w:p>
        </w:tc>
        <w:tc>
          <w:tcPr>
            <w:tcW w:w="1260" w:type="dxa"/>
          </w:tcPr>
          <w:p w14:paraId="74A04325"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Non-blocking</w:t>
            </w:r>
          </w:p>
        </w:tc>
        <w:tc>
          <w:tcPr>
            <w:tcW w:w="1697" w:type="dxa"/>
          </w:tcPr>
          <w:p w14:paraId="433CE1BF"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Leave unresolved.</w:t>
            </w:r>
          </w:p>
        </w:tc>
        <w:tc>
          <w:tcPr>
            <w:tcW w:w="1796" w:type="dxa"/>
          </w:tcPr>
          <w:p w14:paraId="11AD273E"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Outside of scope.</w:t>
            </w:r>
          </w:p>
        </w:tc>
        <w:tc>
          <w:tcPr>
            <w:tcW w:w="1187" w:type="dxa"/>
          </w:tcPr>
          <w:p w14:paraId="01C26F7F" w14:textId="3E310B46" w:rsidR="00CA4F46"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r>
      <w:tr w:rsidR="00CA4F46" w:rsidRPr="00325B73" w14:paraId="03A26D9F" w14:textId="5238B83F" w:rsidTr="00CA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08203849"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lastRenderedPageBreak/>
              <w:t>9</w:t>
            </w:r>
          </w:p>
        </w:tc>
        <w:tc>
          <w:tcPr>
            <w:tcW w:w="2344" w:type="dxa"/>
          </w:tcPr>
          <w:p w14:paraId="571BF22E" w14:textId="77777777" w:rsidR="00CA4F46" w:rsidRPr="00F803DA" w:rsidRDefault="00CA4F46" w:rsidP="00325B7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803DA">
              <w:rPr>
                <w:rFonts w:asciiTheme="majorHAnsi" w:hAnsiTheme="majorHAnsi"/>
              </w:rPr>
              <w:t>What is the process when a request is Cancelled — who can cancel and why?</w:t>
            </w:r>
          </w:p>
        </w:tc>
        <w:tc>
          <w:tcPr>
            <w:tcW w:w="1260" w:type="dxa"/>
          </w:tcPr>
          <w:p w14:paraId="6626A840"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Blocking</w:t>
            </w:r>
          </w:p>
        </w:tc>
        <w:tc>
          <w:tcPr>
            <w:tcW w:w="1697" w:type="dxa"/>
          </w:tcPr>
          <w:p w14:paraId="74117B69"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Assume only IT can cancel, with a reason. </w:t>
            </w:r>
          </w:p>
        </w:tc>
        <w:tc>
          <w:tcPr>
            <w:tcW w:w="1796" w:type="dxa"/>
          </w:tcPr>
          <w:p w14:paraId="5DB85504" w14:textId="77777777" w:rsidR="00CA4F46" w:rsidRPr="00325B73"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Needed to plan flow of lifecycle, BR-013</w:t>
            </w:r>
          </w:p>
        </w:tc>
        <w:tc>
          <w:tcPr>
            <w:tcW w:w="1187" w:type="dxa"/>
          </w:tcPr>
          <w:p w14:paraId="650120DA" w14:textId="7822305D" w:rsidR="00CA4F46" w:rsidRDefault="00CA4F4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IT Department</w:t>
            </w:r>
          </w:p>
        </w:tc>
      </w:tr>
      <w:tr w:rsidR="00CA4F46" w:rsidRPr="00325B73" w14:paraId="5813BB8E" w14:textId="372E642A" w:rsidTr="00CA4F46">
        <w:tc>
          <w:tcPr>
            <w:cnfStyle w:val="001000000000" w:firstRow="0" w:lastRow="0" w:firstColumn="1" w:lastColumn="0" w:oddVBand="0" w:evenVBand="0" w:oddHBand="0" w:evenHBand="0" w:firstRowFirstColumn="0" w:firstRowLastColumn="0" w:lastRowFirstColumn="0" w:lastRowLastColumn="0"/>
            <w:tcW w:w="1076" w:type="dxa"/>
          </w:tcPr>
          <w:p w14:paraId="09542736" w14:textId="77777777" w:rsidR="00CA4F46" w:rsidRPr="00325B73" w:rsidRDefault="00CA4F46" w:rsidP="00325B73">
            <w:pPr>
              <w:spacing w:before="100" w:beforeAutospacing="1" w:after="100" w:afterAutospacing="1"/>
              <w:rPr>
                <w:rFonts w:asciiTheme="majorHAnsi" w:hAnsiTheme="majorHAnsi"/>
                <w:b w:val="0"/>
              </w:rPr>
            </w:pPr>
            <w:r w:rsidRPr="00325B73">
              <w:rPr>
                <w:rFonts w:asciiTheme="majorHAnsi" w:hAnsiTheme="majorHAnsi"/>
                <w:b w:val="0"/>
              </w:rPr>
              <w:t>10</w:t>
            </w:r>
          </w:p>
        </w:tc>
        <w:tc>
          <w:tcPr>
            <w:tcW w:w="2344" w:type="dxa"/>
          </w:tcPr>
          <w:p w14:paraId="7C70E9CD" w14:textId="77777777" w:rsidR="00CA4F46" w:rsidRPr="00F803DA" w:rsidRDefault="00CA4F46" w:rsidP="00325B7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803DA">
              <w:rPr>
                <w:rFonts w:asciiTheme="majorHAnsi" w:hAnsiTheme="majorHAnsi"/>
              </w:rPr>
              <w:t>Which existing company tools are expected to support this process?</w:t>
            </w:r>
          </w:p>
        </w:tc>
        <w:tc>
          <w:tcPr>
            <w:tcW w:w="1260" w:type="dxa"/>
          </w:tcPr>
          <w:p w14:paraId="12C65D9A"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Blocking</w:t>
            </w:r>
          </w:p>
        </w:tc>
        <w:tc>
          <w:tcPr>
            <w:tcW w:w="1697" w:type="dxa"/>
          </w:tcPr>
          <w:p w14:paraId="5F01A7CC"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Assume an existing web platform. </w:t>
            </w:r>
          </w:p>
        </w:tc>
        <w:tc>
          <w:tcPr>
            <w:tcW w:w="1796" w:type="dxa"/>
          </w:tcPr>
          <w:p w14:paraId="5D8F288E" w14:textId="77777777" w:rsidR="00CA4F46" w:rsidRPr="00325B73"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Needed for TRs. </w:t>
            </w:r>
          </w:p>
        </w:tc>
        <w:tc>
          <w:tcPr>
            <w:tcW w:w="1187" w:type="dxa"/>
          </w:tcPr>
          <w:p w14:paraId="09C57654" w14:textId="2CB9678C" w:rsidR="00CA4F46" w:rsidRDefault="00CA4F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IT Department</w:t>
            </w:r>
          </w:p>
        </w:tc>
      </w:tr>
    </w:tbl>
    <w:p w14:paraId="080F2CFA" w14:textId="77777777" w:rsidR="00325B73" w:rsidRDefault="00325B73">
      <w:pPr>
        <w:rPr>
          <w:rFonts w:asciiTheme="majorHAnsi" w:hAnsiTheme="majorHAnsi" w:cstheme="majorHAnsi"/>
        </w:rPr>
      </w:pPr>
    </w:p>
    <w:p w14:paraId="493D25FF" w14:textId="77777777" w:rsidR="0045293C" w:rsidRDefault="00D4584F" w:rsidP="00CA4F46">
      <w:pPr>
        <w:pStyle w:val="Heading1"/>
      </w:pPr>
      <w:r>
        <w:t xml:space="preserve">What I </w:t>
      </w:r>
      <w:r w:rsidR="0045293C">
        <w:t>L</w:t>
      </w:r>
      <w:r>
        <w:t>earned</w:t>
      </w:r>
      <w:r w:rsidR="0045293C">
        <w:t>:</w:t>
      </w:r>
    </w:p>
    <w:p w14:paraId="42FE3811" w14:textId="08BD6171" w:rsidR="00CA4F46" w:rsidRDefault="00CA4F46" w:rsidP="0045293C">
      <w:pPr>
        <w:pStyle w:val="ListParagraph"/>
        <w:numPr>
          <w:ilvl w:val="0"/>
          <w:numId w:val="6"/>
        </w:numPr>
        <w:rPr>
          <w:rFonts w:asciiTheme="majorHAnsi" w:hAnsiTheme="majorHAnsi" w:cstheme="majorHAnsi"/>
        </w:rPr>
      </w:pPr>
      <w:r>
        <w:rPr>
          <w:rFonts w:asciiTheme="majorHAnsi" w:hAnsiTheme="majorHAnsi" w:cstheme="majorHAnsi"/>
        </w:rPr>
        <w:t xml:space="preserve">Not every unknown must be answered before proceeding on a project. </w:t>
      </w:r>
    </w:p>
    <w:p w14:paraId="644FE1EC" w14:textId="295EBF55" w:rsidR="00CA4F46" w:rsidRDefault="00CA4F46" w:rsidP="0045293C">
      <w:pPr>
        <w:pStyle w:val="ListParagraph"/>
        <w:numPr>
          <w:ilvl w:val="0"/>
          <w:numId w:val="6"/>
        </w:numPr>
        <w:rPr>
          <w:rFonts w:asciiTheme="majorHAnsi" w:hAnsiTheme="majorHAnsi" w:cstheme="majorHAnsi"/>
        </w:rPr>
      </w:pPr>
      <w:r>
        <w:rPr>
          <w:rFonts w:asciiTheme="majorHAnsi" w:hAnsiTheme="majorHAnsi" w:cstheme="majorHAnsi"/>
        </w:rPr>
        <w:t xml:space="preserve">Assumptions should always be documented to prevent confusion and future defects. </w:t>
      </w:r>
    </w:p>
    <w:p w14:paraId="32DEE26B" w14:textId="3D24B8A1" w:rsidR="00CA4F46" w:rsidRDefault="00CA4F46" w:rsidP="0045293C">
      <w:pPr>
        <w:pStyle w:val="ListParagraph"/>
        <w:numPr>
          <w:ilvl w:val="0"/>
          <w:numId w:val="6"/>
        </w:numPr>
        <w:rPr>
          <w:rFonts w:asciiTheme="majorHAnsi" w:hAnsiTheme="majorHAnsi" w:cstheme="majorHAnsi"/>
        </w:rPr>
      </w:pPr>
      <w:r>
        <w:rPr>
          <w:rFonts w:asciiTheme="majorHAnsi" w:hAnsiTheme="majorHAnsi" w:cstheme="majorHAnsi"/>
        </w:rPr>
        <w:t xml:space="preserve">Assumptions are not a permanent answer, someone should be held accountable for answering them. </w:t>
      </w:r>
    </w:p>
    <w:p w14:paraId="49E783CC" w14:textId="28F10FF7" w:rsidR="0045293C" w:rsidRDefault="00CA4F46" w:rsidP="0045293C">
      <w:pPr>
        <w:pStyle w:val="ListParagraph"/>
        <w:numPr>
          <w:ilvl w:val="0"/>
          <w:numId w:val="6"/>
        </w:numPr>
        <w:rPr>
          <w:rFonts w:asciiTheme="majorHAnsi" w:hAnsiTheme="majorHAnsi" w:cstheme="majorHAnsi"/>
        </w:rPr>
      </w:pPr>
      <w:r>
        <w:rPr>
          <w:rFonts w:asciiTheme="majorHAnsi" w:hAnsiTheme="majorHAnsi" w:cstheme="majorHAnsi"/>
        </w:rPr>
        <w:t>F</w:t>
      </w:r>
      <w:r w:rsidR="00D4584F" w:rsidRPr="0045293C">
        <w:rPr>
          <w:rFonts w:asciiTheme="majorHAnsi" w:hAnsiTheme="majorHAnsi" w:cstheme="majorHAnsi"/>
        </w:rPr>
        <w:t xml:space="preserve">or </w:t>
      </w:r>
      <w:proofErr w:type="gramStart"/>
      <w:r w:rsidR="00D4584F" w:rsidRPr="0045293C">
        <w:rPr>
          <w:rFonts w:asciiTheme="majorHAnsi" w:hAnsiTheme="majorHAnsi" w:cstheme="majorHAnsi"/>
        </w:rPr>
        <w:t>a</w:t>
      </w:r>
      <w:proofErr w:type="gramEnd"/>
      <w:r w:rsidR="00D4584F" w:rsidRPr="0045293C">
        <w:rPr>
          <w:rFonts w:asciiTheme="majorHAnsi" w:hAnsiTheme="majorHAnsi" w:cstheme="majorHAnsi"/>
        </w:rPr>
        <w:t xml:space="preserve"> RTM to be produced, open questions need to be eliminated so that technical requirements and functional requirements can be defined precisely. </w:t>
      </w:r>
    </w:p>
    <w:p w14:paraId="51B812FB" w14:textId="77777777" w:rsidR="0045293C" w:rsidRDefault="00D4584F" w:rsidP="0045293C">
      <w:pPr>
        <w:pStyle w:val="ListParagraph"/>
        <w:numPr>
          <w:ilvl w:val="0"/>
          <w:numId w:val="6"/>
        </w:numPr>
        <w:rPr>
          <w:rFonts w:asciiTheme="majorHAnsi" w:hAnsiTheme="majorHAnsi" w:cstheme="majorHAnsi"/>
        </w:rPr>
      </w:pPr>
      <w:r w:rsidRPr="0045293C">
        <w:rPr>
          <w:rFonts w:asciiTheme="majorHAnsi" w:hAnsiTheme="majorHAnsi" w:cstheme="majorHAnsi"/>
        </w:rPr>
        <w:t>Open questions which do not block the software development lifecycle may remain unresolved</w:t>
      </w:r>
      <w:r w:rsidR="0045293C" w:rsidRPr="0045293C">
        <w:rPr>
          <w:rFonts w:asciiTheme="majorHAnsi" w:hAnsiTheme="majorHAnsi" w:cstheme="majorHAnsi"/>
        </w:rPr>
        <w:t xml:space="preserve">, sometimes because they are not needed to accomplish the business goals, and other times because they are outside of the scope of the project. </w:t>
      </w:r>
    </w:p>
    <w:p w14:paraId="1DBD1A47" w14:textId="77777777" w:rsidR="00D4584F" w:rsidRPr="0045293C" w:rsidRDefault="0045293C" w:rsidP="0045293C">
      <w:pPr>
        <w:pStyle w:val="ListParagraph"/>
        <w:numPr>
          <w:ilvl w:val="0"/>
          <w:numId w:val="6"/>
        </w:numPr>
        <w:rPr>
          <w:rFonts w:asciiTheme="majorHAnsi" w:hAnsiTheme="majorHAnsi" w:cstheme="majorHAnsi"/>
        </w:rPr>
      </w:pPr>
      <w:r w:rsidRPr="0045293C">
        <w:rPr>
          <w:rFonts w:asciiTheme="majorHAnsi" w:hAnsiTheme="majorHAnsi" w:cstheme="majorHAnsi"/>
        </w:rPr>
        <w:t xml:space="preserve">When open questions must be resolved, assumptions can be made and clearly documented. </w:t>
      </w:r>
    </w:p>
    <w:sectPr w:rsidR="00D4584F" w:rsidRPr="00452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A3248"/>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D53B4"/>
    <w:multiLevelType w:val="hybridMultilevel"/>
    <w:tmpl w:val="4BBA9892"/>
    <w:lvl w:ilvl="0" w:tplc="F912C5F8">
      <w:start w:val="1"/>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F2E3E"/>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1C54FE"/>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455A1C"/>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4D586B"/>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CD"/>
    <w:rsid w:val="00297E08"/>
    <w:rsid w:val="002C2BF5"/>
    <w:rsid w:val="00325B73"/>
    <w:rsid w:val="00360E46"/>
    <w:rsid w:val="00415914"/>
    <w:rsid w:val="0045293C"/>
    <w:rsid w:val="008D38FE"/>
    <w:rsid w:val="009070CD"/>
    <w:rsid w:val="00A14A85"/>
    <w:rsid w:val="00A52592"/>
    <w:rsid w:val="00BF5FCD"/>
    <w:rsid w:val="00CA4F46"/>
    <w:rsid w:val="00D45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BE42"/>
  <w15:chartTrackingRefBased/>
  <w15:docId w15:val="{A6A2B8C6-97A8-4766-83CB-5225FC36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25B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25B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45293C"/>
    <w:pPr>
      <w:ind w:left="720"/>
      <w:contextualSpacing/>
    </w:pPr>
  </w:style>
  <w:style w:type="character" w:customStyle="1" w:styleId="Heading1Char">
    <w:name w:val="Heading 1 Char"/>
    <w:basedOn w:val="DefaultParagraphFont"/>
    <w:link w:val="Heading1"/>
    <w:uiPriority w:val="9"/>
    <w:rsid w:val="00CA4F4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CA4F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4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607641">
      <w:bodyDiv w:val="1"/>
      <w:marLeft w:val="0"/>
      <w:marRight w:val="0"/>
      <w:marTop w:val="0"/>
      <w:marBottom w:val="0"/>
      <w:divBdr>
        <w:top w:val="none" w:sz="0" w:space="0" w:color="auto"/>
        <w:left w:val="none" w:sz="0" w:space="0" w:color="auto"/>
        <w:bottom w:val="none" w:sz="0" w:space="0" w:color="auto"/>
        <w:right w:val="none" w:sz="0" w:space="0" w:color="auto"/>
      </w:divBdr>
    </w:div>
    <w:div w:id="130751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76da11-09fc-4405-a41f-52e3fe29a1a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F61BC71068E4488D64470B48E14281" ma:contentTypeVersion="10" ma:contentTypeDescription="Create a new document." ma:contentTypeScope="" ma:versionID="9b236b391edc0c9f7e2ff4278a3cf8cd">
  <xsd:schema xmlns:xsd="http://www.w3.org/2001/XMLSchema" xmlns:xs="http://www.w3.org/2001/XMLSchema" xmlns:p="http://schemas.microsoft.com/office/2006/metadata/properties" xmlns:ns3="5c76da11-09fc-4405-a41f-52e3fe29a1ae" targetNamespace="http://schemas.microsoft.com/office/2006/metadata/properties" ma:root="true" ma:fieldsID="228224480a354982147f5af19aa7197c" ns3:_="">
    <xsd:import namespace="5c76da11-09fc-4405-a41f-52e3fe29a1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6da11-09fc-4405-a41f-52e3fe29a1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FBBA14-DD4F-49ED-AE16-C22A474F489F}">
  <ds:schemaRefs>
    <ds:schemaRef ds:uri="http://schemas.microsoft.com/office/2006/documentManagement/types"/>
    <ds:schemaRef ds:uri="http://purl.org/dc/terms/"/>
    <ds:schemaRef ds:uri="http://purl.org/dc/elements/1.1/"/>
    <ds:schemaRef ds:uri="http://www.w3.org/XML/1998/namespace"/>
    <ds:schemaRef ds:uri="http://schemas.microsoft.com/office/infopath/2007/PartnerControls"/>
    <ds:schemaRef ds:uri="http://schemas.openxmlformats.org/package/2006/metadata/core-properties"/>
    <ds:schemaRef ds:uri="5c76da11-09fc-4405-a41f-52e3fe29a1ae"/>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7E0DD46-EF05-4807-A5DC-D7FF1CCFCA2B}">
  <ds:schemaRefs>
    <ds:schemaRef ds:uri="http://schemas.microsoft.com/sharepoint/v3/contenttype/forms"/>
  </ds:schemaRefs>
</ds:datastoreItem>
</file>

<file path=customXml/itemProps3.xml><?xml version="1.0" encoding="utf-8"?>
<ds:datastoreItem xmlns:ds="http://schemas.openxmlformats.org/officeDocument/2006/customXml" ds:itemID="{DEA1D4F3-DA84-4B09-B607-4B13139D0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6da11-09fc-4405-a41f-52e3fe29a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Darla Poling</dc:creator>
  <cp:keywords/>
  <dc:description/>
  <cp:lastModifiedBy>Darla Poling</cp:lastModifiedBy>
  <cp:revision>2</cp:revision>
  <dcterms:created xsi:type="dcterms:W3CDTF">2026-07-09T19:20:00Z</dcterms:created>
  <dcterms:modified xsi:type="dcterms:W3CDTF">2026-07-09T19:20:00Z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0x010100A3F61BC71068E4488D64470B48E14281</vt:lpwstr>
  </property>
</Properties>
</file>