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eastAsia="Times New Roman" w:cs="Times New Roman"/>
          <w:b/>
          <w:i w:val="0"/>
          <w:sz w:val="28"/>
        </w:rPr>
        <w:t>МИНИСТЕРСТВО ЦИФРОВЫХ ТЕХНОЛОГИЙ</w:t>
      </w:r>
    </w:p>
    <w:p>
      <w:pPr>
        <w:ind w:firstLine="0"/>
        <w:jc w:val="center"/>
      </w:pPr>
      <w:r>
        <w:rPr>
          <w:rFonts w:ascii="Times New Roman" w:hAnsi="Times New Roman" w:eastAsia="Times New Roman" w:cs="Times New Roman"/>
          <w:b/>
          <w:i w:val="0"/>
          <w:sz w:val="28"/>
        </w:rPr>
        <w:t>РЕСПУБЛИКИ УЗБЕКИСТАН</w:t>
      </w:r>
    </w:p>
    <w:p>
      <w:pPr>
        <w:ind w:firstLine="0"/>
      </w:pPr>
    </w:p>
    <w:p>
      <w:pPr>
        <w:ind w:firstLine="0"/>
        <w:jc w:val="center"/>
      </w:pPr>
      <w:r>
        <w:rPr>
          <w:rFonts w:ascii="Times New Roman" w:hAnsi="Times New Roman" w:eastAsia="Times New Roman" w:cs="Times New Roman"/>
          <w:b/>
          <w:i w:val="0"/>
          <w:sz w:val="28"/>
        </w:rPr>
        <w:t>ТАШКЕНТСКИЙ УНИВЕРСИТЕТ</w:t>
      </w:r>
    </w:p>
    <w:p>
      <w:pPr>
        <w:ind w:firstLine="0"/>
        <w:jc w:val="center"/>
      </w:pPr>
      <w:r>
        <w:rPr>
          <w:rFonts w:ascii="Times New Roman" w:hAnsi="Times New Roman" w:eastAsia="Times New Roman" w:cs="Times New Roman"/>
          <w:b/>
          <w:i w:val="0"/>
          <w:sz w:val="28"/>
        </w:rPr>
        <w:t>ИНФОРМАЦИОННЫХ ТЕХНОЛОГИЙ</w:t>
      </w:r>
    </w:p>
    <w:p>
      <w:pPr>
        <w:ind w:firstLine="0"/>
        <w:jc w:val="center"/>
      </w:pPr>
      <w:r>
        <w:rPr>
          <w:rFonts w:ascii="Times New Roman" w:hAnsi="Times New Roman" w:eastAsia="Times New Roman" w:cs="Times New Roman"/>
          <w:b/>
          <w:i w:val="0"/>
          <w:sz w:val="28"/>
        </w:rPr>
        <w:t>имени Мухаммада ал-Хорезми</w:t>
      </w:r>
    </w:p>
    <w:p>
      <w:pPr>
        <w:ind w:firstLine="0"/>
      </w:pPr>
    </w:p>
    <w:p>
      <w:pPr>
        <w:ind w:firstLine="0"/>
        <w:jc w:val="center"/>
      </w:pPr>
      <w:r>
        <w:rPr>
          <w:rFonts w:ascii="Times New Roman" w:hAnsi="Times New Roman" w:eastAsia="Times New Roman" w:cs="Times New Roman"/>
          <w:b w:val="0"/>
          <w:i w:val="0"/>
          <w:sz w:val="28"/>
        </w:rPr>
        <w:t>Факультет «Компьютерный инжиниринг»</w:t>
      </w:r>
    </w:p>
    <w:p>
      <w:pPr>
        <w:ind w:firstLine="0"/>
        <w:jc w:val="center"/>
      </w:pPr>
      <w:r>
        <w:rPr>
          <w:rFonts w:ascii="Times New Roman" w:hAnsi="Times New Roman" w:eastAsia="Times New Roman" w:cs="Times New Roman"/>
          <w:b w:val="0"/>
          <w:i w:val="0"/>
          <w:sz w:val="28"/>
        </w:rPr>
        <w:t>Кафедра «Конвергенция цифровых технологий»</w:t>
      </w:r>
    </w:p>
    <w:p>
      <w:pPr>
        <w:ind w:firstLine="0"/>
      </w:pPr>
    </w:p>
    <w:p>
      <w:pPr>
        <w:ind w:firstLine="0"/>
      </w:pPr>
    </w:p>
    <w:p>
      <w:pPr>
        <w:ind w:firstLine="0"/>
      </w:pPr>
    </w:p>
    <w:p>
      <w:pPr>
        <w:ind w:firstLine="0"/>
      </w:pPr>
    </w:p>
    <w:p>
      <w:pPr>
        <w:ind w:firstLine="0"/>
      </w:pPr>
    </w:p>
    <w:p>
      <w:pPr>
        <w:ind w:firstLine="0"/>
      </w:pPr>
    </w:p>
    <w:p>
      <w:pPr>
        <w:ind w:firstLine="0"/>
        <w:jc w:val="center"/>
      </w:pPr>
      <w:r>
        <w:rPr>
          <w:rFonts w:ascii="Times New Roman" w:hAnsi="Times New Roman" w:eastAsia="Times New Roman" w:cs="Times New Roman"/>
          <w:b/>
          <w:i w:val="0"/>
          <w:sz w:val="36"/>
        </w:rPr>
        <w:t>ПРОЕКТНАЯ РАБОТА</w:t>
      </w:r>
    </w:p>
    <w:p>
      <w:pPr>
        <w:ind w:firstLine="0"/>
      </w:pPr>
    </w:p>
    <w:p>
      <w:pPr>
        <w:ind w:firstLine="0"/>
        <w:jc w:val="center"/>
      </w:pPr>
      <w:r>
        <w:rPr>
          <w:rFonts w:ascii="Times New Roman" w:hAnsi="Times New Roman" w:eastAsia="Times New Roman" w:cs="Times New Roman"/>
          <w:b w:val="0"/>
          <w:i w:val="0"/>
          <w:sz w:val="28"/>
        </w:rPr>
        <w:t>на тему:</w:t>
      </w:r>
    </w:p>
    <w:p>
      <w:pPr>
        <w:ind w:firstLine="0"/>
        <w:jc w:val="center"/>
      </w:pPr>
      <w:r>
        <w:rPr>
          <w:rFonts w:ascii="Times New Roman" w:hAnsi="Times New Roman" w:eastAsia="Times New Roman" w:cs="Times New Roman"/>
          <w:b/>
          <w:i w:val="0"/>
          <w:sz w:val="32"/>
        </w:rPr>
        <w:t>«Создание информационной системы электронной</w:t>
      </w:r>
    </w:p>
    <w:p>
      <w:pPr>
        <w:ind w:firstLine="0"/>
        <w:jc w:val="center"/>
      </w:pPr>
      <w:r>
        <w:rPr>
          <w:rFonts w:ascii="Times New Roman" w:hAnsi="Times New Roman" w:eastAsia="Times New Roman" w:cs="Times New Roman"/>
          <w:b/>
          <w:i w:val="0"/>
          <w:sz w:val="32"/>
        </w:rPr>
        <w:t>подписки на газеты и журналы»</w:t>
      </w:r>
    </w:p>
    <w:p>
      <w:pPr>
        <w:ind w:firstLine="0"/>
      </w:pPr>
    </w:p>
    <w:p>
      <w:pPr>
        <w:ind w:firstLine="0"/>
      </w:pPr>
    </w:p>
    <w:p>
      <w:pPr>
        <w:ind w:firstLine="0"/>
      </w:pPr>
    </w:p>
    <w:p>
      <w:pPr>
        <w:ind w:firstLine="0"/>
      </w:pPr>
    </w:p>
    <w:p>
      <w:pPr>
        <w:ind w:firstLine="0"/>
      </w:pPr>
    </w:p>
    <w:p>
      <w:pPr>
        <w:ind w:firstLine="0"/>
      </w:pPr>
    </w:p>
    <w:p>
      <w:pPr>
        <w:ind w:firstLine="0"/>
        <w:jc w:val="left"/>
      </w:pPr>
      <w:r>
        <w:rPr>
          <w:rFonts w:ascii="Times New Roman" w:hAnsi="Times New Roman" w:eastAsia="Times New Roman" w:cs="Times New Roman"/>
          <w:b w:val="0"/>
          <w:i w:val="0"/>
          <w:sz w:val="28"/>
        </w:rPr>
        <w:t xml:space="preserve">Выполнил студент группы 035-22:    </w:t>
      </w:r>
      <w:r>
        <w:rPr>
          <w:rFonts w:ascii="Times New Roman" w:hAnsi="Times New Roman" w:eastAsia="Times New Roman" w:cs="Times New Roman"/>
          <w:b/>
          <w:i w:val="0"/>
          <w:sz w:val="28"/>
        </w:rPr>
        <w:t>Абдуллаев Ильхом</w:t>
      </w:r>
    </w:p>
    <w:p>
      <w:pPr>
        <w:ind w:firstLine="0"/>
      </w:pPr>
    </w:p>
    <w:p>
      <w:pPr>
        <w:ind w:firstLine="0"/>
        <w:jc w:val="left"/>
      </w:pPr>
      <w:r>
        <w:rPr>
          <w:rFonts w:ascii="Times New Roman" w:hAnsi="Times New Roman" w:eastAsia="Times New Roman" w:cs="Times New Roman"/>
          <w:b w:val="0"/>
          <w:i w:val="0"/>
          <w:sz w:val="28"/>
        </w:rPr>
        <w:t xml:space="preserve">Научный руководитель:    </w:t>
      </w:r>
      <w:r>
        <w:rPr>
          <w:rFonts w:ascii="Times New Roman" w:hAnsi="Times New Roman" w:eastAsia="Times New Roman" w:cs="Times New Roman"/>
          <w:b/>
          <w:i w:val="0"/>
          <w:sz w:val="28"/>
        </w:rPr>
        <w:t>Маликова Н. Т.</w:t>
      </w:r>
    </w:p>
    <w:p>
      <w:pPr>
        <w:ind w:firstLine="0"/>
        <w:jc w:val="left"/>
      </w:pPr>
      <w:r>
        <w:rPr>
          <w:rFonts w:ascii="Times New Roman" w:hAnsi="Times New Roman" w:eastAsia="Times New Roman" w:cs="Times New Roman"/>
          <w:b w:val="0"/>
          <w:i w:val="0"/>
          <w:sz w:val="28"/>
        </w:rPr>
        <w:t>доцент кафедры «Конвергенция цифровых технологий»</w:t>
      </w:r>
    </w:p>
    <w:p>
      <w:pPr>
        <w:ind w:firstLine="0"/>
      </w:pPr>
    </w:p>
    <w:p>
      <w:pPr>
        <w:ind w:firstLine="0"/>
      </w:pPr>
    </w:p>
    <w:p>
      <w:pPr>
        <w:ind w:firstLine="0"/>
      </w:pPr>
    </w:p>
    <w:p>
      <w:pPr>
        <w:ind w:firstLine="0"/>
      </w:pPr>
    </w:p>
    <w:p>
      <w:pPr>
        <w:ind w:firstLine="0"/>
        <w:jc w:val="center"/>
      </w:pPr>
      <w:r>
        <w:rPr>
          <w:rFonts w:ascii="Times New Roman" w:hAnsi="Times New Roman" w:eastAsia="Times New Roman" w:cs="Times New Roman"/>
          <w:b/>
          <w:i w:val="0"/>
          <w:sz w:val="28"/>
        </w:rPr>
        <w:t>Ташкент — 2026</w:t>
      </w:r>
    </w:p>
    <w:p>
      <w:pPr>
        <w:sectPr>
          <w:footerReference w:type="default" r:id="rId9"/>
          <w:headerReference w:type="default" r:id="rId10"/>
          <w:pgSz w:w="11906" w:h="16838"/>
          <w:pgMar w:top="1417" w:right="1134" w:bottom="1417" w:left="1701" w:header="680" w:footer="680" w:gutter="0"/>
          <w:cols w:space="720"/>
          <w:docGrid w:linePitch="360"/>
        </w:sectPr>
      </w:pPr>
    </w:p>
    <w:p>
      <w:pPr>
        <w:ind w:firstLine="0"/>
        <w:jc w:val="center"/>
      </w:pPr>
      <w:r>
        <w:rPr>
          <w:rFonts w:ascii="Times New Roman" w:hAnsi="Times New Roman" w:eastAsia="Times New Roman" w:cs="Times New Roman"/>
          <w:b/>
          <w:i w:val="0"/>
          <w:sz w:val="28"/>
        </w:rPr>
        <w:t>ТАШКЕНТСКИЙ УНИВЕРСИТЕТ ИНФОРМАЦИОННЫХ ТЕХНОЛОГИЙ</w:t>
      </w:r>
    </w:p>
    <w:p>
      <w:pPr>
        <w:ind w:firstLine="0"/>
        <w:jc w:val="center"/>
      </w:pPr>
      <w:r>
        <w:rPr>
          <w:rFonts w:ascii="Times New Roman" w:hAnsi="Times New Roman" w:eastAsia="Times New Roman" w:cs="Times New Roman"/>
          <w:b/>
          <w:i w:val="0"/>
          <w:sz w:val="28"/>
        </w:rPr>
        <w:t>имени Мухаммада ал-Хорезми</w:t>
      </w:r>
    </w:p>
    <w:p>
      <w:pPr>
        <w:ind w:firstLine="0"/>
        <w:jc w:val="center"/>
      </w:pPr>
      <w:r>
        <w:rPr>
          <w:rFonts w:ascii="Times New Roman" w:hAnsi="Times New Roman" w:eastAsia="Times New Roman" w:cs="Times New Roman"/>
          <w:b w:val="0"/>
          <w:i w:val="0"/>
          <w:sz w:val="28"/>
        </w:rPr>
        <w:t>Кафедра «Конвергенция цифровых технологий»</w:t>
      </w:r>
    </w:p>
    <w:p>
      <w:pPr>
        <w:ind w:firstLine="0"/>
      </w:pPr>
    </w:p>
    <w:p>
      <w:pPr>
        <w:ind w:firstLine="0"/>
        <w:jc w:val="right"/>
      </w:pPr>
      <w:r>
        <w:rPr>
          <w:rFonts w:ascii="Times New Roman" w:hAnsi="Times New Roman" w:eastAsia="Times New Roman" w:cs="Times New Roman"/>
          <w:b/>
          <w:i w:val="0"/>
          <w:sz w:val="28"/>
        </w:rPr>
        <w:t>«УТВЕРЖДАЮ»</w:t>
      </w:r>
    </w:p>
    <w:p>
      <w:pPr>
        <w:ind w:firstLine="0"/>
        <w:jc w:val="right"/>
      </w:pPr>
      <w:r>
        <w:rPr>
          <w:rFonts w:ascii="Times New Roman" w:hAnsi="Times New Roman" w:eastAsia="Times New Roman" w:cs="Times New Roman"/>
          <w:b w:val="0"/>
          <w:i w:val="0"/>
          <w:sz w:val="28"/>
        </w:rPr>
        <w:t>Заведующий кафедрой</w:t>
      </w:r>
    </w:p>
    <w:p>
      <w:pPr>
        <w:ind w:firstLine="0"/>
        <w:jc w:val="right"/>
      </w:pPr>
      <w:r>
        <w:rPr>
          <w:rFonts w:ascii="Times New Roman" w:hAnsi="Times New Roman" w:eastAsia="Times New Roman" w:cs="Times New Roman"/>
          <w:b w:val="0"/>
          <w:i w:val="0"/>
          <w:sz w:val="28"/>
        </w:rPr>
        <w:t>____________________</w:t>
      </w:r>
    </w:p>
    <w:p>
      <w:pPr>
        <w:ind w:firstLine="0"/>
        <w:jc w:val="right"/>
      </w:pPr>
      <w:r>
        <w:rPr>
          <w:rFonts w:ascii="Times New Roman" w:hAnsi="Times New Roman" w:eastAsia="Times New Roman" w:cs="Times New Roman"/>
          <w:b w:val="0"/>
          <w:i w:val="0"/>
          <w:sz w:val="28"/>
        </w:rPr>
        <w:t>«____» ____________ 2026 г.</w:t>
      </w:r>
    </w:p>
    <w:p>
      <w:pPr>
        <w:ind w:firstLine="0"/>
      </w:pPr>
    </w:p>
    <w:p>
      <w:pPr>
        <w:ind w:firstLine="0"/>
      </w:pPr>
    </w:p>
    <w:p>
      <w:pPr>
        <w:ind w:firstLine="0"/>
        <w:jc w:val="center"/>
      </w:pPr>
      <w:r>
        <w:rPr>
          <w:rFonts w:ascii="Times New Roman" w:hAnsi="Times New Roman" w:eastAsia="Times New Roman" w:cs="Times New Roman"/>
          <w:b/>
          <w:i w:val="0"/>
          <w:sz w:val="32"/>
        </w:rPr>
        <w:t>ЗАДАНИЕ</w:t>
      </w:r>
    </w:p>
    <w:p>
      <w:pPr>
        <w:ind w:firstLine="0"/>
        <w:jc w:val="center"/>
      </w:pPr>
      <w:r>
        <w:rPr>
          <w:rFonts w:ascii="Times New Roman" w:hAnsi="Times New Roman" w:eastAsia="Times New Roman" w:cs="Times New Roman"/>
          <w:b w:val="0"/>
          <w:i w:val="0"/>
          <w:sz w:val="28"/>
        </w:rPr>
        <w:t>на проектную работу</w:t>
      </w:r>
    </w:p>
    <w:p>
      <w:pPr>
        <w:ind w:firstLine="0"/>
      </w:pPr>
    </w:p>
    <w:p>
      <w:pPr>
        <w:ind w:firstLine="0"/>
      </w:pPr>
      <w:r>
        <w:rPr>
          <w:rFonts w:ascii="Times New Roman" w:hAnsi="Times New Roman" w:eastAsia="Times New Roman" w:cs="Times New Roman"/>
          <w:b/>
          <w:i w:val="0"/>
          <w:sz w:val="28"/>
        </w:rPr>
        <w:t xml:space="preserve">Студент: </w:t>
      </w:r>
      <w:r>
        <w:rPr>
          <w:rFonts w:ascii="Times New Roman" w:hAnsi="Times New Roman" w:eastAsia="Times New Roman" w:cs="Times New Roman"/>
          <w:b w:val="0"/>
          <w:i w:val="0"/>
          <w:sz w:val="28"/>
        </w:rPr>
        <w:t>Абдуллаев Ильхом, группа 035-22</w:t>
      </w:r>
    </w:p>
    <w:p>
      <w:pPr>
        <w:ind w:firstLine="0"/>
      </w:pPr>
      <w:r>
        <w:rPr>
          <w:rFonts w:ascii="Times New Roman" w:hAnsi="Times New Roman" w:eastAsia="Times New Roman" w:cs="Times New Roman"/>
          <w:b/>
          <w:i w:val="0"/>
          <w:sz w:val="28"/>
        </w:rPr>
        <w:t xml:space="preserve">Тема работы: </w:t>
      </w:r>
      <w:r>
        <w:rPr>
          <w:rFonts w:ascii="Times New Roman" w:hAnsi="Times New Roman" w:eastAsia="Times New Roman" w:cs="Times New Roman"/>
          <w:b w:val="0"/>
          <w:i w:val="0"/>
          <w:sz w:val="28"/>
        </w:rPr>
        <w:t>«Создание информационной системы электронной подписки на газеты и журналы»</w:t>
      </w:r>
    </w:p>
    <w:p>
      <w:pPr>
        <w:ind w:firstLine="0"/>
      </w:pPr>
      <w:r>
        <w:rPr>
          <w:rFonts w:ascii="Times New Roman" w:hAnsi="Times New Roman" w:eastAsia="Times New Roman" w:cs="Times New Roman"/>
          <w:b/>
          <w:i w:val="0"/>
          <w:sz w:val="28"/>
        </w:rPr>
        <w:t xml:space="preserve">Руководитель: </w:t>
      </w:r>
      <w:r>
        <w:rPr>
          <w:rFonts w:ascii="Times New Roman" w:hAnsi="Times New Roman" w:eastAsia="Times New Roman" w:cs="Times New Roman"/>
          <w:b w:val="0"/>
          <w:i w:val="0"/>
          <w:sz w:val="28"/>
        </w:rPr>
        <w:t>Маликова Нодира Тургуновна, доцент кафедры «Конвергенция цифровых технологий»</w:t>
      </w:r>
    </w:p>
    <w:p>
      <w:pPr>
        <w:ind w:firstLine="0"/>
      </w:pPr>
    </w:p>
    <w:p>
      <w:r>
        <w:rPr>
          <w:rFonts w:ascii="Times New Roman" w:hAnsi="Times New Roman" w:eastAsia="Times New Roman" w:cs="Times New Roman"/>
          <w:b/>
          <w:i w:val="0"/>
          <w:sz w:val="28"/>
        </w:rPr>
        <w:t xml:space="preserve">Исходные данные. </w:t>
      </w:r>
      <w:r>
        <w:rPr>
          <w:rFonts w:ascii="Times New Roman" w:hAnsi="Times New Roman" w:eastAsia="Times New Roman" w:cs="Times New Roman"/>
          <w:b w:val="0"/>
          <w:i w:val="0"/>
          <w:sz w:val="28"/>
        </w:rPr>
        <w:t>Предметная область — рынок периодических печатных и электронных изданий Республики Узбекистан. Целевой стек разработки — React 18, TypeScript, Vite, TailwindCSS на стороне клиента, Vercel Serverless Functions на стороне сервера, Neon PostgreSQL в качестве базы данных, Vercel Blob для хранения PDF-номеров и обложек, JSON Web Token (JWT, англ. — токен в формате JSON) и bcrypt для аутентификации. Целевая аудитория — читатели газет и журналов на русском и узбекском языках.</w:t>
      </w:r>
    </w:p>
    <w:p>
      <w:pPr>
        <w:ind w:firstLine="0"/>
      </w:pPr>
    </w:p>
    <w:p>
      <w:pPr>
        <w:ind w:firstLine="0"/>
      </w:pPr>
      <w:r>
        <w:rPr>
          <w:rFonts w:ascii="Times New Roman" w:hAnsi="Times New Roman" w:eastAsia="Times New Roman" w:cs="Times New Roman"/>
          <w:b/>
          <w:i w:val="0"/>
          <w:sz w:val="28"/>
        </w:rPr>
        <w:t>Перечень разделов проектной работы.</w:t>
      </w:r>
    </w:p>
    <w:p>
      <w:pPr>
        <w:ind w:firstLine="0"/>
      </w:pPr>
      <w:r>
        <w:rPr>
          <w:rFonts w:ascii="Times New Roman" w:hAnsi="Times New Roman" w:eastAsia="Times New Roman" w:cs="Times New Roman"/>
          <w:b w:val="0"/>
          <w:i w:val="0"/>
          <w:sz w:val="28"/>
        </w:rPr>
        <w:t>1. Введение.</w:t>
      </w:r>
    </w:p>
    <w:p>
      <w:pPr>
        <w:ind w:firstLine="0"/>
      </w:pPr>
      <w:r>
        <w:rPr>
          <w:rFonts w:ascii="Times New Roman" w:hAnsi="Times New Roman" w:eastAsia="Times New Roman" w:cs="Times New Roman"/>
          <w:b w:val="0"/>
          <w:i w:val="0"/>
          <w:sz w:val="28"/>
        </w:rPr>
        <w:t>2. Теоретическая часть. Раздел 1. Анализ предметной области.</w:t>
      </w:r>
    </w:p>
    <w:p>
      <w:pPr>
        <w:ind w:firstLine="0"/>
      </w:pPr>
      <w:r>
        <w:rPr>
          <w:rFonts w:ascii="Times New Roman" w:hAnsi="Times New Roman" w:eastAsia="Times New Roman" w:cs="Times New Roman"/>
          <w:b w:val="0"/>
          <w:i w:val="0"/>
          <w:sz w:val="28"/>
        </w:rPr>
        <w:t>3. Теоретическая часть. Раздел 2. Архитектурные подходы и обоснование выбора стека.</w:t>
      </w:r>
    </w:p>
    <w:p>
      <w:pPr>
        <w:ind w:firstLine="0"/>
      </w:pPr>
      <w:r>
        <w:rPr>
          <w:rFonts w:ascii="Times New Roman" w:hAnsi="Times New Roman" w:eastAsia="Times New Roman" w:cs="Times New Roman"/>
          <w:b w:val="0"/>
          <w:i w:val="0"/>
          <w:sz w:val="28"/>
        </w:rPr>
        <w:t>4. Теоретическая часть. Раздел 3. Проектирование базы данных и модели подписок.</w:t>
      </w:r>
    </w:p>
    <w:p>
      <w:pPr>
        <w:ind w:firstLine="0"/>
      </w:pPr>
      <w:r>
        <w:rPr>
          <w:rFonts w:ascii="Times New Roman" w:hAnsi="Times New Roman" w:eastAsia="Times New Roman" w:cs="Times New Roman"/>
          <w:b w:val="0"/>
          <w:i w:val="0"/>
          <w:sz w:val="28"/>
        </w:rPr>
        <w:t>5. Практическая часть. Описание реализации функциональных модулей.</w:t>
      </w:r>
    </w:p>
    <w:p>
      <w:pPr>
        <w:ind w:firstLine="0"/>
      </w:pPr>
      <w:r>
        <w:rPr>
          <w:rFonts w:ascii="Times New Roman" w:hAnsi="Times New Roman" w:eastAsia="Times New Roman" w:cs="Times New Roman"/>
          <w:b w:val="0"/>
          <w:i w:val="0"/>
          <w:sz w:val="28"/>
        </w:rPr>
        <w:t>6. Заключение.</w:t>
      </w:r>
    </w:p>
    <w:p>
      <w:pPr>
        <w:ind w:firstLine="0"/>
      </w:pPr>
      <w:r>
        <w:rPr>
          <w:rFonts w:ascii="Times New Roman" w:hAnsi="Times New Roman" w:eastAsia="Times New Roman" w:cs="Times New Roman"/>
          <w:b w:val="0"/>
          <w:i w:val="0"/>
          <w:sz w:val="28"/>
        </w:rPr>
        <w:t>7. Использованные источники.</w:t>
      </w:r>
    </w:p>
    <w:p>
      <w:pPr>
        <w:ind w:firstLine="0"/>
      </w:pPr>
      <w:r>
        <w:rPr>
          <w:rFonts w:ascii="Times New Roman" w:hAnsi="Times New Roman" w:eastAsia="Times New Roman" w:cs="Times New Roman"/>
          <w:b w:val="0"/>
          <w:i w:val="0"/>
          <w:sz w:val="28"/>
        </w:rPr>
        <w:t>8. Приложения.</w:t>
      </w:r>
    </w:p>
    <w:p>
      <w:pPr>
        <w:ind w:firstLine="0"/>
      </w:pPr>
    </w:p>
    <w:p>
      <w:pPr>
        <w:ind w:firstLine="0"/>
      </w:pPr>
      <w:r>
        <w:rPr>
          <w:rFonts w:ascii="Times New Roman" w:hAnsi="Times New Roman" w:eastAsia="Times New Roman" w:cs="Times New Roman"/>
          <w:b/>
          <w:i w:val="0"/>
          <w:sz w:val="28"/>
        </w:rPr>
        <w:t>Перечень графического материала.</w:t>
      </w:r>
    </w:p>
    <w:p>
      <w:pPr>
        <w:ind w:firstLine="0"/>
      </w:pPr>
      <w:r>
        <w:rPr>
          <w:rFonts w:ascii="Times New Roman" w:hAnsi="Times New Roman" w:eastAsia="Times New Roman" w:cs="Times New Roman"/>
          <w:b w:val="0"/>
          <w:i w:val="0"/>
          <w:sz w:val="28"/>
        </w:rPr>
        <w:t>1. ER-диаграмма базы данных.</w:t>
      </w:r>
    </w:p>
    <w:p>
      <w:pPr>
        <w:ind w:firstLine="0"/>
      </w:pPr>
      <w:r>
        <w:rPr>
          <w:rFonts w:ascii="Times New Roman" w:hAnsi="Times New Roman" w:eastAsia="Times New Roman" w:cs="Times New Roman"/>
          <w:b w:val="0"/>
          <w:i w:val="0"/>
          <w:sz w:val="28"/>
        </w:rPr>
        <w:t>2. Архитектурная схема системы.</w:t>
      </w:r>
    </w:p>
    <w:p>
      <w:pPr>
        <w:ind w:firstLine="0"/>
      </w:pPr>
      <w:r>
        <w:rPr>
          <w:rFonts w:ascii="Times New Roman" w:hAnsi="Times New Roman" w:eastAsia="Times New Roman" w:cs="Times New Roman"/>
          <w:b w:val="0"/>
          <w:i w:val="0"/>
          <w:sz w:val="28"/>
        </w:rPr>
        <w:t>3. Скриншоты пользовательского интерфейса (14 рисунков).</w:t>
      </w:r>
    </w:p>
    <w:p>
      <w:pPr>
        <w:ind w:firstLine="0"/>
      </w:pPr>
    </w:p>
    <w:p>
      <w:pPr>
        <w:ind w:firstLine="0"/>
      </w:pPr>
      <w:r>
        <w:rPr>
          <w:rFonts w:ascii="Times New Roman" w:hAnsi="Times New Roman" w:eastAsia="Times New Roman" w:cs="Times New Roman"/>
          <w:b/>
          <w:i w:val="0"/>
          <w:sz w:val="28"/>
        </w:rPr>
        <w:t xml:space="preserve">Дата выдачи задания: </w:t>
      </w:r>
      <w:r>
        <w:rPr>
          <w:rFonts w:ascii="Times New Roman" w:hAnsi="Times New Roman" w:eastAsia="Times New Roman" w:cs="Times New Roman"/>
          <w:b w:val="0"/>
          <w:i w:val="0"/>
          <w:sz w:val="28"/>
        </w:rPr>
        <w:t>«____» ____________ 2026 г.</w:t>
      </w:r>
    </w:p>
    <w:p>
      <w:pPr>
        <w:ind w:firstLine="0"/>
      </w:pPr>
      <w:r>
        <w:rPr>
          <w:rFonts w:ascii="Times New Roman" w:hAnsi="Times New Roman" w:eastAsia="Times New Roman" w:cs="Times New Roman"/>
          <w:b/>
          <w:i w:val="0"/>
          <w:sz w:val="28"/>
        </w:rPr>
        <w:t xml:space="preserve">Срок сдачи работы: </w:t>
      </w:r>
      <w:r>
        <w:rPr>
          <w:rFonts w:ascii="Times New Roman" w:hAnsi="Times New Roman" w:eastAsia="Times New Roman" w:cs="Times New Roman"/>
          <w:b w:val="0"/>
          <w:i w:val="0"/>
          <w:sz w:val="28"/>
        </w:rPr>
        <w:t>«____» ____________ 2026 г.</w:t>
      </w:r>
    </w:p>
    <w:p>
      <w:pPr>
        <w:ind w:firstLine="0"/>
      </w:pPr>
    </w:p>
    <w:p>
      <w:pPr>
        <w:ind w:firstLine="0"/>
      </w:pPr>
    </w:p>
    <w:p>
      <w:pPr>
        <w:ind w:firstLine="0"/>
      </w:pPr>
      <w:r>
        <w:rPr>
          <w:rFonts w:ascii="Times New Roman" w:hAnsi="Times New Roman" w:eastAsia="Times New Roman" w:cs="Times New Roman"/>
          <w:b w:val="0"/>
          <w:i w:val="0"/>
          <w:sz w:val="28"/>
        </w:rPr>
        <w:t>Руководитель                    ____________________ / Маликова Н. Т. /</w:t>
      </w:r>
    </w:p>
    <w:p>
      <w:pPr>
        <w:ind w:firstLine="0"/>
      </w:pPr>
    </w:p>
    <w:p>
      <w:pPr>
        <w:ind w:firstLine="0"/>
      </w:pPr>
      <w:r>
        <w:rPr>
          <w:rFonts w:ascii="Times New Roman" w:hAnsi="Times New Roman" w:eastAsia="Times New Roman" w:cs="Times New Roman"/>
          <w:b w:val="0"/>
          <w:i w:val="0"/>
          <w:sz w:val="28"/>
        </w:rPr>
        <w:t>Задание принял к исполнению  ____________________ / Абдуллаев И. /</w:t>
      </w:r>
    </w:p>
    <w:p>
      <w:pPr>
        <w:sectPr>
          <w:footerReference w:type="default" r:id="rId11"/>
          <w:headerReference w:type="default" r:id="rId12"/>
          <w:pgSz w:w="11906" w:h="16838"/>
          <w:pgMar w:top="1417" w:right="1134" w:bottom="1417" w:left="1701" w:header="680" w:footer="680" w:gutter="0"/>
          <w:cols w:space="720"/>
          <w:docGrid w:linePitch="360"/>
        </w:sectPr>
      </w:pPr>
    </w:p>
    <w:p>
      <w:pPr>
        <w:ind w:firstLine="0"/>
        <w:jc w:val="center"/>
      </w:pPr>
      <w:r>
        <w:rPr>
          <w:rFonts w:ascii="Times New Roman" w:hAnsi="Times New Roman" w:eastAsia="Times New Roman" w:cs="Times New Roman"/>
          <w:b/>
          <w:i w:val="0"/>
          <w:sz w:val="28"/>
        </w:rPr>
        <w:t>СОДЕРЖАНИЕ</w:t>
      </w:r>
    </w:p>
    <w:p>
      <w:pPr>
        <w:ind w:firstLine="0"/>
      </w:pPr>
    </w:p>
    <w:p>
      <w:pPr>
        <w:ind w:firstLine="0"/>
      </w:pPr>
      <w:r>
        <w:rPr>
          <w:rFonts w:ascii="Times New Roman" w:hAnsi="Times New Roman" w:eastAsia="Times New Roman" w:cs="Times New Roman"/>
          <w:b w:val="0"/>
          <w:i w:val="0"/>
          <w:sz w:val="28"/>
        </w:rPr>
        <w:fldChar w:fldCharType="begin"/>
        <w:instrText xml:space="preserve"> TOC \o "1-2" \h \z \u </w:instrText>
        <w:fldChar w:fldCharType="separate"/>
      </w:r>
      <w:r>
        <w:rPr>
          <w:rFonts w:ascii="Times New Roman" w:hAnsi="Times New Roman" w:eastAsia="Times New Roman" w:cs="Times New Roman"/>
          <w:b w:val="0"/>
          <w:i/>
          <w:sz w:val="28"/>
        </w:rPr>
        <w:t>Откройте документ в Microsoft Word и обновите поле (F9), чтобы построить оглавление.</w:t>
      </w:r>
      <w:r>
        <w:rPr>
          <w:rFonts w:ascii="Times New Roman" w:hAnsi="Times New Roman" w:eastAsia="Times New Roman" w:cs="Times New Roman"/>
          <w:b w:val="0"/>
          <w:i w:val="0"/>
          <w:sz w:val="28"/>
        </w:rPr>
        <w:fldChar w:fldCharType="end"/>
      </w:r>
    </w:p>
    <w:p>
      <w:pPr>
        <w:sectPr>
          <w:footerReference w:type="default" r:id="rId13"/>
          <w:headerReference w:type="default" r:id="rId14"/>
          <w:pgSz w:w="11906" w:h="16838"/>
          <w:pgMar w:top="1417" w:right="1134" w:bottom="1417" w:left="1701" w:header="680" w:footer="680" w:gutter="0"/>
          <w:cols w:space="720"/>
          <w:docGrid w:linePitch="360"/>
        </w:sectPr>
      </w:pPr>
    </w:p>
    <w:p>
      <w:pPr>
        <w:pStyle w:val="Heading1"/>
        <w:jc w:val="center"/>
      </w:pPr>
      <w:r>
        <w:rPr>
          <w:rFonts w:ascii="Times New Roman" w:hAnsi="Times New Roman" w:eastAsia="Times New Roman" w:cs="Times New Roman"/>
          <w:b/>
          <w:i w:val="0"/>
          <w:sz w:val="28"/>
        </w:rPr>
        <w:t>ВВЕДЕНИЕ</w:t>
      </w:r>
    </w:p>
    <w:p>
      <w:r>
        <w:rPr>
          <w:rFonts w:ascii="Times New Roman" w:hAnsi="Times New Roman" w:eastAsia="Times New Roman" w:cs="Times New Roman"/>
          <w:b w:val="0"/>
          <w:i w:val="0"/>
          <w:sz w:val="28"/>
        </w:rPr>
        <w:t>Развитие цифровой инфраструктуры Республики Узбекистан меняет способы распространения периодических печатных изданий. Тиражи бумажных газет и журналов в стране снижаются с 2018 года, а доля читателей, получающих новости и аналитику через интернет, растёт. По данным Государственного комитета Республики Узбекистан по статистике, охват домашних хозяйств широкополосным доступом в 2024 году превысил 82 процента, а число активных мобильных интернет-подключений достигло 33,6 миллионов. Эти показатели создают реальную почву для перевода подписки на периодические издания в электронный формат, при котором читатель оформляет доступ к изданию через веб-сайт и получает номера в виде PDF-файлов или адаптивных страниц на любом устройстве [1] [4].</w:t>
      </w:r>
    </w:p>
    <w:p>
      <w:r>
        <w:rPr>
          <w:rFonts w:ascii="Times New Roman" w:hAnsi="Times New Roman" w:eastAsia="Times New Roman" w:cs="Times New Roman"/>
          <w:b w:val="0"/>
          <w:i w:val="0"/>
          <w:sz w:val="28"/>
        </w:rPr>
        <w:t>Государственная политика прямо ориентирует отрасль на цифровизацию. Указом Президента Республики Узбекистан № УП-6079 от 5 октября 2020 года «Об утверждении Стратегии «Цифровой Узбекистан — 2030», определяющей приоритеты развития цифровой экономики, телекоммуникаций и электронного правительства, поставлена задача перевести в электронный вид массовые сервисы и распространение информации. Закон Республики Узбекистан № 541 от 15 января 2007 года «О средствах массовой информации» (действующая редакция), регулирующий деятельность СМИ и порядок их распространения, признаёт сетевые издания полноправной формой массовой информации. Закон Республики Узбекистан № ЗРУ-560 от 24 апреля 2019 года «О связи», устанавливающий правовые основы деятельности в сфере электросвязи, формирует требования к каналам передачи данных, через которые работает электронная подписка [1] [2] [3].</w:t>
      </w:r>
    </w:p>
    <w:p>
      <w:r>
        <w:rPr>
          <w:rFonts w:ascii="Times New Roman" w:hAnsi="Times New Roman" w:eastAsia="Times New Roman" w:cs="Times New Roman"/>
          <w:b w:val="0"/>
          <w:i w:val="0"/>
          <w:sz w:val="28"/>
        </w:rPr>
        <w:t>Существующие в стране сервисы решают задачу частично. Государственный оператор Pochta.uz позволяет оформить бумажную подписку через интернет, однако содержательный доступ к выпускам остаётся на бумаге. Портал davr-online.uz предоставляет архивы отдельных изданий, но не объединяет каталоги издателей и не работает с моделью подписки. Зарубежные сервисы Readly, Magzter и PressReader предлагают единый каталог и читалку, однако русскоязычный и узбекоязычный контент Узбекистана представлен в них фрагментарно, а оплата привязана к платёжным системам, недоступным локальному читателю. Для отечественного рынка остаётся свободной ниша, в которой объединяются национальный каталог, цифровая доставка PDF и оплата в национальной валюте [5] [6].</w:t>
      </w:r>
    </w:p>
    <w:p>
      <w:r>
        <w:rPr>
          <w:rFonts w:ascii="Times New Roman" w:hAnsi="Times New Roman" w:eastAsia="Times New Roman" w:cs="Times New Roman"/>
          <w:b w:val="0"/>
          <w:i w:val="0"/>
          <w:sz w:val="28"/>
        </w:rPr>
        <w:t>Актуальность работы определяется тремя обстоятельствами. Первое — регуляторная среда требует переноса распространения СМИ в электронный контур. Второе — техническая инфраструктура (широкополосный интернет, массовые мобильные устройства, безналичная оплата) уже доступна целевой аудитории. Третье — на рынке отсутствует комплексное веб-решение, которое объединяет каталог изданий, оформление подписки по периодам, доступ к архиву номеров и личный кабинет читателя.</w:t>
      </w:r>
    </w:p>
    <w:p>
      <w:r>
        <w:rPr>
          <w:rFonts w:ascii="Times New Roman" w:hAnsi="Times New Roman" w:eastAsia="Times New Roman" w:cs="Times New Roman"/>
          <w:b/>
          <w:i w:val="0"/>
          <w:sz w:val="28"/>
        </w:rPr>
        <w:t xml:space="preserve">Цель работы. </w:t>
      </w:r>
      <w:r>
        <w:rPr>
          <w:rFonts w:ascii="Times New Roman" w:hAnsi="Times New Roman" w:eastAsia="Times New Roman" w:cs="Times New Roman"/>
          <w:b w:val="0"/>
          <w:i w:val="0"/>
          <w:sz w:val="28"/>
        </w:rPr>
        <w:t>Спроектировать и реализовать веб-приложение электронной подписки на газеты и журналы для рынка Республики Узбекистан с поддержкой русского и узбекского языков, включающее каталог изданий, оформление подписки на выбранный период, имитацию оплаты, цифровой архив PDF-номеров и административную панель для управления контентом.</w:t>
      </w:r>
    </w:p>
    <w:p>
      <w:pPr>
        <w:ind w:firstLine="709"/>
      </w:pPr>
      <w:r>
        <w:rPr>
          <w:rFonts w:ascii="Times New Roman" w:hAnsi="Times New Roman" w:eastAsia="Times New Roman" w:cs="Times New Roman"/>
          <w:b/>
          <w:i w:val="0"/>
          <w:sz w:val="28"/>
        </w:rPr>
        <w:t>Задачи работы.</w:t>
      </w:r>
    </w:p>
    <w:p>
      <w:r>
        <w:rPr>
          <w:rFonts w:ascii="Times New Roman" w:hAnsi="Times New Roman" w:eastAsia="Times New Roman" w:cs="Times New Roman"/>
          <w:b w:val="0"/>
          <w:i w:val="0"/>
          <w:sz w:val="28"/>
        </w:rPr>
        <w:t>1. проанализировать предметную область и существующие сервисы электронной подписки;</w:t>
      </w:r>
    </w:p>
    <w:p>
      <w:r>
        <w:rPr>
          <w:rFonts w:ascii="Times New Roman" w:hAnsi="Times New Roman" w:eastAsia="Times New Roman" w:cs="Times New Roman"/>
          <w:b w:val="0"/>
          <w:i w:val="0"/>
          <w:sz w:val="28"/>
        </w:rPr>
        <w:t>2. обосновать выбор архитектуры и технологического стека для развёртывания на бесплатных тарифах облачных провайдеров;</w:t>
      </w:r>
    </w:p>
    <w:p>
      <w:r>
        <w:rPr>
          <w:rFonts w:ascii="Times New Roman" w:hAnsi="Times New Roman" w:eastAsia="Times New Roman" w:cs="Times New Roman"/>
          <w:b w:val="0"/>
          <w:i w:val="0"/>
          <w:sz w:val="28"/>
        </w:rPr>
        <w:t>3. спроектировать реляционную базу данных и описать жизненный цикл подписки;</w:t>
      </w:r>
    </w:p>
    <w:p>
      <w:r>
        <w:rPr>
          <w:rFonts w:ascii="Times New Roman" w:hAnsi="Times New Roman" w:eastAsia="Times New Roman" w:cs="Times New Roman"/>
          <w:b w:val="0"/>
          <w:i w:val="0"/>
          <w:sz w:val="28"/>
        </w:rPr>
        <w:t>4. разработать публичную часть приложения (главная страница, каталог, карточка издания, формы регистрации и входа);</w:t>
      </w:r>
    </w:p>
    <w:p>
      <w:r>
        <w:rPr>
          <w:rFonts w:ascii="Times New Roman" w:hAnsi="Times New Roman" w:eastAsia="Times New Roman" w:cs="Times New Roman"/>
          <w:b w:val="0"/>
          <w:i w:val="0"/>
          <w:sz w:val="28"/>
        </w:rPr>
        <w:t>5. разработать личный кабинет читателя с разделами «Мои подписки», «Архив номеров», «История платежей»;</w:t>
      </w:r>
    </w:p>
    <w:p>
      <w:r>
        <w:rPr>
          <w:rFonts w:ascii="Times New Roman" w:hAnsi="Times New Roman" w:eastAsia="Times New Roman" w:cs="Times New Roman"/>
          <w:b w:val="0"/>
          <w:i w:val="0"/>
          <w:sz w:val="28"/>
        </w:rPr>
        <w:t>6. реализовать оформление подписки с имитацией оплаты по банковской карте;</w:t>
      </w:r>
    </w:p>
    <w:p>
      <w:r>
        <w:rPr>
          <w:rFonts w:ascii="Times New Roman" w:hAnsi="Times New Roman" w:eastAsia="Times New Roman" w:cs="Times New Roman"/>
          <w:b w:val="0"/>
          <w:i w:val="0"/>
          <w:sz w:val="28"/>
        </w:rPr>
        <w:t>7. разработать административную панель для управления изданиями и загрузки PDF-номеров;</w:t>
      </w:r>
    </w:p>
    <w:p>
      <w:r>
        <w:rPr>
          <w:rFonts w:ascii="Times New Roman" w:hAnsi="Times New Roman" w:eastAsia="Times New Roman" w:cs="Times New Roman"/>
          <w:b w:val="0"/>
          <w:i w:val="0"/>
          <w:sz w:val="28"/>
        </w:rPr>
        <w:t>8. обеспечить двуязычный интерфейс на основе библиотеки react-i18next;</w:t>
      </w:r>
    </w:p>
    <w:p>
      <w:r>
        <w:rPr>
          <w:rFonts w:ascii="Times New Roman" w:hAnsi="Times New Roman" w:eastAsia="Times New Roman" w:cs="Times New Roman"/>
          <w:b w:val="0"/>
          <w:i w:val="0"/>
          <w:sz w:val="28"/>
        </w:rPr>
        <w:t>9. выполнить развёртывание системы на платформе Vercel и подключить базу данных Neon PostgreSQL.</w:t>
      </w:r>
    </w:p>
    <w:p>
      <w:r>
        <w:rPr>
          <w:rFonts w:ascii="Times New Roman" w:hAnsi="Times New Roman" w:eastAsia="Times New Roman" w:cs="Times New Roman"/>
          <w:b/>
          <w:i w:val="0"/>
          <w:sz w:val="28"/>
        </w:rPr>
        <w:t xml:space="preserve">Объект исследования — </w:t>
      </w:r>
      <w:r>
        <w:rPr>
          <w:rFonts w:ascii="Times New Roman" w:hAnsi="Times New Roman" w:eastAsia="Times New Roman" w:cs="Times New Roman"/>
          <w:b w:val="0"/>
          <w:i w:val="0"/>
          <w:sz w:val="28"/>
        </w:rPr>
        <w:t>процессы оформления и сопровождения электронной подписки на периодические издания.</w:t>
      </w:r>
    </w:p>
    <w:p>
      <w:r>
        <w:rPr>
          <w:rFonts w:ascii="Times New Roman" w:hAnsi="Times New Roman" w:eastAsia="Times New Roman" w:cs="Times New Roman"/>
          <w:b/>
          <w:i w:val="0"/>
          <w:sz w:val="28"/>
        </w:rPr>
        <w:t xml:space="preserve">Предмет исследования — </w:t>
      </w:r>
      <w:r>
        <w:rPr>
          <w:rFonts w:ascii="Times New Roman" w:hAnsi="Times New Roman" w:eastAsia="Times New Roman" w:cs="Times New Roman"/>
          <w:b w:val="0"/>
          <w:i w:val="0"/>
          <w:sz w:val="28"/>
        </w:rPr>
        <w:t>методы построения веб-приложений на стеке React, бессерверных функций Vercel и управляемой базы данных PostgreSQL для задачи цифровой подписки.</w:t>
      </w:r>
    </w:p>
    <w:p>
      <w:r>
        <w:rPr>
          <w:rFonts w:ascii="Times New Roman" w:hAnsi="Times New Roman" w:eastAsia="Times New Roman" w:cs="Times New Roman"/>
          <w:b/>
          <w:i w:val="0"/>
          <w:sz w:val="28"/>
        </w:rPr>
        <w:t xml:space="preserve">Методы. </w:t>
      </w:r>
      <w:r>
        <w:rPr>
          <w:rFonts w:ascii="Times New Roman" w:hAnsi="Times New Roman" w:eastAsia="Times New Roman" w:cs="Times New Roman"/>
          <w:b w:val="0"/>
          <w:i w:val="0"/>
          <w:sz w:val="28"/>
        </w:rPr>
        <w:t>Использованы методы системного анализа предметной области, сравнительного анализа технологий, проектирования реляционных баз данных по правилам нормализации до третьей нормальной формы, объектно-ориентированного и компонентного программирования, функционального тестирования веб-интерфейса.</w:t>
      </w:r>
    </w:p>
    <w:p>
      <w:r>
        <w:rPr>
          <w:rFonts w:ascii="Times New Roman" w:hAnsi="Times New Roman" w:eastAsia="Times New Roman" w:cs="Times New Roman"/>
          <w:b/>
          <w:i w:val="0"/>
          <w:sz w:val="28"/>
        </w:rPr>
        <w:t xml:space="preserve">Структура работы. </w:t>
      </w:r>
      <w:r>
        <w:rPr>
          <w:rFonts w:ascii="Times New Roman" w:hAnsi="Times New Roman" w:eastAsia="Times New Roman" w:cs="Times New Roman"/>
          <w:b w:val="0"/>
          <w:i w:val="0"/>
          <w:sz w:val="28"/>
        </w:rPr>
        <w:t>Документ состоит из введения, теоретической части из трёх разделов, практической части, заключения, списка использованных источников и приложений. В первом разделе теоретической части выполнен анализ рынка электронной подписки. Во втором разделе обоснован выбор архитектуры и стека. В третьем разделе спроектирована база данных. В практической части описаны реализованные модули и приведены экранные формы готового приложения, развёрнутого по адресу https://ilhom-oj9x.vercel.app/.</w:t>
      </w:r>
    </w:p>
    <w:p>
      <w:pPr>
        <w:pStyle w:val="Heading1"/>
        <w:jc w:val="center"/>
      </w:pPr>
      <w:r>
        <w:rPr>
          <w:rFonts w:ascii="Times New Roman" w:hAnsi="Times New Roman" w:eastAsia="Times New Roman" w:cs="Times New Roman"/>
          <w:b/>
          <w:i w:val="0"/>
          <w:sz w:val="28"/>
        </w:rPr>
        <w:t>1. ТЕОРЕТИЧЕСКАЯ ЧАСТЬ. АНАЛИЗ ПРЕДМЕТНОЙ ОБЛАСТИ</w:t>
      </w:r>
    </w:p>
    <w:p>
      <w:pPr>
        <w:pStyle w:val="Heading2"/>
      </w:pPr>
      <w:r>
        <w:rPr>
          <w:rFonts w:ascii="Times New Roman" w:hAnsi="Times New Roman" w:eastAsia="Times New Roman" w:cs="Times New Roman"/>
          <w:b/>
          <w:i w:val="0"/>
          <w:sz w:val="28"/>
        </w:rPr>
        <w:t>1.1. Понятие электронной подписки и её отличия от бумажной</w:t>
      </w:r>
    </w:p>
    <w:p>
      <w:r>
        <w:rPr>
          <w:rFonts w:ascii="Times New Roman" w:hAnsi="Times New Roman" w:eastAsia="Times New Roman" w:cs="Times New Roman"/>
          <w:b w:val="0"/>
          <w:i w:val="0"/>
          <w:sz w:val="28"/>
        </w:rPr>
        <w:t>Электронная подписка на периодическое издание — это договорное отношение, при котором читатель приобретает доступ к выпускам газеты или журнала в цифровой форме на ограниченный срок. В отличие от бумажной подписки, при которой издатель печатает тираж и доставляет физический экземпляр через почтовые и курьерские каналы, электронная форма не предполагает производственного цикла печати и логистики. Читатель получает выпуски через веб-сайт или мобильное приложение сразу после публикации, а права доступа определяются статусом подписки в базе данных провайдера.</w:t>
      </w:r>
    </w:p>
    <w:p>
      <w:r>
        <w:rPr>
          <w:rFonts w:ascii="Times New Roman" w:hAnsi="Times New Roman" w:eastAsia="Times New Roman" w:cs="Times New Roman"/>
          <w:b w:val="0"/>
          <w:i w:val="0"/>
          <w:sz w:val="28"/>
        </w:rPr>
        <w:t>С точки зрения издателя электронная подписка снижает себестоимость выпуска, поскольку расходы на бумагу, печать и доставку заменяются затратами на хостинг файлов и поддержку программного обеспечения. С точки зрения читателя электронная форма даёт доступ к архиву выпусков, поиск по номерам, чтение с произвольного устройства и независимость от расписания почтовой доставки. С точки зрения регулятора электронные издания подпадают под действие Закона Республики Узбекистан № 541 от 15 января 2007 года «О средствах массовой информации» (действующая редакция), регулирующего деятельность СМИ и порядок их распространения, а защита персональных данных подписчиков обеспечивается Законом Республики Узбекистан № ЗРУ-547 от 2 июля 2019 года «О персональных данных», устанавливающим требования к обработке и хранению персональных данных граждан [1] [7].</w:t>
      </w:r>
    </w:p>
    <w:p>
      <w:pPr>
        <w:pStyle w:val="Heading2"/>
      </w:pPr>
      <w:r>
        <w:rPr>
          <w:rFonts w:ascii="Times New Roman" w:hAnsi="Times New Roman" w:eastAsia="Times New Roman" w:cs="Times New Roman"/>
          <w:b/>
          <w:i w:val="0"/>
          <w:sz w:val="28"/>
        </w:rPr>
        <w:t>1.2. Эволюция модели подписки</w:t>
      </w:r>
    </w:p>
    <w:p>
      <w:r>
        <w:rPr>
          <w:rFonts w:ascii="Times New Roman" w:hAnsi="Times New Roman" w:eastAsia="Times New Roman" w:cs="Times New Roman"/>
          <w:b w:val="0"/>
          <w:i w:val="0"/>
          <w:sz w:val="28"/>
        </w:rPr>
        <w:t>Подписка как форма распространения прессы появилась в XVIII веке и до конца XX века оставалась преимущественно бумажной. Первый этап цифровизации связан с появлением сайтов газет в 1990-х годах, на которых статьи публиковались бесплатно для привлечения трафика. Второй этап начался в 2000-х годах с введением модели paywall (англ. — платный доступ), при которой часть материалов закрывалась для не оплативших читателей. Третий этап, наблюдаемый с середины 2010-х годов, связан с появлением универсальных платформ-агрегаторов, которые продают доступ к каталогам изданий по единой подписке.</w:t>
      </w:r>
    </w:p>
    <w:p>
      <w:r>
        <w:rPr>
          <w:rFonts w:ascii="Times New Roman" w:hAnsi="Times New Roman" w:eastAsia="Times New Roman" w:cs="Times New Roman"/>
          <w:b w:val="0"/>
          <w:i w:val="0"/>
          <w:sz w:val="28"/>
        </w:rPr>
        <w:t>Для рынка Республики Узбекистан характерно сочетание этапов. Часть изданий продолжает работать в бумажной подписке через Государственное унитарное предприятие «O‘zbekiston pochtasi» (сайт Pochta.uz). Часть изданий публикует материалы открыто на собственных сайтах. Цифровых агрегаторов с моделью платной подписки и национальным контентом на русском и узбекском языках на момент написания работы не зафиксировано, что и определяет нишу для проектируемой системы [5].</w:t>
      </w:r>
    </w:p>
    <w:p>
      <w:pPr>
        <w:pStyle w:val="Heading2"/>
      </w:pPr>
      <w:r>
        <w:rPr>
          <w:rFonts w:ascii="Times New Roman" w:hAnsi="Times New Roman" w:eastAsia="Times New Roman" w:cs="Times New Roman"/>
          <w:b/>
          <w:i w:val="0"/>
          <w:sz w:val="28"/>
        </w:rPr>
        <w:t>1.3. Сравнительный анализ существующих сервисов</w:t>
      </w:r>
    </w:p>
    <w:p>
      <w:r>
        <w:rPr>
          <w:rFonts w:ascii="Times New Roman" w:hAnsi="Times New Roman" w:eastAsia="Times New Roman" w:cs="Times New Roman"/>
          <w:b w:val="0"/>
          <w:i w:val="0"/>
          <w:sz w:val="28"/>
        </w:rPr>
        <w:t>Для сопоставления функциональных возможностей рассмотрены четыре сервиса. Pochta.uz — портал государственного оператора почтовой связи. Davr-online.uz — портал архивов отдельных изданий. Readly — международный шведский сервис цифровой подписки. Magzter — международный сервис цифровых журналов с штаб-квартирой в США. Сравнение по ключевым функциям приведено в таблице 1.</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line="240" w:lineRule="auto"/>
              <w:ind w:firstLine="0"/>
              <w:jc w:val="center"/>
            </w:pPr>
            <w:r>
              <w:rPr>
                <w:rFonts w:ascii="Times New Roman" w:hAnsi="Times New Roman" w:eastAsia="Times New Roman" w:cs="Times New Roman"/>
                <w:b/>
                <w:i w:val="0"/>
                <w:sz w:val="24"/>
              </w:rPr>
              <w:t>Функция</w:t>
            </w:r>
          </w:p>
        </w:tc>
        <w:tc>
          <w:tcPr>
            <w:tcW w:type="dxa" w:w="1814"/>
          </w:tcPr>
          <w:p>
            <w:pPr>
              <w:spacing w:line="240" w:lineRule="auto"/>
              <w:ind w:firstLine="0"/>
              <w:jc w:val="center"/>
            </w:pPr>
            <w:r>
              <w:rPr>
                <w:rFonts w:ascii="Times New Roman" w:hAnsi="Times New Roman" w:eastAsia="Times New Roman" w:cs="Times New Roman"/>
                <w:b/>
                <w:i w:val="0"/>
                <w:sz w:val="24"/>
              </w:rPr>
              <w:t>Pochta.uz</w:t>
            </w:r>
          </w:p>
        </w:tc>
        <w:tc>
          <w:tcPr>
            <w:tcW w:type="dxa" w:w="1814"/>
          </w:tcPr>
          <w:p>
            <w:pPr>
              <w:spacing w:line="240" w:lineRule="auto"/>
              <w:ind w:firstLine="0"/>
              <w:jc w:val="center"/>
            </w:pPr>
            <w:r>
              <w:rPr>
                <w:rFonts w:ascii="Times New Roman" w:hAnsi="Times New Roman" w:eastAsia="Times New Roman" w:cs="Times New Roman"/>
                <w:b/>
                <w:i w:val="0"/>
                <w:sz w:val="24"/>
              </w:rPr>
              <w:t>Davr-online.uz</w:t>
            </w:r>
          </w:p>
        </w:tc>
        <w:tc>
          <w:tcPr>
            <w:tcW w:type="dxa" w:w="1814"/>
          </w:tcPr>
          <w:p>
            <w:pPr>
              <w:spacing w:line="240" w:lineRule="auto"/>
              <w:ind w:firstLine="0"/>
              <w:jc w:val="center"/>
            </w:pPr>
            <w:r>
              <w:rPr>
                <w:rFonts w:ascii="Times New Roman" w:hAnsi="Times New Roman" w:eastAsia="Times New Roman" w:cs="Times New Roman"/>
                <w:b/>
                <w:i w:val="0"/>
                <w:sz w:val="24"/>
              </w:rPr>
              <w:t>Readly</w:t>
            </w:r>
          </w:p>
        </w:tc>
        <w:tc>
          <w:tcPr>
            <w:tcW w:type="dxa" w:w="1814"/>
          </w:tcPr>
          <w:p>
            <w:pPr>
              <w:spacing w:line="240" w:lineRule="auto"/>
              <w:ind w:firstLine="0"/>
              <w:jc w:val="center"/>
            </w:pPr>
            <w:r>
              <w:rPr>
                <w:rFonts w:ascii="Times New Roman" w:hAnsi="Times New Roman" w:eastAsia="Times New Roman" w:cs="Times New Roman"/>
                <w:b/>
                <w:i w:val="0"/>
                <w:sz w:val="24"/>
              </w:rPr>
              <w:t>Magzter</w:t>
            </w:r>
          </w:p>
        </w:tc>
      </w:tr>
      <w:tr>
        <w:tc>
          <w:tcPr>
            <w:tcW w:type="dxa" w:w="1814"/>
          </w:tcPr>
          <w:p>
            <w:pPr>
              <w:spacing w:line="240" w:lineRule="auto"/>
              <w:ind w:firstLine="0"/>
              <w:jc w:val="center"/>
            </w:pPr>
            <w:r>
              <w:rPr>
                <w:rFonts w:ascii="Times New Roman" w:hAnsi="Times New Roman" w:eastAsia="Times New Roman" w:cs="Times New Roman"/>
                <w:b w:val="0"/>
                <w:i w:val="0"/>
                <w:sz w:val="24"/>
              </w:rPr>
              <w:t>Единый каталог изданий</w:t>
            </w:r>
          </w:p>
        </w:tc>
        <w:tc>
          <w:tcPr>
            <w:tcW w:type="dxa" w:w="1814"/>
          </w:tcPr>
          <w:p>
            <w:pPr>
              <w:spacing w:line="240" w:lineRule="auto"/>
              <w:ind w:firstLine="0"/>
              <w:jc w:val="center"/>
            </w:pPr>
            <w:r>
              <w:rPr>
                <w:rFonts w:ascii="Times New Roman" w:hAnsi="Times New Roman" w:eastAsia="Times New Roman" w:cs="Times New Roman"/>
                <w:b w:val="0"/>
                <w:i w:val="0"/>
                <w:sz w:val="24"/>
              </w:rPr>
              <w:t>частично</w:t>
            </w:r>
          </w:p>
        </w:tc>
        <w:tc>
          <w:tcPr>
            <w:tcW w:type="dxa" w:w="1814"/>
          </w:tcPr>
          <w:p>
            <w:pPr>
              <w:spacing w:line="240" w:lineRule="auto"/>
              <w:ind w:firstLine="0"/>
              <w:jc w:val="center"/>
            </w:pPr>
            <w:r>
              <w:rPr>
                <w:rFonts w:ascii="Times New Roman" w:hAnsi="Times New Roman" w:eastAsia="Times New Roman" w:cs="Times New Roman"/>
                <w:b w:val="0"/>
                <w:i w:val="0"/>
                <w:sz w:val="24"/>
              </w:rPr>
              <w:t>нет</w:t>
            </w:r>
          </w:p>
        </w:tc>
        <w:tc>
          <w:tcPr>
            <w:tcW w:type="dxa" w:w="1814"/>
          </w:tcPr>
          <w:p>
            <w:pPr>
              <w:spacing w:line="240" w:lineRule="auto"/>
              <w:ind w:firstLine="0"/>
              <w:jc w:val="center"/>
            </w:pPr>
            <w:r>
              <w:rPr>
                <w:rFonts w:ascii="Times New Roman" w:hAnsi="Times New Roman" w:eastAsia="Times New Roman" w:cs="Times New Roman"/>
                <w:b w:val="0"/>
                <w:i w:val="0"/>
                <w:sz w:val="24"/>
              </w:rPr>
              <w:t>да</w:t>
            </w:r>
          </w:p>
        </w:tc>
        <w:tc>
          <w:tcPr>
            <w:tcW w:type="dxa" w:w="1814"/>
          </w:tcPr>
          <w:p>
            <w:pPr>
              <w:spacing w:line="240" w:lineRule="auto"/>
              <w:ind w:firstLine="0"/>
              <w:jc w:val="center"/>
            </w:pPr>
            <w:r>
              <w:rPr>
                <w:rFonts w:ascii="Times New Roman" w:hAnsi="Times New Roman" w:eastAsia="Times New Roman" w:cs="Times New Roman"/>
                <w:b w:val="0"/>
                <w:i w:val="0"/>
                <w:sz w:val="24"/>
              </w:rPr>
              <w:t>да</w:t>
            </w:r>
          </w:p>
        </w:tc>
      </w:tr>
      <w:tr>
        <w:tc>
          <w:tcPr>
            <w:tcW w:type="dxa" w:w="1814"/>
          </w:tcPr>
          <w:p>
            <w:pPr>
              <w:spacing w:line="240" w:lineRule="auto"/>
              <w:ind w:firstLine="0"/>
              <w:jc w:val="center"/>
            </w:pPr>
            <w:r>
              <w:rPr>
                <w:rFonts w:ascii="Times New Roman" w:hAnsi="Times New Roman" w:eastAsia="Times New Roman" w:cs="Times New Roman"/>
                <w:b w:val="0"/>
                <w:i w:val="0"/>
                <w:sz w:val="24"/>
              </w:rPr>
              <w:t>Цифровая доставка PDF</w:t>
            </w:r>
          </w:p>
        </w:tc>
        <w:tc>
          <w:tcPr>
            <w:tcW w:type="dxa" w:w="1814"/>
          </w:tcPr>
          <w:p>
            <w:pPr>
              <w:spacing w:line="240" w:lineRule="auto"/>
              <w:ind w:firstLine="0"/>
              <w:jc w:val="center"/>
            </w:pPr>
            <w:r>
              <w:rPr>
                <w:rFonts w:ascii="Times New Roman" w:hAnsi="Times New Roman" w:eastAsia="Times New Roman" w:cs="Times New Roman"/>
                <w:b w:val="0"/>
                <w:i w:val="0"/>
                <w:sz w:val="24"/>
              </w:rPr>
              <w:t>нет</w:t>
            </w:r>
          </w:p>
        </w:tc>
        <w:tc>
          <w:tcPr>
            <w:tcW w:type="dxa" w:w="1814"/>
          </w:tcPr>
          <w:p>
            <w:pPr>
              <w:spacing w:line="240" w:lineRule="auto"/>
              <w:ind w:firstLine="0"/>
              <w:jc w:val="center"/>
            </w:pPr>
            <w:r>
              <w:rPr>
                <w:rFonts w:ascii="Times New Roman" w:hAnsi="Times New Roman" w:eastAsia="Times New Roman" w:cs="Times New Roman"/>
                <w:b w:val="0"/>
                <w:i w:val="0"/>
                <w:sz w:val="24"/>
              </w:rPr>
              <w:t>частично</w:t>
            </w:r>
          </w:p>
        </w:tc>
        <w:tc>
          <w:tcPr>
            <w:tcW w:type="dxa" w:w="1814"/>
          </w:tcPr>
          <w:p>
            <w:pPr>
              <w:spacing w:line="240" w:lineRule="auto"/>
              <w:ind w:firstLine="0"/>
              <w:jc w:val="center"/>
            </w:pPr>
            <w:r>
              <w:rPr>
                <w:rFonts w:ascii="Times New Roman" w:hAnsi="Times New Roman" w:eastAsia="Times New Roman" w:cs="Times New Roman"/>
                <w:b w:val="0"/>
                <w:i w:val="0"/>
                <w:sz w:val="24"/>
              </w:rPr>
              <w:t>да</w:t>
            </w:r>
          </w:p>
        </w:tc>
        <w:tc>
          <w:tcPr>
            <w:tcW w:type="dxa" w:w="1814"/>
          </w:tcPr>
          <w:p>
            <w:pPr>
              <w:spacing w:line="240" w:lineRule="auto"/>
              <w:ind w:firstLine="0"/>
              <w:jc w:val="center"/>
            </w:pPr>
            <w:r>
              <w:rPr>
                <w:rFonts w:ascii="Times New Roman" w:hAnsi="Times New Roman" w:eastAsia="Times New Roman" w:cs="Times New Roman"/>
                <w:b w:val="0"/>
                <w:i w:val="0"/>
                <w:sz w:val="24"/>
              </w:rPr>
              <w:t>да</w:t>
            </w:r>
          </w:p>
        </w:tc>
      </w:tr>
      <w:tr>
        <w:tc>
          <w:tcPr>
            <w:tcW w:type="dxa" w:w="1814"/>
          </w:tcPr>
          <w:p>
            <w:pPr>
              <w:spacing w:line="240" w:lineRule="auto"/>
              <w:ind w:firstLine="0"/>
              <w:jc w:val="center"/>
            </w:pPr>
            <w:r>
              <w:rPr>
                <w:rFonts w:ascii="Times New Roman" w:hAnsi="Times New Roman" w:eastAsia="Times New Roman" w:cs="Times New Roman"/>
                <w:b w:val="0"/>
                <w:i w:val="0"/>
                <w:sz w:val="24"/>
              </w:rPr>
              <w:t>Подписка по периодам</w:t>
            </w:r>
          </w:p>
        </w:tc>
        <w:tc>
          <w:tcPr>
            <w:tcW w:type="dxa" w:w="1814"/>
          </w:tcPr>
          <w:p>
            <w:pPr>
              <w:spacing w:line="240" w:lineRule="auto"/>
              <w:ind w:firstLine="0"/>
              <w:jc w:val="center"/>
            </w:pPr>
            <w:r>
              <w:rPr>
                <w:rFonts w:ascii="Times New Roman" w:hAnsi="Times New Roman" w:eastAsia="Times New Roman" w:cs="Times New Roman"/>
                <w:b w:val="0"/>
                <w:i w:val="0"/>
                <w:sz w:val="24"/>
              </w:rPr>
              <w:t>да (бумажная)</w:t>
            </w:r>
          </w:p>
        </w:tc>
        <w:tc>
          <w:tcPr>
            <w:tcW w:type="dxa" w:w="1814"/>
          </w:tcPr>
          <w:p>
            <w:pPr>
              <w:spacing w:line="240" w:lineRule="auto"/>
              <w:ind w:firstLine="0"/>
              <w:jc w:val="center"/>
            </w:pPr>
            <w:r>
              <w:rPr>
                <w:rFonts w:ascii="Times New Roman" w:hAnsi="Times New Roman" w:eastAsia="Times New Roman" w:cs="Times New Roman"/>
                <w:b w:val="0"/>
                <w:i w:val="0"/>
                <w:sz w:val="24"/>
              </w:rPr>
              <w:t>нет</w:t>
            </w:r>
          </w:p>
        </w:tc>
        <w:tc>
          <w:tcPr>
            <w:tcW w:type="dxa" w:w="1814"/>
          </w:tcPr>
          <w:p>
            <w:pPr>
              <w:spacing w:line="240" w:lineRule="auto"/>
              <w:ind w:firstLine="0"/>
              <w:jc w:val="center"/>
            </w:pPr>
            <w:r>
              <w:rPr>
                <w:rFonts w:ascii="Times New Roman" w:hAnsi="Times New Roman" w:eastAsia="Times New Roman" w:cs="Times New Roman"/>
                <w:b w:val="0"/>
                <w:i w:val="0"/>
                <w:sz w:val="24"/>
              </w:rPr>
              <w:t>да</w:t>
            </w:r>
          </w:p>
        </w:tc>
        <w:tc>
          <w:tcPr>
            <w:tcW w:type="dxa" w:w="1814"/>
          </w:tcPr>
          <w:p>
            <w:pPr>
              <w:spacing w:line="240" w:lineRule="auto"/>
              <w:ind w:firstLine="0"/>
              <w:jc w:val="center"/>
            </w:pPr>
            <w:r>
              <w:rPr>
                <w:rFonts w:ascii="Times New Roman" w:hAnsi="Times New Roman" w:eastAsia="Times New Roman" w:cs="Times New Roman"/>
                <w:b w:val="0"/>
                <w:i w:val="0"/>
                <w:sz w:val="24"/>
              </w:rPr>
              <w:t>да</w:t>
            </w:r>
          </w:p>
        </w:tc>
      </w:tr>
      <w:tr>
        <w:tc>
          <w:tcPr>
            <w:tcW w:type="dxa" w:w="1814"/>
          </w:tcPr>
          <w:p>
            <w:pPr>
              <w:spacing w:line="240" w:lineRule="auto"/>
              <w:ind w:firstLine="0"/>
              <w:jc w:val="center"/>
            </w:pPr>
            <w:r>
              <w:rPr>
                <w:rFonts w:ascii="Times New Roman" w:hAnsi="Times New Roman" w:eastAsia="Times New Roman" w:cs="Times New Roman"/>
                <w:b w:val="0"/>
                <w:i w:val="0"/>
                <w:sz w:val="24"/>
              </w:rPr>
              <w:t>Контент на узбекском языке</w:t>
            </w:r>
          </w:p>
        </w:tc>
        <w:tc>
          <w:tcPr>
            <w:tcW w:type="dxa" w:w="1814"/>
          </w:tcPr>
          <w:p>
            <w:pPr>
              <w:spacing w:line="240" w:lineRule="auto"/>
              <w:ind w:firstLine="0"/>
              <w:jc w:val="center"/>
            </w:pPr>
            <w:r>
              <w:rPr>
                <w:rFonts w:ascii="Times New Roman" w:hAnsi="Times New Roman" w:eastAsia="Times New Roman" w:cs="Times New Roman"/>
                <w:b w:val="0"/>
                <w:i w:val="0"/>
                <w:sz w:val="24"/>
              </w:rPr>
              <w:t>да</w:t>
            </w:r>
          </w:p>
        </w:tc>
        <w:tc>
          <w:tcPr>
            <w:tcW w:type="dxa" w:w="1814"/>
          </w:tcPr>
          <w:p>
            <w:pPr>
              <w:spacing w:line="240" w:lineRule="auto"/>
              <w:ind w:firstLine="0"/>
              <w:jc w:val="center"/>
            </w:pPr>
            <w:r>
              <w:rPr>
                <w:rFonts w:ascii="Times New Roman" w:hAnsi="Times New Roman" w:eastAsia="Times New Roman" w:cs="Times New Roman"/>
                <w:b w:val="0"/>
                <w:i w:val="0"/>
                <w:sz w:val="24"/>
              </w:rPr>
              <w:t>да</w:t>
            </w:r>
          </w:p>
        </w:tc>
        <w:tc>
          <w:tcPr>
            <w:tcW w:type="dxa" w:w="1814"/>
          </w:tcPr>
          <w:p>
            <w:pPr>
              <w:spacing w:line="240" w:lineRule="auto"/>
              <w:ind w:firstLine="0"/>
              <w:jc w:val="center"/>
            </w:pPr>
            <w:r>
              <w:rPr>
                <w:rFonts w:ascii="Times New Roman" w:hAnsi="Times New Roman" w:eastAsia="Times New Roman" w:cs="Times New Roman"/>
                <w:b w:val="0"/>
                <w:i w:val="0"/>
                <w:sz w:val="24"/>
              </w:rPr>
              <w:t>нет</w:t>
            </w:r>
          </w:p>
        </w:tc>
        <w:tc>
          <w:tcPr>
            <w:tcW w:type="dxa" w:w="1814"/>
          </w:tcPr>
          <w:p>
            <w:pPr>
              <w:spacing w:line="240" w:lineRule="auto"/>
              <w:ind w:firstLine="0"/>
              <w:jc w:val="center"/>
            </w:pPr>
            <w:r>
              <w:rPr>
                <w:rFonts w:ascii="Times New Roman" w:hAnsi="Times New Roman" w:eastAsia="Times New Roman" w:cs="Times New Roman"/>
                <w:b w:val="0"/>
                <w:i w:val="0"/>
                <w:sz w:val="24"/>
              </w:rPr>
              <w:t>нет</w:t>
            </w:r>
          </w:p>
        </w:tc>
      </w:tr>
      <w:tr>
        <w:tc>
          <w:tcPr>
            <w:tcW w:type="dxa" w:w="1814"/>
          </w:tcPr>
          <w:p>
            <w:pPr>
              <w:spacing w:line="240" w:lineRule="auto"/>
              <w:ind w:firstLine="0"/>
              <w:jc w:val="center"/>
            </w:pPr>
            <w:r>
              <w:rPr>
                <w:rFonts w:ascii="Times New Roman" w:hAnsi="Times New Roman" w:eastAsia="Times New Roman" w:cs="Times New Roman"/>
                <w:b w:val="0"/>
                <w:i w:val="0"/>
                <w:sz w:val="24"/>
              </w:rPr>
              <w:t>Оплата в национальной валюте</w:t>
            </w:r>
          </w:p>
        </w:tc>
        <w:tc>
          <w:tcPr>
            <w:tcW w:type="dxa" w:w="1814"/>
          </w:tcPr>
          <w:p>
            <w:pPr>
              <w:spacing w:line="240" w:lineRule="auto"/>
              <w:ind w:firstLine="0"/>
              <w:jc w:val="center"/>
            </w:pPr>
            <w:r>
              <w:rPr>
                <w:rFonts w:ascii="Times New Roman" w:hAnsi="Times New Roman" w:eastAsia="Times New Roman" w:cs="Times New Roman"/>
                <w:b w:val="0"/>
                <w:i w:val="0"/>
                <w:sz w:val="24"/>
              </w:rPr>
              <w:t>да</w:t>
            </w:r>
          </w:p>
        </w:tc>
        <w:tc>
          <w:tcPr>
            <w:tcW w:type="dxa" w:w="1814"/>
          </w:tcPr>
          <w:p>
            <w:pPr>
              <w:spacing w:line="240" w:lineRule="auto"/>
              <w:ind w:firstLine="0"/>
              <w:jc w:val="center"/>
            </w:pPr>
            <w:r>
              <w:rPr>
                <w:rFonts w:ascii="Times New Roman" w:hAnsi="Times New Roman" w:eastAsia="Times New Roman" w:cs="Times New Roman"/>
                <w:b w:val="0"/>
                <w:i w:val="0"/>
                <w:sz w:val="24"/>
              </w:rPr>
              <w:t>не применимо</w:t>
            </w:r>
          </w:p>
        </w:tc>
        <w:tc>
          <w:tcPr>
            <w:tcW w:type="dxa" w:w="1814"/>
          </w:tcPr>
          <w:p>
            <w:pPr>
              <w:spacing w:line="240" w:lineRule="auto"/>
              <w:ind w:firstLine="0"/>
              <w:jc w:val="center"/>
            </w:pPr>
            <w:r>
              <w:rPr>
                <w:rFonts w:ascii="Times New Roman" w:hAnsi="Times New Roman" w:eastAsia="Times New Roman" w:cs="Times New Roman"/>
                <w:b w:val="0"/>
                <w:i w:val="0"/>
                <w:sz w:val="24"/>
              </w:rPr>
              <w:t>нет</w:t>
            </w:r>
          </w:p>
        </w:tc>
        <w:tc>
          <w:tcPr>
            <w:tcW w:type="dxa" w:w="1814"/>
          </w:tcPr>
          <w:p>
            <w:pPr>
              <w:spacing w:line="240" w:lineRule="auto"/>
              <w:ind w:firstLine="0"/>
              <w:jc w:val="center"/>
            </w:pPr>
            <w:r>
              <w:rPr>
                <w:rFonts w:ascii="Times New Roman" w:hAnsi="Times New Roman" w:eastAsia="Times New Roman" w:cs="Times New Roman"/>
                <w:b w:val="0"/>
                <w:i w:val="0"/>
                <w:sz w:val="24"/>
              </w:rPr>
              <w:t>нет</w:t>
            </w:r>
          </w:p>
        </w:tc>
      </w:tr>
      <w:tr>
        <w:tc>
          <w:tcPr>
            <w:tcW w:type="dxa" w:w="1814"/>
          </w:tcPr>
          <w:p>
            <w:pPr>
              <w:spacing w:line="240" w:lineRule="auto"/>
              <w:ind w:firstLine="0"/>
              <w:jc w:val="center"/>
            </w:pPr>
            <w:r>
              <w:rPr>
                <w:rFonts w:ascii="Times New Roman" w:hAnsi="Times New Roman" w:eastAsia="Times New Roman" w:cs="Times New Roman"/>
                <w:b w:val="0"/>
                <w:i w:val="0"/>
                <w:sz w:val="24"/>
              </w:rPr>
              <w:t>Личный кабинет читателя</w:t>
            </w:r>
          </w:p>
        </w:tc>
        <w:tc>
          <w:tcPr>
            <w:tcW w:type="dxa" w:w="1814"/>
          </w:tcPr>
          <w:p>
            <w:pPr>
              <w:spacing w:line="240" w:lineRule="auto"/>
              <w:ind w:firstLine="0"/>
              <w:jc w:val="center"/>
            </w:pPr>
            <w:r>
              <w:rPr>
                <w:rFonts w:ascii="Times New Roman" w:hAnsi="Times New Roman" w:eastAsia="Times New Roman" w:cs="Times New Roman"/>
                <w:b w:val="0"/>
                <w:i w:val="0"/>
                <w:sz w:val="24"/>
              </w:rPr>
              <w:t>ограниченный</w:t>
            </w:r>
          </w:p>
        </w:tc>
        <w:tc>
          <w:tcPr>
            <w:tcW w:type="dxa" w:w="1814"/>
          </w:tcPr>
          <w:p>
            <w:pPr>
              <w:spacing w:line="240" w:lineRule="auto"/>
              <w:ind w:firstLine="0"/>
              <w:jc w:val="center"/>
            </w:pPr>
            <w:r>
              <w:rPr>
                <w:rFonts w:ascii="Times New Roman" w:hAnsi="Times New Roman" w:eastAsia="Times New Roman" w:cs="Times New Roman"/>
                <w:b w:val="0"/>
                <w:i w:val="0"/>
                <w:sz w:val="24"/>
              </w:rPr>
              <w:t>нет</w:t>
            </w:r>
          </w:p>
        </w:tc>
        <w:tc>
          <w:tcPr>
            <w:tcW w:type="dxa" w:w="1814"/>
          </w:tcPr>
          <w:p>
            <w:pPr>
              <w:spacing w:line="240" w:lineRule="auto"/>
              <w:ind w:firstLine="0"/>
              <w:jc w:val="center"/>
            </w:pPr>
            <w:r>
              <w:rPr>
                <w:rFonts w:ascii="Times New Roman" w:hAnsi="Times New Roman" w:eastAsia="Times New Roman" w:cs="Times New Roman"/>
                <w:b w:val="0"/>
                <w:i w:val="0"/>
                <w:sz w:val="24"/>
              </w:rPr>
              <w:t>да</w:t>
            </w:r>
          </w:p>
        </w:tc>
        <w:tc>
          <w:tcPr>
            <w:tcW w:type="dxa" w:w="1814"/>
          </w:tcPr>
          <w:p>
            <w:pPr>
              <w:spacing w:line="240" w:lineRule="auto"/>
              <w:ind w:firstLine="0"/>
              <w:jc w:val="center"/>
            </w:pPr>
            <w:r>
              <w:rPr>
                <w:rFonts w:ascii="Times New Roman" w:hAnsi="Times New Roman" w:eastAsia="Times New Roman" w:cs="Times New Roman"/>
                <w:b w:val="0"/>
                <w:i w:val="0"/>
                <w:sz w:val="24"/>
              </w:rPr>
              <w:t>да</w:t>
            </w:r>
          </w:p>
        </w:tc>
      </w:tr>
      <w:tr>
        <w:tc>
          <w:tcPr>
            <w:tcW w:type="dxa" w:w="1814"/>
          </w:tcPr>
          <w:p>
            <w:pPr>
              <w:spacing w:line="240" w:lineRule="auto"/>
              <w:ind w:firstLine="0"/>
              <w:jc w:val="center"/>
            </w:pPr>
            <w:r>
              <w:rPr>
                <w:rFonts w:ascii="Times New Roman" w:hAnsi="Times New Roman" w:eastAsia="Times New Roman" w:cs="Times New Roman"/>
                <w:b w:val="0"/>
                <w:i w:val="0"/>
                <w:sz w:val="24"/>
              </w:rPr>
              <w:t>Архив номеров</w:t>
            </w:r>
          </w:p>
        </w:tc>
        <w:tc>
          <w:tcPr>
            <w:tcW w:type="dxa" w:w="1814"/>
          </w:tcPr>
          <w:p>
            <w:pPr>
              <w:spacing w:line="240" w:lineRule="auto"/>
              <w:ind w:firstLine="0"/>
              <w:jc w:val="center"/>
            </w:pPr>
            <w:r>
              <w:rPr>
                <w:rFonts w:ascii="Times New Roman" w:hAnsi="Times New Roman" w:eastAsia="Times New Roman" w:cs="Times New Roman"/>
                <w:b w:val="0"/>
                <w:i w:val="0"/>
                <w:sz w:val="24"/>
              </w:rPr>
              <w:t>нет</w:t>
            </w:r>
          </w:p>
        </w:tc>
        <w:tc>
          <w:tcPr>
            <w:tcW w:type="dxa" w:w="1814"/>
          </w:tcPr>
          <w:p>
            <w:pPr>
              <w:spacing w:line="240" w:lineRule="auto"/>
              <w:ind w:firstLine="0"/>
              <w:jc w:val="center"/>
            </w:pPr>
            <w:r>
              <w:rPr>
                <w:rFonts w:ascii="Times New Roman" w:hAnsi="Times New Roman" w:eastAsia="Times New Roman" w:cs="Times New Roman"/>
                <w:b w:val="0"/>
                <w:i w:val="0"/>
                <w:sz w:val="24"/>
              </w:rPr>
              <w:t>да</w:t>
            </w:r>
          </w:p>
        </w:tc>
        <w:tc>
          <w:tcPr>
            <w:tcW w:type="dxa" w:w="1814"/>
          </w:tcPr>
          <w:p>
            <w:pPr>
              <w:spacing w:line="240" w:lineRule="auto"/>
              <w:ind w:firstLine="0"/>
              <w:jc w:val="center"/>
            </w:pPr>
            <w:r>
              <w:rPr>
                <w:rFonts w:ascii="Times New Roman" w:hAnsi="Times New Roman" w:eastAsia="Times New Roman" w:cs="Times New Roman"/>
                <w:b w:val="0"/>
                <w:i w:val="0"/>
                <w:sz w:val="24"/>
              </w:rPr>
              <w:t>да</w:t>
            </w:r>
          </w:p>
        </w:tc>
        <w:tc>
          <w:tcPr>
            <w:tcW w:type="dxa" w:w="1814"/>
          </w:tcPr>
          <w:p>
            <w:pPr>
              <w:spacing w:line="240" w:lineRule="auto"/>
              <w:ind w:firstLine="0"/>
              <w:jc w:val="center"/>
            </w:pPr>
            <w:r>
              <w:rPr>
                <w:rFonts w:ascii="Times New Roman" w:hAnsi="Times New Roman" w:eastAsia="Times New Roman" w:cs="Times New Roman"/>
                <w:b w:val="0"/>
                <w:i w:val="0"/>
                <w:sz w:val="24"/>
              </w:rPr>
              <w:t>да</w:t>
            </w:r>
          </w:p>
        </w:tc>
      </w:tr>
    </w:tbl>
    <w:p>
      <w:pPr>
        <w:ind w:firstLine="0"/>
        <w:jc w:val="center"/>
      </w:pPr>
      <w:r>
        <w:rPr>
          <w:rFonts w:ascii="Times New Roman" w:hAnsi="Times New Roman" w:eastAsia="Times New Roman" w:cs="Times New Roman"/>
          <w:b w:val="0"/>
          <w:i w:val="0"/>
          <w:sz w:val="24"/>
        </w:rPr>
        <w:t>Таблица 1. Сравнение сервисов электронной подписки</w:t>
      </w:r>
    </w:p>
    <w:p>
      <w:pPr>
        <w:ind w:firstLine="0"/>
      </w:pPr>
    </w:p>
    <w:p>
      <w:r>
        <w:rPr>
          <w:rFonts w:ascii="Times New Roman" w:hAnsi="Times New Roman" w:eastAsia="Times New Roman" w:cs="Times New Roman"/>
          <w:b w:val="0"/>
          <w:i w:val="0"/>
          <w:sz w:val="28"/>
        </w:rPr>
        <w:t>Из сравнения видно, что зарубежные платформы выигрывают по полноте функций цифровой подписки, но не покрывают локальный контент и не поддерживают оплату в сумах. Отечественные сервисы покрывают локальный контент, но не реализуют полноценную модель цифровой подписки с архивом и личным кабинетом. Проектируемая система закрывает это расхождение, объединяя национальный каталог изданий, оплату по картам узбекских банков и стандартную модель цифровой подписки с архивом номеров и доступом по статусу подписки [5] [6] [8].</w:t>
      </w:r>
    </w:p>
    <w:p>
      <w:pPr>
        <w:pStyle w:val="Heading2"/>
      </w:pPr>
      <w:r>
        <w:rPr>
          <w:rFonts w:ascii="Times New Roman" w:hAnsi="Times New Roman" w:eastAsia="Times New Roman" w:cs="Times New Roman"/>
          <w:b/>
          <w:i w:val="0"/>
          <w:sz w:val="28"/>
        </w:rPr>
        <w:t>1.4. Целевые пользователи и сценарии использования</w:t>
      </w:r>
    </w:p>
    <w:p>
      <w:r>
        <w:rPr>
          <w:rFonts w:ascii="Times New Roman" w:hAnsi="Times New Roman" w:eastAsia="Times New Roman" w:cs="Times New Roman"/>
          <w:b w:val="0"/>
          <w:i w:val="0"/>
          <w:sz w:val="28"/>
        </w:rPr>
        <w:t>Целевая аудитория системы делится на три группы. Первая группа — читатели, оформляющие подписку на конкретное издание для чтения новых выпусков. Вторая группа — пользователи, использующие архив выпусков для подготовки материалов или личных целей. Третья группа — сотрудники издательств и редакций, загружающие новые выпуски через административную панель.</w:t>
      </w:r>
    </w:p>
    <w:p>
      <w:r>
        <w:rPr>
          <w:rFonts w:ascii="Times New Roman" w:hAnsi="Times New Roman" w:eastAsia="Times New Roman" w:cs="Times New Roman"/>
          <w:b w:val="0"/>
          <w:i w:val="0"/>
          <w:sz w:val="28"/>
        </w:rPr>
        <w:t>Основные сценарии использования включают регистрацию пользователя, поиск издания по категории и ключевому слову, оформление подписки на выбранный период (один, три, шесть или двенадцать месяцев), оплату подписки имитируемым переводом по банковской карте, чтение и скачивание PDF-номеров в течение срока действия подписки, продление и отмену подписки в личном кабинете, просмотр истории платежей. Для администратора предусмотрены сценарии создания издания, загрузки обложек и PDF-номеров, редактирования метаданных и просмотра агрегированной статистики.</w:t>
      </w:r>
    </w:p>
    <w:p>
      <w:pPr>
        <w:pStyle w:val="Heading1"/>
        <w:jc w:val="center"/>
      </w:pPr>
      <w:r>
        <w:rPr>
          <w:rFonts w:ascii="Times New Roman" w:hAnsi="Times New Roman" w:eastAsia="Times New Roman" w:cs="Times New Roman"/>
          <w:b/>
          <w:i w:val="0"/>
          <w:sz w:val="28"/>
        </w:rPr>
        <w:t>2. АРХИТЕКТУРНЫЕ ПОДХОДЫ И ОБОСНОВАНИЕ ВЫБОРА СТЕКА</w:t>
      </w:r>
    </w:p>
    <w:p>
      <w:pPr>
        <w:pStyle w:val="Heading2"/>
      </w:pPr>
      <w:r>
        <w:rPr>
          <w:rFonts w:ascii="Times New Roman" w:hAnsi="Times New Roman" w:eastAsia="Times New Roman" w:cs="Times New Roman"/>
          <w:b/>
          <w:i w:val="0"/>
          <w:sz w:val="28"/>
        </w:rPr>
        <w:t>2.1. Обзор архитектурных моделей</w:t>
      </w:r>
    </w:p>
    <w:p>
      <w:r>
        <w:rPr>
          <w:rFonts w:ascii="Times New Roman" w:hAnsi="Times New Roman" w:eastAsia="Times New Roman" w:cs="Times New Roman"/>
          <w:b w:val="0"/>
          <w:i w:val="0"/>
          <w:sz w:val="28"/>
        </w:rPr>
        <w:t>Современные веб-приложения строятся в нескольких архитектурных моделях. Монолитная архитектура объединяет интерфейс, бизнес-логику и работу с базой данных в одном развёртываемом приложении. Достоинство модели — простота сборки и отладки. Недостаток — сложность масштабирования отдельных частей. Микросервисная архитектура делит приложение на самостоятельные сервисы, общающиеся по сетевым протоколам. Достоинство — независимое развитие модулей. Недостаток — повышенные расходы на инфраструктуру и сетевые задержки.</w:t>
      </w:r>
    </w:p>
    <w:p>
      <w:r>
        <w:rPr>
          <w:rFonts w:ascii="Times New Roman" w:hAnsi="Times New Roman" w:eastAsia="Times New Roman" w:cs="Times New Roman"/>
          <w:b w:val="0"/>
          <w:i w:val="0"/>
          <w:sz w:val="28"/>
        </w:rPr>
        <w:t>Бессерверная (serverless) архитектура размещает бизнес-логику в отдельных функциях, выполняемых облачным провайдером по запросу. Платформа сама запускает функцию, выделяет ресурсы и освобождает их после завершения работы. Подход хорош для приложений с переменной нагрузкой, поскольку ресурсы оплачиваются по времени фактического выполнения. Архитектура JAMstack (JavaScript, API, Markup) разделяет статический фронтенд (HTML, CSS, JavaScript) и набор API, работающих по запросу. Фронтенд раздаётся через сеть доставки контента, что обеспечивает быструю отдачу страниц.</w:t>
      </w:r>
    </w:p>
    <w:p>
      <w:r>
        <w:rPr>
          <w:rFonts w:ascii="Times New Roman" w:hAnsi="Times New Roman" w:eastAsia="Times New Roman" w:cs="Times New Roman"/>
          <w:b w:val="0"/>
          <w:i w:val="0"/>
          <w:sz w:val="28"/>
        </w:rPr>
        <w:t>Для проектируемой системы выбрана комбинация JAMstack и serverless. Клиент представлен одностраничным приложением React, собранным Vite, и раздаётся как статика через сеть доставки контента (CDN, англ. — content delivery network) платформы Vercel. Серверная часть построена на бессерверных функциях того же провайдера, написанных на TypeScript и развёртываемых из директории /api проекта. Эта связка минимизирует операционные расходы, поскольку Vercel предоставляет бесплатный тариф для индивидуальных проектов с лимитом 100 ГБ пропускной способности в месяц [9] [10].</w:t>
      </w:r>
    </w:p>
    <w:p>
      <w:pPr>
        <w:pStyle w:val="Heading2"/>
      </w:pPr>
      <w:r>
        <w:rPr>
          <w:rFonts w:ascii="Times New Roman" w:hAnsi="Times New Roman" w:eastAsia="Times New Roman" w:cs="Times New Roman"/>
          <w:b/>
          <w:i w:val="0"/>
          <w:sz w:val="28"/>
        </w:rPr>
        <w:t>2.2. Сравнение систем управления базами данных</w:t>
      </w:r>
    </w:p>
    <w:p>
      <w:r>
        <w:rPr>
          <w:rFonts w:ascii="Times New Roman" w:hAnsi="Times New Roman" w:eastAsia="Times New Roman" w:cs="Times New Roman"/>
          <w:b w:val="0"/>
          <w:i w:val="0"/>
          <w:sz w:val="28"/>
        </w:rPr>
        <w:t>В качестве системы управления базами данных рассмотрены три кандидата. PostgreSQL — реляционная СУБД с открытым исходным кодом, поддерживающая полноценный язык запросов SQL стандарта 2016, транзакции по уровням изоляции, расширенные типы данных (JSON, массивы, географические объекты), материализованные представления и индексы по выражениям. MySQL — реляционная СУБД, ориентированная на веб-нагрузки, с упрощённой моделью транзакций. SQLite — встраиваемая СУБД, хранящая базу в одном файле, без отдельного сервера.</w:t>
      </w:r>
    </w:p>
    <w:p>
      <w:r>
        <w:rPr>
          <w:rFonts w:ascii="Times New Roman" w:hAnsi="Times New Roman" w:eastAsia="Times New Roman" w:cs="Times New Roman"/>
          <w:b w:val="0"/>
          <w:i w:val="0"/>
          <w:sz w:val="28"/>
        </w:rPr>
        <w:t>Для системы электронной подписки требуется поддержка транзакций при оформлении подписки и платежа, поддержка многих параллельных соединений из бессерверных функций, доступность управляемого облачного хостинга на бесплатном тарифе. Этим требованиям наилучшим образом отвечает PostgreSQL в управляемом виде Neon. Платформа Neon предоставляет PostgreSQL версии 16, отделяет хранилище от вычислений и масштабирует вычислительный узел до нуля при отсутствии запросов, что важно для бесплатного тарифа. Драйвер @neondatabase/serverless работает по протоколу HTTP, что устраняет проблему ограниченного числа TCP-подключений в бессерверной среде [11].</w:t>
      </w:r>
    </w:p>
    <w:p>
      <w:pPr>
        <w:pStyle w:val="Heading2"/>
      </w:pPr>
      <w:r>
        <w:rPr>
          <w:rFonts w:ascii="Times New Roman" w:hAnsi="Times New Roman" w:eastAsia="Times New Roman" w:cs="Times New Roman"/>
          <w:b/>
          <w:i w:val="0"/>
          <w:sz w:val="28"/>
        </w:rPr>
        <w:t>2.3. Обоснование выбора стека</w:t>
      </w:r>
    </w:p>
    <w:p>
      <w:r>
        <w:rPr>
          <w:rFonts w:ascii="Times New Roman" w:hAnsi="Times New Roman" w:eastAsia="Times New Roman" w:cs="Times New Roman"/>
          <w:b w:val="0"/>
          <w:i w:val="0"/>
          <w:sz w:val="28"/>
        </w:rPr>
        <w:t>Технологический стек подобран по совокупности критериев: соответствие функциональным требованиям, скорость разработки, бесплатные тарифы облачных провайдеров, единый язык программирования на клиенте и сервере, наличие документации и активного сообщества. Подытоженный состав стека приведён в таблице 2.</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line="240" w:lineRule="auto"/>
              <w:ind w:firstLine="0"/>
              <w:jc w:val="center"/>
            </w:pPr>
            <w:r>
              <w:rPr>
                <w:rFonts w:ascii="Times New Roman" w:hAnsi="Times New Roman" w:eastAsia="Times New Roman" w:cs="Times New Roman"/>
                <w:b/>
                <w:i w:val="0"/>
                <w:sz w:val="24"/>
              </w:rPr>
              <w:t>Слой</w:t>
            </w:r>
          </w:p>
        </w:tc>
        <w:tc>
          <w:tcPr>
            <w:tcW w:type="dxa" w:w="3024"/>
          </w:tcPr>
          <w:p>
            <w:pPr>
              <w:spacing w:line="240" w:lineRule="auto"/>
              <w:ind w:firstLine="0"/>
              <w:jc w:val="center"/>
            </w:pPr>
            <w:r>
              <w:rPr>
                <w:rFonts w:ascii="Times New Roman" w:hAnsi="Times New Roman" w:eastAsia="Times New Roman" w:cs="Times New Roman"/>
                <w:b/>
                <w:i w:val="0"/>
                <w:sz w:val="24"/>
              </w:rPr>
              <w:t>Технология</w:t>
            </w:r>
          </w:p>
        </w:tc>
        <w:tc>
          <w:tcPr>
            <w:tcW w:type="dxa" w:w="3024"/>
          </w:tcPr>
          <w:p>
            <w:pPr>
              <w:spacing w:line="240" w:lineRule="auto"/>
              <w:ind w:firstLine="0"/>
              <w:jc w:val="center"/>
            </w:pPr>
            <w:r>
              <w:rPr>
                <w:rFonts w:ascii="Times New Roman" w:hAnsi="Times New Roman" w:eastAsia="Times New Roman" w:cs="Times New Roman"/>
                <w:b/>
                <w:i w:val="0"/>
                <w:sz w:val="24"/>
              </w:rPr>
              <w:t>Назначение</w:t>
            </w:r>
          </w:p>
        </w:tc>
      </w:tr>
      <w:tr>
        <w:tc>
          <w:tcPr>
            <w:tcW w:type="dxa" w:w="3024"/>
          </w:tcPr>
          <w:p>
            <w:pPr>
              <w:spacing w:line="240" w:lineRule="auto"/>
              <w:ind w:firstLine="0"/>
              <w:jc w:val="center"/>
            </w:pPr>
            <w:r>
              <w:rPr>
                <w:rFonts w:ascii="Times New Roman" w:hAnsi="Times New Roman" w:eastAsia="Times New Roman" w:cs="Times New Roman"/>
                <w:b w:val="0"/>
                <w:i w:val="0"/>
                <w:sz w:val="24"/>
              </w:rPr>
              <w:t>Сборка клиента</w:t>
            </w:r>
          </w:p>
        </w:tc>
        <w:tc>
          <w:tcPr>
            <w:tcW w:type="dxa" w:w="3024"/>
          </w:tcPr>
          <w:p>
            <w:pPr>
              <w:spacing w:line="240" w:lineRule="auto"/>
              <w:ind w:firstLine="0"/>
              <w:jc w:val="center"/>
            </w:pPr>
            <w:r>
              <w:rPr>
                <w:rFonts w:ascii="Times New Roman" w:hAnsi="Times New Roman" w:eastAsia="Times New Roman" w:cs="Times New Roman"/>
                <w:b w:val="0"/>
                <w:i w:val="0"/>
                <w:sz w:val="24"/>
              </w:rPr>
              <w:t>Vite 5</w:t>
            </w:r>
          </w:p>
        </w:tc>
        <w:tc>
          <w:tcPr>
            <w:tcW w:type="dxa" w:w="3024"/>
          </w:tcPr>
          <w:p>
            <w:pPr>
              <w:spacing w:line="240" w:lineRule="auto"/>
              <w:ind w:firstLine="0"/>
              <w:jc w:val="center"/>
            </w:pPr>
            <w:r>
              <w:rPr>
                <w:rFonts w:ascii="Times New Roman" w:hAnsi="Times New Roman" w:eastAsia="Times New Roman" w:cs="Times New Roman"/>
                <w:b w:val="0"/>
                <w:i w:val="0"/>
                <w:sz w:val="24"/>
              </w:rPr>
              <w:t>Сборка одностраничного приложения с горячей перезагрузкой</w:t>
            </w:r>
          </w:p>
        </w:tc>
      </w:tr>
      <w:tr>
        <w:tc>
          <w:tcPr>
            <w:tcW w:type="dxa" w:w="3024"/>
          </w:tcPr>
          <w:p>
            <w:pPr>
              <w:spacing w:line="240" w:lineRule="auto"/>
              <w:ind w:firstLine="0"/>
              <w:jc w:val="center"/>
            </w:pPr>
            <w:r>
              <w:rPr>
                <w:rFonts w:ascii="Times New Roman" w:hAnsi="Times New Roman" w:eastAsia="Times New Roman" w:cs="Times New Roman"/>
                <w:b w:val="0"/>
                <w:i w:val="0"/>
                <w:sz w:val="24"/>
              </w:rPr>
              <w:t>UI-фреймворк</w:t>
            </w:r>
          </w:p>
        </w:tc>
        <w:tc>
          <w:tcPr>
            <w:tcW w:type="dxa" w:w="3024"/>
          </w:tcPr>
          <w:p>
            <w:pPr>
              <w:spacing w:line="240" w:lineRule="auto"/>
              <w:ind w:firstLine="0"/>
              <w:jc w:val="center"/>
            </w:pPr>
            <w:r>
              <w:rPr>
                <w:rFonts w:ascii="Times New Roman" w:hAnsi="Times New Roman" w:eastAsia="Times New Roman" w:cs="Times New Roman"/>
                <w:b w:val="0"/>
                <w:i w:val="0"/>
                <w:sz w:val="24"/>
              </w:rPr>
              <w:t>React 18</w:t>
            </w:r>
          </w:p>
        </w:tc>
        <w:tc>
          <w:tcPr>
            <w:tcW w:type="dxa" w:w="3024"/>
          </w:tcPr>
          <w:p>
            <w:pPr>
              <w:spacing w:line="240" w:lineRule="auto"/>
              <w:ind w:firstLine="0"/>
              <w:jc w:val="center"/>
            </w:pPr>
            <w:r>
              <w:rPr>
                <w:rFonts w:ascii="Times New Roman" w:hAnsi="Times New Roman" w:eastAsia="Times New Roman" w:cs="Times New Roman"/>
                <w:b w:val="0"/>
                <w:i w:val="0"/>
                <w:sz w:val="24"/>
              </w:rPr>
              <w:t>Декларативное описание интерфейса</w:t>
            </w:r>
          </w:p>
        </w:tc>
      </w:tr>
      <w:tr>
        <w:tc>
          <w:tcPr>
            <w:tcW w:type="dxa" w:w="3024"/>
          </w:tcPr>
          <w:p>
            <w:pPr>
              <w:spacing w:line="240" w:lineRule="auto"/>
              <w:ind w:firstLine="0"/>
              <w:jc w:val="center"/>
            </w:pPr>
            <w:r>
              <w:rPr>
                <w:rFonts w:ascii="Times New Roman" w:hAnsi="Times New Roman" w:eastAsia="Times New Roman" w:cs="Times New Roman"/>
                <w:b w:val="0"/>
                <w:i w:val="0"/>
                <w:sz w:val="24"/>
              </w:rPr>
              <w:t>Язык</w:t>
            </w:r>
          </w:p>
        </w:tc>
        <w:tc>
          <w:tcPr>
            <w:tcW w:type="dxa" w:w="3024"/>
          </w:tcPr>
          <w:p>
            <w:pPr>
              <w:spacing w:line="240" w:lineRule="auto"/>
              <w:ind w:firstLine="0"/>
              <w:jc w:val="center"/>
            </w:pPr>
            <w:r>
              <w:rPr>
                <w:rFonts w:ascii="Times New Roman" w:hAnsi="Times New Roman" w:eastAsia="Times New Roman" w:cs="Times New Roman"/>
                <w:b w:val="0"/>
                <w:i w:val="0"/>
                <w:sz w:val="24"/>
              </w:rPr>
              <w:t>TypeScript 5</w:t>
            </w:r>
          </w:p>
        </w:tc>
        <w:tc>
          <w:tcPr>
            <w:tcW w:type="dxa" w:w="3024"/>
          </w:tcPr>
          <w:p>
            <w:pPr>
              <w:spacing w:line="240" w:lineRule="auto"/>
              <w:ind w:firstLine="0"/>
              <w:jc w:val="center"/>
            </w:pPr>
            <w:r>
              <w:rPr>
                <w:rFonts w:ascii="Times New Roman" w:hAnsi="Times New Roman" w:eastAsia="Times New Roman" w:cs="Times New Roman"/>
                <w:b w:val="0"/>
                <w:i w:val="0"/>
                <w:sz w:val="24"/>
              </w:rPr>
              <w:t>Статическая типизация на клиенте и сервере</w:t>
            </w:r>
          </w:p>
        </w:tc>
      </w:tr>
      <w:tr>
        <w:tc>
          <w:tcPr>
            <w:tcW w:type="dxa" w:w="3024"/>
          </w:tcPr>
          <w:p>
            <w:pPr>
              <w:spacing w:line="240" w:lineRule="auto"/>
              <w:ind w:firstLine="0"/>
              <w:jc w:val="center"/>
            </w:pPr>
            <w:r>
              <w:rPr>
                <w:rFonts w:ascii="Times New Roman" w:hAnsi="Times New Roman" w:eastAsia="Times New Roman" w:cs="Times New Roman"/>
                <w:b w:val="0"/>
                <w:i w:val="0"/>
                <w:sz w:val="24"/>
              </w:rPr>
              <w:t>Стили</w:t>
            </w:r>
          </w:p>
        </w:tc>
        <w:tc>
          <w:tcPr>
            <w:tcW w:type="dxa" w:w="3024"/>
          </w:tcPr>
          <w:p>
            <w:pPr>
              <w:spacing w:line="240" w:lineRule="auto"/>
              <w:ind w:firstLine="0"/>
              <w:jc w:val="center"/>
            </w:pPr>
            <w:r>
              <w:rPr>
                <w:rFonts w:ascii="Times New Roman" w:hAnsi="Times New Roman" w:eastAsia="Times New Roman" w:cs="Times New Roman"/>
                <w:b w:val="0"/>
                <w:i w:val="0"/>
                <w:sz w:val="24"/>
              </w:rPr>
              <w:t>TailwindCSS 3</w:t>
            </w:r>
          </w:p>
        </w:tc>
        <w:tc>
          <w:tcPr>
            <w:tcW w:type="dxa" w:w="3024"/>
          </w:tcPr>
          <w:p>
            <w:pPr>
              <w:spacing w:line="240" w:lineRule="auto"/>
              <w:ind w:firstLine="0"/>
              <w:jc w:val="center"/>
            </w:pPr>
            <w:r>
              <w:rPr>
                <w:rFonts w:ascii="Times New Roman" w:hAnsi="Times New Roman" w:eastAsia="Times New Roman" w:cs="Times New Roman"/>
                <w:b w:val="0"/>
                <w:i w:val="0"/>
                <w:sz w:val="24"/>
              </w:rPr>
              <w:t>Утилитарный подход к стилям без CSS-файлов</w:t>
            </w:r>
          </w:p>
        </w:tc>
      </w:tr>
      <w:tr>
        <w:tc>
          <w:tcPr>
            <w:tcW w:type="dxa" w:w="3024"/>
          </w:tcPr>
          <w:p>
            <w:pPr>
              <w:spacing w:line="240" w:lineRule="auto"/>
              <w:ind w:firstLine="0"/>
              <w:jc w:val="center"/>
            </w:pPr>
            <w:r>
              <w:rPr>
                <w:rFonts w:ascii="Times New Roman" w:hAnsi="Times New Roman" w:eastAsia="Times New Roman" w:cs="Times New Roman"/>
                <w:b w:val="0"/>
                <w:i w:val="0"/>
                <w:sz w:val="24"/>
              </w:rPr>
              <w:t>Маршрутизация</w:t>
            </w:r>
          </w:p>
        </w:tc>
        <w:tc>
          <w:tcPr>
            <w:tcW w:type="dxa" w:w="3024"/>
          </w:tcPr>
          <w:p>
            <w:pPr>
              <w:spacing w:line="240" w:lineRule="auto"/>
              <w:ind w:firstLine="0"/>
              <w:jc w:val="center"/>
            </w:pPr>
            <w:r>
              <w:rPr>
                <w:rFonts w:ascii="Times New Roman" w:hAnsi="Times New Roman" w:eastAsia="Times New Roman" w:cs="Times New Roman"/>
                <w:b w:val="0"/>
                <w:i w:val="0"/>
                <w:sz w:val="24"/>
              </w:rPr>
              <w:t>React Router 6</w:t>
            </w:r>
          </w:p>
        </w:tc>
        <w:tc>
          <w:tcPr>
            <w:tcW w:type="dxa" w:w="3024"/>
          </w:tcPr>
          <w:p>
            <w:pPr>
              <w:spacing w:line="240" w:lineRule="auto"/>
              <w:ind w:firstLine="0"/>
              <w:jc w:val="center"/>
            </w:pPr>
            <w:r>
              <w:rPr>
                <w:rFonts w:ascii="Times New Roman" w:hAnsi="Times New Roman" w:eastAsia="Times New Roman" w:cs="Times New Roman"/>
                <w:b w:val="0"/>
                <w:i w:val="0"/>
                <w:sz w:val="24"/>
              </w:rPr>
              <w:t>Клиентская навигация по экранам</w:t>
            </w:r>
          </w:p>
        </w:tc>
      </w:tr>
      <w:tr>
        <w:tc>
          <w:tcPr>
            <w:tcW w:type="dxa" w:w="3024"/>
          </w:tcPr>
          <w:p>
            <w:pPr>
              <w:spacing w:line="240" w:lineRule="auto"/>
              <w:ind w:firstLine="0"/>
              <w:jc w:val="center"/>
            </w:pPr>
            <w:r>
              <w:rPr>
                <w:rFonts w:ascii="Times New Roman" w:hAnsi="Times New Roman" w:eastAsia="Times New Roman" w:cs="Times New Roman"/>
                <w:b w:val="0"/>
                <w:i w:val="0"/>
                <w:sz w:val="24"/>
              </w:rPr>
              <w:t>Локализация</w:t>
            </w:r>
          </w:p>
        </w:tc>
        <w:tc>
          <w:tcPr>
            <w:tcW w:type="dxa" w:w="3024"/>
          </w:tcPr>
          <w:p>
            <w:pPr>
              <w:spacing w:line="240" w:lineRule="auto"/>
              <w:ind w:firstLine="0"/>
              <w:jc w:val="center"/>
            </w:pPr>
            <w:r>
              <w:rPr>
                <w:rFonts w:ascii="Times New Roman" w:hAnsi="Times New Roman" w:eastAsia="Times New Roman" w:cs="Times New Roman"/>
                <w:b w:val="0"/>
                <w:i w:val="0"/>
                <w:sz w:val="24"/>
              </w:rPr>
              <w:t>react-i18next</w:t>
            </w:r>
          </w:p>
        </w:tc>
        <w:tc>
          <w:tcPr>
            <w:tcW w:type="dxa" w:w="3024"/>
          </w:tcPr>
          <w:p>
            <w:pPr>
              <w:spacing w:line="240" w:lineRule="auto"/>
              <w:ind w:firstLine="0"/>
              <w:jc w:val="center"/>
            </w:pPr>
            <w:r>
              <w:rPr>
                <w:rFonts w:ascii="Times New Roman" w:hAnsi="Times New Roman" w:eastAsia="Times New Roman" w:cs="Times New Roman"/>
                <w:b w:val="0"/>
                <w:i w:val="0"/>
                <w:sz w:val="24"/>
              </w:rPr>
              <w:t>Двуязычный интерфейс ru / uz</w:t>
            </w:r>
          </w:p>
        </w:tc>
      </w:tr>
      <w:tr>
        <w:tc>
          <w:tcPr>
            <w:tcW w:type="dxa" w:w="3024"/>
          </w:tcPr>
          <w:p>
            <w:pPr>
              <w:spacing w:line="240" w:lineRule="auto"/>
              <w:ind w:firstLine="0"/>
              <w:jc w:val="center"/>
            </w:pPr>
            <w:r>
              <w:rPr>
                <w:rFonts w:ascii="Times New Roman" w:hAnsi="Times New Roman" w:eastAsia="Times New Roman" w:cs="Times New Roman"/>
                <w:b w:val="0"/>
                <w:i w:val="0"/>
                <w:sz w:val="24"/>
              </w:rPr>
              <w:t>Серверный рантайм</w:t>
            </w:r>
          </w:p>
        </w:tc>
        <w:tc>
          <w:tcPr>
            <w:tcW w:type="dxa" w:w="3024"/>
          </w:tcPr>
          <w:p>
            <w:pPr>
              <w:spacing w:line="240" w:lineRule="auto"/>
              <w:ind w:firstLine="0"/>
              <w:jc w:val="center"/>
            </w:pPr>
            <w:r>
              <w:rPr>
                <w:rFonts w:ascii="Times New Roman" w:hAnsi="Times New Roman" w:eastAsia="Times New Roman" w:cs="Times New Roman"/>
                <w:b w:val="0"/>
                <w:i w:val="0"/>
                <w:sz w:val="24"/>
              </w:rPr>
              <w:t>Vercel Serverless Functions</w:t>
            </w:r>
          </w:p>
        </w:tc>
        <w:tc>
          <w:tcPr>
            <w:tcW w:type="dxa" w:w="3024"/>
          </w:tcPr>
          <w:p>
            <w:pPr>
              <w:spacing w:line="240" w:lineRule="auto"/>
              <w:ind w:firstLine="0"/>
              <w:jc w:val="center"/>
            </w:pPr>
            <w:r>
              <w:rPr>
                <w:rFonts w:ascii="Times New Roman" w:hAnsi="Times New Roman" w:eastAsia="Times New Roman" w:cs="Times New Roman"/>
                <w:b w:val="0"/>
                <w:i w:val="0"/>
                <w:sz w:val="24"/>
              </w:rPr>
              <w:t>Бессерверные функции на Node.js</w:t>
            </w:r>
          </w:p>
        </w:tc>
      </w:tr>
      <w:tr>
        <w:tc>
          <w:tcPr>
            <w:tcW w:type="dxa" w:w="3024"/>
          </w:tcPr>
          <w:p>
            <w:pPr>
              <w:spacing w:line="240" w:lineRule="auto"/>
              <w:ind w:firstLine="0"/>
              <w:jc w:val="center"/>
            </w:pPr>
            <w:r>
              <w:rPr>
                <w:rFonts w:ascii="Times New Roman" w:hAnsi="Times New Roman" w:eastAsia="Times New Roman" w:cs="Times New Roman"/>
                <w:b w:val="0"/>
                <w:i w:val="0"/>
                <w:sz w:val="24"/>
              </w:rPr>
              <w:t>База данных</w:t>
            </w:r>
          </w:p>
        </w:tc>
        <w:tc>
          <w:tcPr>
            <w:tcW w:type="dxa" w:w="3024"/>
          </w:tcPr>
          <w:p>
            <w:pPr>
              <w:spacing w:line="240" w:lineRule="auto"/>
              <w:ind w:firstLine="0"/>
              <w:jc w:val="center"/>
            </w:pPr>
            <w:r>
              <w:rPr>
                <w:rFonts w:ascii="Times New Roman" w:hAnsi="Times New Roman" w:eastAsia="Times New Roman" w:cs="Times New Roman"/>
                <w:b w:val="0"/>
                <w:i w:val="0"/>
                <w:sz w:val="24"/>
              </w:rPr>
              <w:t>Neon PostgreSQL 16</w:t>
            </w:r>
          </w:p>
        </w:tc>
        <w:tc>
          <w:tcPr>
            <w:tcW w:type="dxa" w:w="3024"/>
          </w:tcPr>
          <w:p>
            <w:pPr>
              <w:spacing w:line="240" w:lineRule="auto"/>
              <w:ind w:firstLine="0"/>
              <w:jc w:val="center"/>
            </w:pPr>
            <w:r>
              <w:rPr>
                <w:rFonts w:ascii="Times New Roman" w:hAnsi="Times New Roman" w:eastAsia="Times New Roman" w:cs="Times New Roman"/>
                <w:b w:val="0"/>
                <w:i w:val="0"/>
                <w:sz w:val="24"/>
              </w:rPr>
              <w:t>Управляемая реляционная база</w:t>
            </w:r>
          </w:p>
        </w:tc>
      </w:tr>
      <w:tr>
        <w:tc>
          <w:tcPr>
            <w:tcW w:type="dxa" w:w="3024"/>
          </w:tcPr>
          <w:p>
            <w:pPr>
              <w:spacing w:line="240" w:lineRule="auto"/>
              <w:ind w:firstLine="0"/>
              <w:jc w:val="center"/>
            </w:pPr>
            <w:r>
              <w:rPr>
                <w:rFonts w:ascii="Times New Roman" w:hAnsi="Times New Roman" w:eastAsia="Times New Roman" w:cs="Times New Roman"/>
                <w:b w:val="0"/>
                <w:i w:val="0"/>
                <w:sz w:val="24"/>
              </w:rPr>
              <w:t>Файловое хранилище</w:t>
            </w:r>
          </w:p>
        </w:tc>
        <w:tc>
          <w:tcPr>
            <w:tcW w:type="dxa" w:w="3024"/>
          </w:tcPr>
          <w:p>
            <w:pPr>
              <w:spacing w:line="240" w:lineRule="auto"/>
              <w:ind w:firstLine="0"/>
              <w:jc w:val="center"/>
            </w:pPr>
            <w:r>
              <w:rPr>
                <w:rFonts w:ascii="Times New Roman" w:hAnsi="Times New Roman" w:eastAsia="Times New Roman" w:cs="Times New Roman"/>
                <w:b w:val="0"/>
                <w:i w:val="0"/>
                <w:sz w:val="24"/>
              </w:rPr>
              <w:t>Vercel Blob</w:t>
            </w:r>
          </w:p>
        </w:tc>
        <w:tc>
          <w:tcPr>
            <w:tcW w:type="dxa" w:w="3024"/>
          </w:tcPr>
          <w:p>
            <w:pPr>
              <w:spacing w:line="240" w:lineRule="auto"/>
              <w:ind w:firstLine="0"/>
              <w:jc w:val="center"/>
            </w:pPr>
            <w:r>
              <w:rPr>
                <w:rFonts w:ascii="Times New Roman" w:hAnsi="Times New Roman" w:eastAsia="Times New Roman" w:cs="Times New Roman"/>
                <w:b w:val="0"/>
                <w:i w:val="0"/>
                <w:sz w:val="24"/>
              </w:rPr>
              <w:t>Хранение PDF-номеров и обложек</w:t>
            </w:r>
          </w:p>
        </w:tc>
      </w:tr>
      <w:tr>
        <w:tc>
          <w:tcPr>
            <w:tcW w:type="dxa" w:w="3024"/>
          </w:tcPr>
          <w:p>
            <w:pPr>
              <w:spacing w:line="240" w:lineRule="auto"/>
              <w:ind w:firstLine="0"/>
              <w:jc w:val="center"/>
            </w:pPr>
            <w:r>
              <w:rPr>
                <w:rFonts w:ascii="Times New Roman" w:hAnsi="Times New Roman" w:eastAsia="Times New Roman" w:cs="Times New Roman"/>
                <w:b w:val="0"/>
                <w:i w:val="0"/>
                <w:sz w:val="24"/>
              </w:rPr>
              <w:t>Аутентификация</w:t>
            </w:r>
          </w:p>
        </w:tc>
        <w:tc>
          <w:tcPr>
            <w:tcW w:type="dxa" w:w="3024"/>
          </w:tcPr>
          <w:p>
            <w:pPr>
              <w:spacing w:line="240" w:lineRule="auto"/>
              <w:ind w:firstLine="0"/>
              <w:jc w:val="center"/>
            </w:pPr>
            <w:r>
              <w:rPr>
                <w:rFonts w:ascii="Times New Roman" w:hAnsi="Times New Roman" w:eastAsia="Times New Roman" w:cs="Times New Roman"/>
                <w:b w:val="0"/>
                <w:i w:val="0"/>
                <w:sz w:val="24"/>
              </w:rPr>
              <w:t>JSON Web Token + bcrypt</w:t>
            </w:r>
          </w:p>
        </w:tc>
        <w:tc>
          <w:tcPr>
            <w:tcW w:type="dxa" w:w="3024"/>
          </w:tcPr>
          <w:p>
            <w:pPr>
              <w:spacing w:line="240" w:lineRule="auto"/>
              <w:ind w:firstLine="0"/>
              <w:jc w:val="center"/>
            </w:pPr>
            <w:r>
              <w:rPr>
                <w:rFonts w:ascii="Times New Roman" w:hAnsi="Times New Roman" w:eastAsia="Times New Roman" w:cs="Times New Roman"/>
                <w:b w:val="0"/>
                <w:i w:val="0"/>
                <w:sz w:val="24"/>
              </w:rPr>
              <w:t>Подписанные токены и защищённое хранение паролей</w:t>
            </w:r>
          </w:p>
        </w:tc>
      </w:tr>
    </w:tbl>
    <w:p>
      <w:pPr>
        <w:ind w:firstLine="0"/>
        <w:jc w:val="center"/>
      </w:pPr>
      <w:r>
        <w:rPr>
          <w:rFonts w:ascii="Times New Roman" w:hAnsi="Times New Roman" w:eastAsia="Times New Roman" w:cs="Times New Roman"/>
          <w:b w:val="0"/>
          <w:i w:val="0"/>
          <w:sz w:val="24"/>
        </w:rPr>
        <w:t>Таблица 2. Технологический стек проектируемой системы</w:t>
      </w:r>
    </w:p>
    <w:p>
      <w:pPr>
        <w:ind w:firstLine="0"/>
      </w:pPr>
    </w:p>
    <w:p>
      <w:pPr>
        <w:pStyle w:val="Heading2"/>
      </w:pPr>
      <w:r>
        <w:rPr>
          <w:rFonts w:ascii="Times New Roman" w:hAnsi="Times New Roman" w:eastAsia="Times New Roman" w:cs="Times New Roman"/>
          <w:b/>
          <w:i w:val="0"/>
          <w:sz w:val="28"/>
        </w:rPr>
        <w:t>2.4. Архитектурная схема системы</w:t>
      </w:r>
    </w:p>
    <w:p>
      <w:r>
        <w:rPr>
          <w:rFonts w:ascii="Times New Roman" w:hAnsi="Times New Roman" w:eastAsia="Times New Roman" w:cs="Times New Roman"/>
          <w:b w:val="0"/>
          <w:i w:val="0"/>
          <w:sz w:val="28"/>
        </w:rPr>
        <w:t>Высокоуровневая архитектура системы построена в виде четырёх связанных слоёв. Первый слой — клиент в браузере читателя или администратора. Клиент представляет собой одностраничное приложение React, общается с сервером по протоколу HTTP, хранит токен аутентификации в локальном хранилище браузера. Второй слой — бессерверные функции платформы Vercel в директории /api проекта. Каждая функция отвечает за один набор операций (регистрация, выдача каталога, оформление подписки, загрузка номера). Третий слой — управляемая база данных Neon PostgreSQL, доступная функциям по защищённому соединению. Четвёртый слой — файловое хранилище Vercel Blob, в котором лежат PDF-номера и изображения обложек, а ссылки на эти файлы записаны в базе.</w:t>
      </w:r>
    </w:p>
    <w:p>
      <w:pPr>
        <w:ind w:firstLine="0"/>
        <w:jc w:val="center"/>
      </w:pPr>
      <w:r>
        <w:rPr>
          <w:rFonts w:ascii="Times New Roman" w:hAnsi="Times New Roman" w:eastAsia="Times New Roman" w:cs="Times New Roman"/>
          <w:b w:val="0"/>
          <w:i/>
          <w:sz w:val="28"/>
        </w:rPr>
        <w:t>[ВСТАВИТЬ РИС.: Архитектурная схема системы — docs/architecture.png]</w:t>
      </w:r>
    </w:p>
    <w:p>
      <w:pPr>
        <w:ind w:firstLine="0"/>
        <w:jc w:val="center"/>
      </w:pPr>
      <w:r>
        <w:rPr>
          <w:rFonts w:ascii="Times New Roman" w:hAnsi="Times New Roman" w:eastAsia="Times New Roman" w:cs="Times New Roman"/>
          <w:b w:val="0"/>
          <w:i w:val="0"/>
          <w:sz w:val="24"/>
        </w:rPr>
        <w:t>Рис. 1. Архитектурная схема системы</w:t>
      </w:r>
    </w:p>
    <w:p>
      <w:pPr>
        <w:ind w:firstLine="0"/>
      </w:pPr>
    </w:p>
    <w:p>
      <w:r>
        <w:rPr>
          <w:rFonts w:ascii="Times New Roman" w:hAnsi="Times New Roman" w:eastAsia="Times New Roman" w:cs="Times New Roman"/>
          <w:b w:val="0"/>
          <w:i w:val="0"/>
          <w:sz w:val="28"/>
        </w:rPr>
        <w:t>Поток оформления подписки выглядит следующим образом. Клиент формирует запрос HTTP POST по адресу /api/subscriptions, передавая идентификатор издания, период подписки и платёжные реквизиты. Бессерверная функция проверяет токен аутентификации, валидирует входные данные через библиотеку zod, открывает транзакцию в PostgreSQL, добавляет запись в таблицу subscriptions, добавляет запись в таблицу payments и фиксирует транзакцию. В ответ клиент получает идентификатор подписки, статус и дату окончания. Поток загрузки PDF-номера администратором использует прямую загрузку в Vercel Blob по подписанному URL, после чего метаданные сохраняются в таблице issues.</w:t>
      </w:r>
    </w:p>
    <w:p>
      <w:pPr>
        <w:pStyle w:val="Heading1"/>
        <w:jc w:val="center"/>
      </w:pPr>
      <w:r>
        <w:rPr>
          <w:rFonts w:ascii="Times New Roman" w:hAnsi="Times New Roman" w:eastAsia="Times New Roman" w:cs="Times New Roman"/>
          <w:b/>
          <w:i w:val="0"/>
          <w:sz w:val="28"/>
        </w:rPr>
        <w:t>3. ПРОЕКТИРОВАНИЕ БАЗЫ ДАННЫХ</w:t>
      </w:r>
    </w:p>
    <w:p>
      <w:pPr>
        <w:pStyle w:val="Heading2"/>
      </w:pPr>
      <w:r>
        <w:rPr>
          <w:rFonts w:ascii="Times New Roman" w:hAnsi="Times New Roman" w:eastAsia="Times New Roman" w:cs="Times New Roman"/>
          <w:b/>
          <w:i w:val="0"/>
          <w:sz w:val="28"/>
        </w:rPr>
        <w:t>3.1. Нормализация и общие принципы</w:t>
      </w:r>
    </w:p>
    <w:p>
      <w:r>
        <w:rPr>
          <w:rFonts w:ascii="Times New Roman" w:hAnsi="Times New Roman" w:eastAsia="Times New Roman" w:cs="Times New Roman"/>
          <w:b w:val="0"/>
          <w:i w:val="0"/>
          <w:sz w:val="28"/>
        </w:rPr>
        <w:t>Реляционная модель базы данных проектировалась с соблюдением первой, второй и третьей нормальных форм. Первая нормальная форма обеспечивается атомарностью значений в каждой ячейке (отсутствием массивов и составных полей в обычных колонках). Вторая нормальная форма обеспечивается тем, что неключевые атрибуты зависят от полного первичного ключа (в проекте используются простые суррогатные ключи типа SERIAL, что автоматически выполняет это требование). Третья нормальная форма обеспечивается отсутствием транзитивных зависимостей: метаданные категорий вынесены в отдельную таблицу categories, а каждое издание ссылается на категорию по внешнему ключу.</w:t>
      </w:r>
    </w:p>
    <w:p>
      <w:r>
        <w:rPr>
          <w:rFonts w:ascii="Times New Roman" w:hAnsi="Times New Roman" w:eastAsia="Times New Roman" w:cs="Times New Roman"/>
          <w:b w:val="0"/>
          <w:i w:val="0"/>
          <w:sz w:val="28"/>
        </w:rPr>
        <w:t>Двуязычные поля для русского и узбекского языков выделены в отдельные колонки с суффиксами _ru и _uz. Этот подход проще альтернативной таблицы переводов, упрощает запросы каталога и сохраняет производительность чтения, при этом поддерживает локализацию контента в обеих локалях [11].</w:t>
      </w:r>
    </w:p>
    <w:p>
      <w:pPr>
        <w:pStyle w:val="Heading2"/>
      </w:pPr>
      <w:r>
        <w:rPr>
          <w:rFonts w:ascii="Times New Roman" w:hAnsi="Times New Roman" w:eastAsia="Times New Roman" w:cs="Times New Roman"/>
          <w:b/>
          <w:i w:val="0"/>
          <w:sz w:val="28"/>
        </w:rPr>
        <w:t>3.2. Описание таблиц</w:t>
      </w:r>
    </w:p>
    <w:p>
      <w:r>
        <w:rPr>
          <w:rFonts w:ascii="Times New Roman" w:hAnsi="Times New Roman" w:eastAsia="Times New Roman" w:cs="Times New Roman"/>
          <w:b w:val="0"/>
          <w:i w:val="0"/>
          <w:sz w:val="28"/>
        </w:rPr>
        <w:t>База данных состоит из шести таблиц. Каждая таблица описана с указанием имени, назначения и ключевых полей.</w:t>
      </w:r>
    </w:p>
    <w:p>
      <w:r>
        <w:rPr>
          <w:rFonts w:ascii="Times New Roman" w:hAnsi="Times New Roman" w:eastAsia="Times New Roman" w:cs="Times New Roman"/>
          <w:b w:val="0"/>
          <w:i w:val="0"/>
          <w:sz w:val="28"/>
        </w:rPr>
        <w:t>Таблица users хранит зарегистрированных пользователей системы. Поля: id (первичный ключ), email (уникальный), password_hash (хеш пароля по алгоритму bcrypt), full_name (полное имя), phone (телефон, необязательное), role (роль reader или admin), created_at (дата регистрации). Уникальность электронной почты обеспечивает идентификацию аккаунта при входе.</w:t>
      </w:r>
    </w:p>
    <w:p>
      <w:r>
        <w:rPr>
          <w:rFonts w:ascii="Times New Roman" w:hAnsi="Times New Roman" w:eastAsia="Times New Roman" w:cs="Times New Roman"/>
          <w:b w:val="0"/>
          <w:i w:val="0"/>
          <w:sz w:val="28"/>
        </w:rPr>
        <w:t>Таблица categories содержит категории изданий. Поля: id, slug (человекочитаемый идентификатор для URL), name_ru, name_uz (локализованные названия). Используется как справочник для фильтров каталога.</w:t>
      </w:r>
    </w:p>
    <w:p>
      <w:r>
        <w:rPr>
          <w:rFonts w:ascii="Times New Roman" w:hAnsi="Times New Roman" w:eastAsia="Times New Roman" w:cs="Times New Roman"/>
          <w:b w:val="0"/>
          <w:i w:val="0"/>
          <w:sz w:val="28"/>
        </w:rPr>
        <w:t>Таблица publications содержит описания изданий (газет и журналов). Поля: id, slug, title_ru, title_uz, description_ru, description_uz, cover_url (ссылка на обложку в Vercel Blob), category_id (внешний ключ на categories), type (newspaper или magazine), price_per_month (цена за месяц подписки в сумах), is_published (флаг публикации), временные метки created_at и updated_at.</w:t>
      </w:r>
    </w:p>
    <w:p>
      <w:r>
        <w:rPr>
          <w:rFonts w:ascii="Times New Roman" w:hAnsi="Times New Roman" w:eastAsia="Times New Roman" w:cs="Times New Roman"/>
          <w:b w:val="0"/>
          <w:i w:val="0"/>
          <w:sz w:val="28"/>
        </w:rPr>
        <w:t>Таблица issues хранит выпуски (номера) изданий. Поля: id, publication_id (внешний ключ на publications с каскадным удалением), issue_number (номер выпуска внутри издания), title_ru, title_uz, published_at (дата публикации выпуска), pdf_url (ссылка на файл в Vercel Blob), cover_url, created_at. На пары (publication_id, issue_number) наложено ограничение уникальности, чтобы исключить дублирование номеров.</w:t>
      </w:r>
    </w:p>
    <w:p>
      <w:r>
        <w:rPr>
          <w:rFonts w:ascii="Times New Roman" w:hAnsi="Times New Roman" w:eastAsia="Times New Roman" w:cs="Times New Roman"/>
          <w:b w:val="0"/>
          <w:i w:val="0"/>
          <w:sz w:val="28"/>
        </w:rPr>
        <w:t>Таблица subscriptions хранит подписки читателей на издания. Поля: id, user_id (внешний ключ на users), publication_id (внешний ключ на publications), period_months (срок 1, 3, 6 или 12 месяцев), start_date, end_date (даты начала и окончания подписки), status (pending, active, expired или cancelled), total_amount (общая сумма), created_at. Поле status управляет доступом к PDF-номерам.</w:t>
      </w:r>
    </w:p>
    <w:p>
      <w:r>
        <w:rPr>
          <w:rFonts w:ascii="Times New Roman" w:hAnsi="Times New Roman" w:eastAsia="Times New Roman" w:cs="Times New Roman"/>
          <w:b w:val="0"/>
          <w:i w:val="0"/>
          <w:sz w:val="28"/>
        </w:rPr>
        <w:t>Таблица payments хранит факты имитационных платежей. Поля: id, subscription_id (внешний ключ на subscriptions), amount (сумма платежа), card_last4 (последние четыре цифры карты), status (success или failed), paid_at (момент платежа). Хранение полного номера карты не предусмотрено в соответствии с требованиями защиты персональных данных и стандарта PCI DSS (англ. — Payment Card Industry Data Security Standard).</w:t>
      </w:r>
    </w:p>
    <w:p>
      <w:pPr>
        <w:pStyle w:val="Heading2"/>
      </w:pPr>
      <w:r>
        <w:rPr>
          <w:rFonts w:ascii="Times New Roman" w:hAnsi="Times New Roman" w:eastAsia="Times New Roman" w:cs="Times New Roman"/>
          <w:b/>
          <w:i w:val="0"/>
          <w:sz w:val="28"/>
        </w:rPr>
        <w:t>3.3. Связи между таблицами</w:t>
      </w:r>
    </w:p>
    <w:p>
      <w:r>
        <w:rPr>
          <w:rFonts w:ascii="Times New Roman" w:hAnsi="Times New Roman" w:eastAsia="Times New Roman" w:cs="Times New Roman"/>
          <w:b w:val="0"/>
          <w:i w:val="0"/>
          <w:sz w:val="28"/>
        </w:rPr>
        <w:t>Связи между таблицами реализованы через внешние ключи. Один пользователь может иметь много подписок (1:N от users к subscriptions). Одно издание может быть подписано многими пользователями (1:N от publications к subscriptions). Одно издание содержит много выпусков (1:N от publications к issues). Одна категория содержит много изданий (1:N от categories к publications). Одна подписка содержит один или несколько платежей при продлении (1:N от subscriptions к payments). Эти связи обеспечивают целостность данных при операциях вставки, обновления и удаления.</w:t>
      </w:r>
    </w:p>
    <w:p>
      <w:pPr>
        <w:ind w:firstLine="0"/>
        <w:jc w:val="center"/>
      </w:pPr>
      <w:r>
        <w:rPr>
          <w:rFonts w:ascii="Times New Roman" w:hAnsi="Times New Roman" w:eastAsia="Times New Roman" w:cs="Times New Roman"/>
          <w:b w:val="0"/>
          <w:i/>
          <w:sz w:val="28"/>
        </w:rPr>
        <w:t>[ВСТАВИТЬ РИС.: ER-диаграмма базы данных — docs/er-diagram.png]</w:t>
      </w:r>
    </w:p>
    <w:p>
      <w:pPr>
        <w:ind w:firstLine="0"/>
        <w:jc w:val="center"/>
      </w:pPr>
      <w:r>
        <w:rPr>
          <w:rFonts w:ascii="Times New Roman" w:hAnsi="Times New Roman" w:eastAsia="Times New Roman" w:cs="Times New Roman"/>
          <w:b w:val="0"/>
          <w:i w:val="0"/>
          <w:sz w:val="24"/>
        </w:rPr>
        <w:t>Рис. 2. Логическая ER-диаграмма базы данных</w:t>
      </w:r>
    </w:p>
    <w:p>
      <w:pPr>
        <w:ind w:firstLine="0"/>
      </w:pPr>
    </w:p>
    <w:p>
      <w:pPr>
        <w:pStyle w:val="Heading2"/>
      </w:pPr>
      <w:r>
        <w:rPr>
          <w:rFonts w:ascii="Times New Roman" w:hAnsi="Times New Roman" w:eastAsia="Times New Roman" w:cs="Times New Roman"/>
          <w:b/>
          <w:i w:val="0"/>
          <w:sz w:val="28"/>
        </w:rPr>
        <w:t>3.4. Жизненный цикл подписки</w:t>
      </w:r>
    </w:p>
    <w:p>
      <w:r>
        <w:rPr>
          <w:rFonts w:ascii="Times New Roman" w:hAnsi="Times New Roman" w:eastAsia="Times New Roman" w:cs="Times New Roman"/>
          <w:b w:val="0"/>
          <w:i w:val="0"/>
          <w:sz w:val="28"/>
        </w:rPr>
        <w:t>Подписка проходит четыре состояния. Начальное состояние pending присваивается записи на момент создания, до подтверждения платежа. При успешном платеже статус меняется на active, и пользователь получает доступ к PDF-номерам издания. По достижении даты end_date статус автоматически переводится в expired фоновой задачей проверки подписок. По запросу пользователя действующая подписка может быть переведена в состояние cancelled до окончания срока, при этом доступ к PDF прекращается немедленно.</w:t>
      </w:r>
    </w:p>
    <w:p>
      <w:pPr>
        <w:ind w:firstLine="0"/>
        <w:jc w:val="center"/>
      </w:pPr>
      <w:r>
        <w:rPr>
          <w:rFonts w:ascii="Times New Roman" w:hAnsi="Times New Roman" w:eastAsia="Times New Roman" w:cs="Times New Roman"/>
          <w:b w:val="0"/>
          <w:i/>
          <w:sz w:val="28"/>
        </w:rPr>
        <w:t>[ВСТАВИТЬ РИС.: Диаграмма состояний подписки — docs/subscription-lifecycle.png]</w:t>
      </w:r>
    </w:p>
    <w:p>
      <w:pPr>
        <w:ind w:firstLine="0"/>
        <w:jc w:val="center"/>
      </w:pPr>
      <w:r>
        <w:rPr>
          <w:rFonts w:ascii="Times New Roman" w:hAnsi="Times New Roman" w:eastAsia="Times New Roman" w:cs="Times New Roman"/>
          <w:b w:val="0"/>
          <w:i w:val="0"/>
          <w:sz w:val="24"/>
        </w:rPr>
        <w:t>Рис. 3. Диаграмма состояний подписки</w:t>
      </w:r>
    </w:p>
    <w:p>
      <w:pPr>
        <w:ind w:firstLine="0"/>
      </w:pPr>
    </w:p>
    <w:p>
      <w:pPr>
        <w:pStyle w:val="Heading2"/>
      </w:pPr>
      <w:r>
        <w:rPr>
          <w:rFonts w:ascii="Times New Roman" w:hAnsi="Times New Roman" w:eastAsia="Times New Roman" w:cs="Times New Roman"/>
          <w:b/>
          <w:i w:val="0"/>
          <w:sz w:val="28"/>
        </w:rPr>
        <w:t>3.5. Индексы и контроль доступа</w:t>
      </w:r>
    </w:p>
    <w:p>
      <w:r>
        <w:rPr>
          <w:rFonts w:ascii="Times New Roman" w:hAnsi="Times New Roman" w:eastAsia="Times New Roman" w:cs="Times New Roman"/>
          <w:b w:val="0"/>
          <w:i w:val="0"/>
          <w:sz w:val="28"/>
        </w:rPr>
        <w:t>Для ускорения часто исполняемых запросов на таблицах созданы вторичные индексы. Индекс subscriptions(user_id, status) обслуживает выборку активных подписок пользователя в личном кабинете. Индекс issues(publication_id, published_at DESC) обслуживает выдачу архива номеров издания. Индекс publications(category_id, is_published) обслуживает фильтрацию каталога по категории.</w:t>
      </w:r>
    </w:p>
    <w:p>
      <w:r>
        <w:rPr>
          <w:rFonts w:ascii="Times New Roman" w:hAnsi="Times New Roman" w:eastAsia="Times New Roman" w:cs="Times New Roman"/>
          <w:b w:val="0"/>
          <w:i w:val="0"/>
          <w:sz w:val="28"/>
        </w:rPr>
        <w:t>Контроль доступа к PDF-номерам реализован на стороне сервера. При запросе ссылки на файл бессерверная функция проверяет наличие записи в таблице subscriptions с текущим user_id, заданным publication_id, статусом active и end_date не ранее текущей даты. При отсутствии такой записи функция возвращает HTTP-код 403. Этот механизм исключает обход подписки прямой ссылкой на файл.</w:t>
      </w:r>
    </w:p>
    <w:sectPr w:rsidR="00FC693F" w:rsidRPr="0006063C" w:rsidSect="00034616">
      <w:footerReference w:type="default" r:id="rId15"/>
      <w:headerReference w:type="default" r:id="rId16"/>
      <w:pgSz w:w="11906" w:h="16838"/>
      <w:pgMar w:top="1417" w:right="1134" w:bottom="1417" w:left="1701" w:header="680" w:footer="680" w:gutter="0"/>
      <w:cols w:space="720"/>
      <w:docGrid w:linePitch="360"/>
      <w:pgNumType w:start="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sz w:val="28"/>
      </w:rPr>
      <w:fldChar w:fldCharType="begin"/>
      <w:instrText xml:space="preserve"> PAGE   \* MERGEFORMAT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eastAsia="Times New Roman" w:cs="Times New Roman"/>
      <w:b w:val="0"/>
      <w:i w:val="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line="360" w:lineRule="auto"/>
      <w:ind w:firstLine="0"/>
      <w:jc w:val="center"/>
      <w:outlineLvl w:val="0"/>
    </w:pPr>
    <w:rPr>
      <w:rFonts w:asciiTheme="majorHAnsi" w:eastAsiaTheme="majorEastAsia" w:hAnsiTheme="majorHAnsi" w:cstheme="majorBidi" w:ascii="Times New Roman" w:hAnsi="Times New Roman" w:eastAsia="Times New Roman" w:cs="Times New Roman"/>
      <w:b/>
      <w:bCs/>
      <w:i w:val="0"/>
      <w:sz w:val="28"/>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line="360" w:lineRule="auto"/>
      <w:ind w:firstLine="709"/>
      <w:jc w:val="left"/>
      <w:outlineLvl w:val="1"/>
    </w:pPr>
    <w:rPr>
      <w:rFonts w:asciiTheme="majorHAnsi" w:eastAsiaTheme="majorEastAsia" w:hAnsiTheme="majorHAnsi" w:cstheme="majorBidi" w:ascii="Times New Roman" w:hAnsi="Times New Roman" w:eastAsia="Times New Roman" w:cs="Times New Roman"/>
      <w:b/>
      <w:bCs/>
      <w:i w:val="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240"/>
      <w:ind w:firstLine="0"/>
      <w:jc w:val="center"/>
    </w:pPr>
    <w:rPr>
      <w:rFonts w:ascii="Times New Roman" w:hAnsi="Times New Roman" w:eastAsia="Times New Roman" w:cs="Times New Roman"/>
      <w:b w:val="0"/>
      <w:bCs/>
      <w:i w:val="0"/>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eader" Target="header3.xml"/><Relationship Id="rId15" Type="http://schemas.openxmlformats.org/officeDocument/2006/relationships/footer" Target="footer4.xml"/><Relationship Id="rId16"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