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rendimiento académico — cohorte 2026</w:t>
      </w:r>
    </w:p>
    <w:p>
      <w:r>
        <w:rPr>
          <w:i/>
          <w:color w:val="6B7280"/>
          <w:sz w:val="22"/>
        </w:rPr>
        <w:t>Síntesis de aprobación, satisfacción y permanencia del Taller de Análisis de Datos; habilita decisiones de acompañamiento.</w:t>
      </w:r>
    </w:p>
    <w:p>
      <w:pPr>
        <w:pStyle w:val="Heading2"/>
      </w:pPr>
      <w:r>
        <w:t>1. Contexto y objetivo</w:t>
      </w:r>
    </w:p>
    <w:p>
      <w:r>
        <w:t>El taller cerró su ciclo de 12 semanas con 1.240 estudiantes matriculados. El objetivo fue medir el rendimiento y detectar asignaturas críticas.</w:t>
      </w:r>
    </w:p>
    <w:p>
      <w:pPr>
        <w:pStyle w:val="Heading3"/>
      </w:pPr>
      <w:r>
        <w:t>1.1 Alcance</w:t>
      </w:r>
    </w:p>
    <w:p>
      <w:pPr>
        <w:pStyle w:val="ListBullet"/>
      </w:pPr>
      <w:r>
        <w:t>Corte censal de la cohorte 2026 (no muestral).</w:t>
      </w:r>
    </w:p>
    <w:p>
      <w:pPr>
        <w:pStyle w:val="ListBullet"/>
      </w:pPr>
      <w:r>
        <w:t>Incluye notas finales y encuesta de satisfacción (n=980).</w:t>
      </w:r>
    </w:p>
    <w:p>
      <w:pPr>
        <w:pStyle w:val="Heading2"/>
      </w:pPr>
      <w:r>
        <w:t>2. Resultados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0E749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409"/>
            <w:shd w:fill="0E749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2409"/>
            <w:shd w:fill="0E749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Meta</w:t>
            </w:r>
          </w:p>
        </w:tc>
        <w:tc>
          <w:tcPr>
            <w:tcW w:type="dxa" w:w="2409"/>
            <w:shd w:fill="0E749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Aprobación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84,2%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✓ Cumple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Satisfacción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3,8/5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3,5/5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✓ Cumple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Permanencia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91,0%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En proceso</w:t>
            </w:r>
          </w:p>
        </w:tc>
      </w:tr>
    </w:tbl>
    <w:p>
      <w:pPr>
        <w:pStyle w:val="Caption"/>
      </w:pPr>
      <w:r>
        <w:t>Tabla 1 — Fuente: sistema interno.</w:t>
      </w:r>
    </w:p>
    <w:p>
      <w:pPr>
        <w:pStyle w:val="Heading2"/>
      </w:pPr>
      <w:r>
        <w:t>3. Conclusiones</w:t>
      </w:r>
    </w:p>
    <w:p>
      <w:pPr>
        <w:pStyle w:val="ListNumber"/>
      </w:pPr>
      <w:r>
        <w:t>La aprobación supera la meta en 4,2 puntos.</w:t>
      </w:r>
    </w:p>
    <w:p>
      <w:pPr>
        <w:pStyle w:val="ListNumber"/>
      </w:pPr>
      <w:r>
        <w:t>Reforzar tutorías en las 3 asignaturas críticas.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Página </w:t>
      <w:fldChar w:fldCharType="begin"/>
      <w:instrText xml:space="preserve">PAGE</w:instrText>
      <w:fldChar w:fldCharType="end"/>
    </w:r>
    <w:r>
      <w:rPr>
        <w:color w:val="6B7280"/>
        <w:sz w:val="16"/>
      </w:rPr>
      <w:t xml:space="preserve">  ·  Confidencial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0E7490"/>
        <w:sz w:val="16"/>
      </w:rPr>
      <w:t>● TALLER DE ANÁLISIS DE DATOS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Rule="auto" w:line="276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E749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Calibri" w:hAnsi="Calibri"/>
      <w:b/>
      <w:bCs/>
      <w:i/>
      <w:color w:val="6B728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