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B4531C"/>
          <w:spacing w:val="44"/>
          <w:sz w:val="17"/>
          <w:szCs w:val="17"/>
        </w:rPr>
        <w:t xml:space="preserve">UNIVERSIDAD EJEMPLO</w:t>
      </w:r>
    </w:p>
    <w:p>
      <w:pPr>
        <w:pBdr>
          <w:bottom w:val="single" w:color="C2D4DB" w:sz="8" w:space="8"/>
        </w:pBdr>
        <w:spacing w:after="700"/>
      </w:pPr>
      <w:r>
        <w:rPr>
          <w:rFonts w:ascii="Calibri" w:cs="Calibri" w:eastAsia="Calibri" w:hAnsi="Calibri"/>
          <w:color w:val="5C6B73"/>
          <w:sz w:val="19"/>
          <w:szCs w:val="19"/>
        </w:rPr>
        <w:t xml:space="preserve">Informe técnico  ·  Taller de Análisis de Datos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2333F"/>
          <w:sz w:val="72"/>
          <w:szCs w:val="72"/>
        </w:rPr>
        <w:t xml:space="preserve">COHORTE 2026</w:t>
      </w:r>
    </w:p>
    <w:p>
      <w:pPr>
        <w:spacing w:after="200" w:line="360"/>
      </w:pPr>
      <w:r>
        <w:rPr>
          <w:rFonts w:ascii="Cambria" w:cs="Cambria" w:eastAsia="Cambria" w:hAnsi="Cambria"/>
          <w:color w:val="0E4257"/>
          <w:sz w:val="34"/>
          <w:szCs w:val="34"/>
        </w:rPr>
        <w:t xml:space="preserve">Rendimiento académico, metodología y acciones de acompañamiento</w:t>
      </w:r>
    </w:p>
    <w:p>
      <w:pPr>
        <w:spacing w:after="1200"/>
      </w:pPr>
      <w:r>
        <w:rPr>
          <w:rFonts w:ascii="Calibri" w:cs="Calibri" w:eastAsia="Calibri" w:hAnsi="Calibri"/>
          <w:i/>
          <w:iCs/>
          <w:color w:val="5C6B73"/>
          <w:sz w:val="21"/>
          <w:szCs w:val="21"/>
        </w:rPr>
        <w:t xml:space="preserve">Resultados del ciclo de 12 semanas sobre 1.240 estudiantes matriculados.</w:t>
      </w:r>
    </w:p>
    <w:tbl>
      <w:tblPr>
        <w:tblW w:type="dxa" w:w="9638"/>
        <w:tblBorders>
          <w:top w:val="single" w:color="C2D4DB" w:sz="4"/>
          <w:left w:val="single" w:color="C2D4DB" w:sz="4"/>
          <w:bottom w:val="single" w:color="C2D4DB" w:sz="4"/>
          <w:right w:val="single" w:color="C2D4DB" w:sz="4"/>
          <w:insideH w:val="single" w:color="C2D4DB" w:sz="4"/>
          <w:insideV w:val="single" w:color="C2D4DB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0E42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38"/>
            <w:shd w:fill="0E42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D33"/>
                <w:sz w:val="19"/>
                <w:szCs w:val="19"/>
              </w:rPr>
              <w:t xml:space="preserve">Estudiante</w:t>
            </w:r>
          </w:p>
        </w:tc>
        <w:tc>
          <w:tcPr>
            <w:tcW w:type="dxa" w:w="67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D33"/>
                <w:sz w:val="19"/>
                <w:szCs w:val="19"/>
              </w:rPr>
              <w:t xml:space="preserve">Nombre Apellido</w:t>
            </w:r>
          </w:p>
        </w:tc>
      </w:tr>
      <w:tr>
        <w:tc>
          <w:tcPr>
            <w:tcW w:type="dxa" w:w="2900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D33"/>
                <w:sz w:val="19"/>
                <w:szCs w:val="19"/>
              </w:rPr>
              <w:t xml:space="preserve">Código</w:t>
            </w:r>
          </w:p>
        </w:tc>
        <w:tc>
          <w:tcPr>
            <w:tcW w:type="dxa" w:w="6738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D33"/>
                <w:sz w:val="19"/>
                <w:szCs w:val="19"/>
              </w:rPr>
              <w:t xml:space="preserve">000000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D33"/>
                <w:sz w:val="19"/>
                <w:szCs w:val="19"/>
              </w:rPr>
              <w:t xml:space="preserve">Asignatura</w:t>
            </w:r>
          </w:p>
        </w:tc>
        <w:tc>
          <w:tcPr>
            <w:tcW w:type="dxa" w:w="67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D33"/>
                <w:sz w:val="19"/>
                <w:szCs w:val="19"/>
              </w:rPr>
              <w:t xml:space="preserve">Taller de Análisis de Datos</w:t>
            </w:r>
          </w:p>
        </w:tc>
      </w:tr>
      <w:tr>
        <w:tc>
          <w:tcPr>
            <w:tcW w:type="dxa" w:w="2900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D33"/>
                <w:sz w:val="19"/>
                <w:szCs w:val="19"/>
              </w:rPr>
              <w:t xml:space="preserve">Docente</w:t>
            </w:r>
          </w:p>
        </w:tc>
        <w:tc>
          <w:tcPr>
            <w:tcW w:type="dxa" w:w="6738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D33"/>
                <w:sz w:val="19"/>
                <w:szCs w:val="19"/>
              </w:rPr>
              <w:t xml:space="preserve">[ Nombre del docente ]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D33"/>
                <w:sz w:val="19"/>
                <w:szCs w:val="19"/>
              </w:rPr>
              <w:t xml:space="preserve">Fecha</w:t>
            </w:r>
          </w:p>
        </w:tc>
        <w:tc>
          <w:tcPr>
            <w:tcW w:type="dxa" w:w="67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D33"/>
                <w:sz w:val="19"/>
                <w:szCs w:val="19"/>
              </w:rPr>
              <w:t xml:space="preserve">Cohorte 2026</w:t>
            </w:r>
          </w:p>
        </w:tc>
      </w:tr>
    </w:tbl>
    <w:p>
      <w:pPr>
        <w:spacing w:after="5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2D4DB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E4257"/>
                <w:sz w:val="40"/>
                <w:szCs w:val="40"/>
              </w:rPr>
              <w:t xml:space="preserve">84,2%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B73"/>
                <w:spacing w:val="20"/>
                <w:sz w:val="16"/>
                <w:szCs w:val="16"/>
              </w:rPr>
              <w:t xml:space="preserve">aprobación</w:t>
            </w:r>
          </w:p>
        </w:tc>
        <w:tc>
          <w:tcPr>
            <w:tcW w:type="dxa" w:w="3212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E4257"/>
                <w:sz w:val="40"/>
                <w:szCs w:val="40"/>
              </w:rPr>
              <w:t xml:space="preserve">1.240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B73"/>
                <w:spacing w:val="20"/>
                <w:sz w:val="16"/>
                <w:szCs w:val="16"/>
              </w:rPr>
              <w:t xml:space="preserve">estudiantes</w:t>
            </w:r>
          </w:p>
        </w:tc>
        <w:tc>
          <w:tcPr>
            <w:tcW w:type="dxa" w:w="3214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E4257"/>
                <w:sz w:val="40"/>
                <w:szCs w:val="40"/>
              </w:rPr>
              <w:t xml:space="preserve">12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C6B73"/>
                <w:spacing w:val="20"/>
                <w:sz w:val="16"/>
                <w:szCs w:val="16"/>
              </w:rPr>
              <w:t xml:space="preserve">semanas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620" w:footer="560" w:gutter="0"/>
          <w:pgNumType/>
          <w:docGrid w:linePitch="360"/>
        </w:sectPr>
      </w:pPr>
    </w:p>
    <w:p>
      <w:pPr>
        <w:keepNext/>
        <w:pBdr>
          <w:bottom w:val="single" w:color="B4531C" w:sz="12" w:space="6"/>
        </w:pBdr>
        <w:spacing w:after="60"/>
      </w:pPr>
      <w:r>
        <w:rPr>
          <w:rFonts w:ascii="Cambria" w:cs="Cambria" w:eastAsia="Cambria" w:hAnsi="Cambria"/>
          <w:b/>
          <w:bCs/>
          <w:color w:val="12333F"/>
          <w:sz w:val="30"/>
          <w:szCs w:val="30"/>
        </w:rPr>
        <w:t xml:space="preserve">Contenido</w:t>
      </w:r>
    </w:p>
    <w:p>
      <w:pPr>
        <w:spacing w:after="200" w:before="100"/>
      </w:pPr>
      <w:r>
        <w:rPr>
          <w:rFonts w:ascii="Calibri" w:cs="Calibri" w:eastAsia="Calibri" w:hAnsi="Calibri"/>
          <w:i/>
          <w:iCs/>
          <w:color w:val="5C6B73"/>
          <w:sz w:val="17"/>
          <w:szCs w:val="17"/>
        </w:rPr>
        <w:t xml:space="preserve">Índice automático: al abrir el archivo en Word, haz clic sobre él y pulsa F9 para rellenarlo.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Next/>
        <w:pBdr>
          <w:bottom w:val="single" w:color="B4531C" w:sz="12" w:space="6"/>
        </w:pBdr>
        <w:spacing w:after="200" w:before="400"/>
      </w:pPr>
      <w:r>
        <w:rPr>
          <w:rFonts w:ascii="Cambria" w:cs="Cambria" w:eastAsia="Cambria" w:hAnsi="Cambria"/>
          <w:b/>
          <w:bCs/>
          <w:color w:val="12333F"/>
          <w:sz w:val="30"/>
          <w:szCs w:val="30"/>
        </w:rPr>
        <w:t xml:space="preserve">Índice de figuras</w:t>
      </w:r>
    </w:p>
    <w:tbl>
      <w:tblPr>
        <w:tblW w:type="dxa" w:w="9638"/>
        <w:tblBorders>
          <w:top w:val="single" w:color="C2D4DB" w:sz="4"/>
          <w:left w:val="single" w:color="C2D4DB" w:sz="4"/>
          <w:bottom w:val="single" w:color="C2D4DB" w:sz="4"/>
          <w:right w:val="single" w:color="C2D4DB" w:sz="4"/>
          <w:insideH w:val="single" w:color="C2D4DB" w:sz="4"/>
          <w:insideV w:val="single" w:color="C2D4DB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shd w:fill="0E42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8738"/>
            <w:shd w:fill="0E42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 de la figura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D33"/>
                <w:sz w:val="19"/>
                <w:szCs w:val="19"/>
              </w:rPr>
              <w:t xml:space="preserve">1</w:t>
            </w:r>
          </w:p>
        </w:tc>
        <w:tc>
          <w:tcPr>
            <w:tcW w:type="dxa" w:w="87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D33"/>
                <w:sz w:val="19"/>
                <w:szCs w:val="19"/>
              </w:rPr>
              <w:t xml:space="preserve">Flujo de datos del taller</w:t>
            </w:r>
          </w:p>
        </w:tc>
      </w:tr>
      <w:tr>
        <w:tc>
          <w:tcPr>
            <w:tcW w:type="dxa" w:w="900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D33"/>
                <w:sz w:val="19"/>
                <w:szCs w:val="19"/>
              </w:rPr>
              <w:t xml:space="preserve">2</w:t>
            </w:r>
          </w:p>
        </w:tc>
        <w:tc>
          <w:tcPr>
            <w:tcW w:type="dxa" w:w="8738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F2D33"/>
                <w:sz w:val="19"/>
                <w:szCs w:val="19"/>
              </w:rPr>
              <w:t xml:space="preserve">Indicadores por asignatura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B4531C" w:sz="12" w:space="6"/>
        </w:pBdr>
        <w:spacing w:after="40" w:before="420"/>
      </w:pPr>
      <w:r>
        <w:rPr>
          <w:rFonts w:ascii="Cambria" w:cs="Cambria" w:eastAsia="Cambria" w:hAnsi="Cambria"/>
          <w:b/>
          <w:bCs/>
          <w:color w:val="12333F"/>
          <w:sz w:val="30"/>
          <w:szCs w:val="30"/>
        </w:rPr>
        <w:t xml:space="preserve">1. Introducción y objetivos</w:t>
      </w:r>
    </w:p>
    <w:p>
      <w:pPr>
        <w:spacing w:after="160" w:before="0" w:line="288"/>
        <w:jc w:val="both"/>
      </w:pPr>
      <w:r>
        <w:rPr>
          <w:rFonts w:ascii="Calibri" w:cs="Calibri" w:eastAsia="Calibri" w:hAnsi="Calibri"/>
          <w:color w:val="1F2D33"/>
          <w:sz w:val="21"/>
          <w:szCs w:val="21"/>
        </w:rPr>
        <w:t xml:space="preserve">Este informe resume el </w:t>
      </w:r>
      <w:r>
        <w:rPr>
          <w:rFonts w:ascii="Calibri" w:cs="Calibri" w:eastAsia="Calibri" w:hAnsi="Calibri"/>
          <w:b/>
          <w:bCs/>
          <w:color w:val="1F2D33"/>
          <w:sz w:val="21"/>
          <w:szCs w:val="21"/>
        </w:rPr>
        <w:t xml:space="preserve">rendimiento de la cohorte 2026</w:t>
      </w:r>
      <w:r>
        <w:rPr>
          <w:rFonts w:ascii="Calibri" w:cs="Calibri" w:eastAsia="Calibri" w:hAnsi="Calibri"/>
          <w:color w:val="1F2D33"/>
          <w:sz w:val="21"/>
          <w:szCs w:val="21"/>
        </w:rPr>
        <w:t xml:space="preserve"> del Taller de Análisis de Datos, con </w:t>
      </w:r>
      <w:r>
        <w:rPr>
          <w:rFonts w:ascii="Calibri" w:cs="Calibri" w:eastAsia="Calibri" w:hAnsi="Calibri"/>
          <w:i/>
          <w:iCs/>
          <w:color w:val="1F2D33"/>
          <w:sz w:val="21"/>
          <w:szCs w:val="21"/>
        </w:rPr>
        <w:t xml:space="preserve">metodología</w:t>
      </w:r>
      <w:r>
        <w:rPr>
          <w:rFonts w:ascii="Calibri" w:cs="Calibri" w:eastAsia="Calibri" w:hAnsi="Calibri"/>
          <w:color w:val="1F2D33"/>
          <w:sz w:val="21"/>
          <w:szCs w:val="21"/>
        </w:rPr>
        <w:t xml:space="preserve">, resultados y acciones sugeridas.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aps/>
          <w:color w:val="B4531C"/>
          <w:spacing w:val="30"/>
          <w:sz w:val="15"/>
          <w:szCs w:val="15"/>
        </w:rPr>
        <w:t xml:space="preserve">Objetivos</w:t>
      </w:r>
    </w:p>
    <w:p>
      <w:pPr>
        <w:pStyle w:val="ListParagraph"/>
        <w:numPr>
          <w:ilvl w:val="0"/>
          <w:numId w:val="2"/>
        </w:numPr>
        <w:spacing w:after="100" w:before="0" w:line="276"/>
        <w:jc w:val="both"/>
      </w:pPr>
      <w:r>
        <w:rPr>
          <w:rFonts w:ascii="Calibri" w:cs="Calibri" w:eastAsia="Calibri" w:hAnsi="Calibri"/>
          <w:color w:val="1F2D33"/>
          <w:sz w:val="21"/>
          <w:szCs w:val="21"/>
        </w:rPr>
        <w:t xml:space="preserve">Medir la aprobación contra la meta del 80%.</w:t>
      </w:r>
    </w:p>
    <w:p>
      <w:pPr>
        <w:pStyle w:val="ListParagraph"/>
        <w:numPr>
          <w:ilvl w:val="0"/>
          <w:numId w:val="2"/>
        </w:numPr>
        <w:spacing w:after="100" w:before="0" w:line="276"/>
        <w:jc w:val="both"/>
      </w:pPr>
      <w:r>
        <w:rPr>
          <w:rFonts w:ascii="Calibri" w:cs="Calibri" w:eastAsia="Calibri" w:hAnsi="Calibri"/>
          <w:color w:val="1F2D33"/>
          <w:sz w:val="21"/>
          <w:szCs w:val="21"/>
        </w:rPr>
        <w:t xml:space="preserve">Caracterizar la satisfacción (encuesta, n=980).</w:t>
      </w:r>
    </w:p>
    <w:p>
      <w:pPr>
        <w:pStyle w:val="ListParagraph"/>
        <w:numPr>
          <w:ilvl w:val="0"/>
          <w:numId w:val="2"/>
        </w:numPr>
        <w:spacing w:after="100" w:before="0" w:line="276"/>
        <w:jc w:val="both"/>
      </w:pPr>
      <w:r>
        <w:rPr>
          <w:rFonts w:ascii="Calibri" w:cs="Calibri" w:eastAsia="Calibri" w:hAnsi="Calibri"/>
          <w:color w:val="1F2D33"/>
          <w:sz w:val="21"/>
          <w:szCs w:val="21"/>
        </w:rPr>
        <w:t xml:space="preserve">Identificar asignaturas críticas y proponer tutorías.</w:t>
      </w:r>
    </w:p>
    <w:p>
      <w:pPr>
        <w:pStyle w:val="Heading1"/>
        <w:keepNext/>
        <w:pBdr>
          <w:bottom w:val="single" w:color="B4531C" w:sz="12" w:space="6"/>
        </w:pBdr>
        <w:spacing w:after="40" w:before="420"/>
      </w:pPr>
      <w:r>
        <w:rPr>
          <w:rFonts w:ascii="Cambria" w:cs="Cambria" w:eastAsia="Cambria" w:hAnsi="Cambria"/>
          <w:b/>
          <w:bCs/>
          <w:color w:val="12333F"/>
          <w:sz w:val="30"/>
          <w:szCs w:val="30"/>
        </w:rPr>
        <w:t xml:space="preserve">2. Metodología</w:t>
      </w:r>
    </w:p>
    <w:p>
      <w:pPr>
        <w:pStyle w:val="Heading2"/>
        <w:keepNext/>
        <w:spacing w:after="100" w:before="300"/>
      </w:pPr>
      <w:r>
        <w:rPr>
          <w:rFonts w:ascii="Cambria" w:cs="Cambria" w:eastAsia="Cambria" w:hAnsi="Cambria"/>
          <w:b/>
          <w:bCs/>
          <w:color w:val="0E4257"/>
          <w:sz w:val="24"/>
          <w:szCs w:val="24"/>
        </w:rPr>
        <w:t xml:space="preserve">2.1 Parámetros del estudio</w:t>
      </w:r>
    </w:p>
    <w:tbl>
      <w:tblPr>
        <w:tblW w:type="dxa" w:w="9638"/>
        <w:tblBorders>
          <w:top w:val="single" w:color="C2D4DB" w:sz="4"/>
          <w:left w:val="single" w:color="C2D4DB" w:sz="4"/>
          <w:bottom w:val="single" w:color="C2D4DB" w:sz="4"/>
          <w:right w:val="single" w:color="C2D4DB" w:sz="4"/>
          <w:insideH w:val="single" w:color="C2D4DB" w:sz="4"/>
          <w:insideV w:val="single" w:color="C2D4DB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shd w:fill="0E42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1600"/>
            <w:shd w:fill="0E42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5438"/>
            <w:shd w:fill="0E42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D33"/>
                <w:sz w:val="19"/>
                <w:szCs w:val="19"/>
              </w:rPr>
              <w:t xml:space="preserve">Tamaño de muestra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D33"/>
                <w:sz w:val="19"/>
                <w:szCs w:val="19"/>
              </w:rPr>
              <w:t xml:space="preserve">1.240</w:t>
            </w:r>
          </w:p>
        </w:tc>
        <w:tc>
          <w:tcPr>
            <w:tcW w:type="dxa" w:w="54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D33"/>
                <w:sz w:val="19"/>
                <w:szCs w:val="19"/>
              </w:rPr>
              <w:t xml:space="preserve">Corte censal de toda la cohorte</w:t>
            </w:r>
          </w:p>
        </w:tc>
      </w:tr>
      <w:tr>
        <w:tc>
          <w:tcPr>
            <w:tcW w:type="dxa" w:w="2600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D33"/>
                <w:sz w:val="19"/>
                <w:szCs w:val="19"/>
              </w:rPr>
              <w:t xml:space="preserve">Duración</w:t>
            </w:r>
          </w:p>
        </w:tc>
        <w:tc>
          <w:tcPr>
            <w:tcW w:type="dxa" w:w="1600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D33"/>
                <w:sz w:val="19"/>
                <w:szCs w:val="19"/>
              </w:rPr>
              <w:t xml:space="preserve">12 semanas</w:t>
            </w:r>
          </w:p>
        </w:tc>
        <w:tc>
          <w:tcPr>
            <w:tcW w:type="dxa" w:w="5438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D33"/>
                <w:sz w:val="19"/>
                <w:szCs w:val="19"/>
              </w:rPr>
              <w:t xml:space="preserve">Cubre un ciclo académico completo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D33"/>
                <w:sz w:val="19"/>
                <w:szCs w:val="19"/>
              </w:rPr>
              <w:t xml:space="preserve">Instrumento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D33"/>
                <w:sz w:val="19"/>
                <w:szCs w:val="19"/>
              </w:rPr>
              <w:t xml:space="preserve">Actas + encuesta</w:t>
            </w:r>
          </w:p>
        </w:tc>
        <w:tc>
          <w:tcPr>
            <w:tcW w:type="dxa" w:w="54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D33"/>
                <w:sz w:val="19"/>
                <w:szCs w:val="19"/>
              </w:rPr>
              <w:t xml:space="preserve">Nota final y percepción del estudiante</w:t>
            </w:r>
          </w:p>
        </w:tc>
      </w:tr>
    </w:tbl>
    <w:p>
      <w:pPr>
        <w:spacing w:after="220"/>
      </w:pPr>
    </w:p>
    <w:p>
      <w:pPr>
        <w:pStyle w:val="Heading3"/>
        <w:keepNext/>
        <w:spacing w:after="80" w:before="240"/>
      </w:pPr>
      <w:r>
        <w:rPr>
          <w:rFonts w:ascii="Cambria" w:cs="Cambria" w:eastAsia="Cambria" w:hAnsi="Cambria"/>
          <w:b/>
          <w:bCs/>
          <w:i/>
          <w:iCs/>
          <w:color w:val="0E4257"/>
          <w:sz w:val="21"/>
          <w:szCs w:val="21"/>
        </w:rPr>
        <w:t xml:space="preserve">2.1.1 Criterio de selección</w:t>
      </w:r>
    </w:p>
    <w:p>
      <w:pPr>
        <w:spacing w:after="160" w:before="0" w:line="288"/>
        <w:jc w:val="both"/>
      </w:pPr>
      <w:r>
        <w:rPr>
          <w:rFonts w:ascii="Calibri" w:cs="Calibri" w:eastAsia="Calibri" w:hAnsi="Calibri"/>
          <w:color w:val="1F2D33"/>
          <w:sz w:val="21"/>
          <w:szCs w:val="21"/>
        </w:rPr>
        <w:t xml:space="preserve">Se incluyó a todo estudiante con </w:t>
      </w:r>
      <w:r>
        <w:rPr>
          <w:rFonts w:ascii="Calibri" w:cs="Calibri" w:eastAsia="Calibri" w:hAnsi="Calibri"/>
          <w:b/>
          <w:bCs/>
          <w:color w:val="1F2D33"/>
          <w:sz w:val="21"/>
          <w:szCs w:val="21"/>
        </w:rPr>
        <w:t xml:space="preserve">nota final registrada</w:t>
      </w:r>
      <w:r>
        <w:rPr>
          <w:rFonts w:ascii="Calibri" w:cs="Calibri" w:eastAsia="Calibri" w:hAnsi="Calibri"/>
          <w:color w:val="1F2D33"/>
          <w:sz w:val="21"/>
          <w:szCs w:val="21"/>
        </w:rPr>
        <w:t xml:space="preserve">; se excluyeron los retiros voluntarios del periodo.</w:t>
      </w:r>
    </w:p>
    <w:tbl>
      <w:tblPr>
        <w:tblW w:type="dxa" w:w="9638"/>
        <w:tblBorders>
          <w:top w:val="none" w:color="FFFFFF" w:sz="0"/>
          <w:left w:val="single" w:color="C47F15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E0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47F15"/>
                <w:sz w:val="19"/>
                <w:szCs w:val="19"/>
              </w:rPr>
              <w:t xml:space="preserve">⚠  Supuesto</w:t>
            </w:r>
          </w:p>
          <w:p>
            <w:pPr>
              <w:spacing w:after="0" w:before="0" w:line="264"/>
              <w:jc w:val="both"/>
            </w:pPr>
            <w:r>
              <w:rPr>
                <w:rFonts w:ascii="Calibri" w:cs="Calibri" w:eastAsia="Calibri" w:hAnsi="Calibri"/>
                <w:color w:val="1F2D33"/>
                <w:sz w:val="19"/>
                <w:szCs w:val="19"/>
              </w:rPr>
              <w:t xml:space="preserve">La encuesta de satisfacción tuvo una tasa de respuesta del 79%; puede subestimar a los estudiantes menos activos.</w:t>
            </w:r>
          </w:p>
        </w:tc>
      </w:tr>
    </w:tbl>
    <w:p>
      <w:pPr>
        <w:spacing w:after="220"/>
      </w:pPr>
    </w:p>
    <w:p>
      <w:pPr>
        <w:pStyle w:val="Heading2"/>
        <w:keepNext/>
        <w:spacing w:after="100" w:before="300"/>
      </w:pPr>
      <w:r>
        <w:rPr>
          <w:rFonts w:ascii="Cambria" w:cs="Cambria" w:eastAsia="Cambria" w:hAnsi="Cambria"/>
          <w:b/>
          <w:bCs/>
          <w:color w:val="0E4257"/>
          <w:sz w:val="24"/>
          <w:szCs w:val="24"/>
        </w:rPr>
        <w:t xml:space="preserve">2.2 Procesamiento de datos</w:t>
      </w:r>
    </w:p>
    <w:tbl>
      <w:tblPr>
        <w:tblW w:type="dxa" w:w="9638"/>
        <w:tblBorders>
          <w:top w:val="single" w:color="C2D4DB" w:sz="4"/>
          <w:left w:val="single" w:color="0E4257" w:sz="18"/>
          <w:bottom w:val="single" w:color="C2D4DB" w:sz="4"/>
          <w:right w:val="single" w:color="C2D4DB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5F7F8" w:color="auto" w:val="clear"/>
            <w:tcMar>
              <w:top w:type="dxa" w:w="120"/>
              <w:left w:type="dxa" w:w="0"/>
              <w:bottom w:type="dxa" w:w="140"/>
              <w:right w:type="dxa" w:w="0"/>
            </w:tcMar>
          </w:tcPr>
          <w:p>
            <w:pPr>
              <w:keepNext/>
              <w:shd w:fill="E4EBEE" w:color="auto" w:val="clear"/>
              <w:spacing w:after="120" w:before="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aps/>
                <w:color w:val="0E4257"/>
                <w:spacing w:val="30"/>
                <w:sz w:val="15"/>
                <w:szCs w:val="15"/>
              </w:rPr>
              <w:t xml:space="preserve">  Cálculo de la tasa de aprobación</w:t>
            </w:r>
          </w:p>
          <w:p>
            <w:pPr>
              <w:spacing w:after="0" w:before="0" w:line="230"/>
              <w:ind w:left="180" w:right="120"/>
            </w:pPr>
            <w:r>
              <w:rPr>
                <w:rFonts w:ascii="Consolas" w:cs="Consolas" w:eastAsia="Consolas" w:hAnsi="Consolas"/>
                <w:color w:val="D73A49"/>
                <w:sz w:val="16"/>
                <w:szCs w:val="16"/>
              </w:rPr>
              <w:t xml:space="preserve">const</w:t>
            </w:r>
            <w:r>
              <w:rPr>
                <w:rFonts w:ascii="Consolas" w:cs="Consolas" w:eastAsia="Consolas" w:hAnsi="Consolas"/>
                <w:color w:val="12333F"/>
                <w:sz w:val="16"/>
                <w:szCs w:val="16"/>
              </w:rPr>
              <w:t xml:space="preserve"> notas = cohorte.filter(e =&gt; e.nota != </w:t>
            </w:r>
            <w:r>
              <w:rPr>
                <w:rFonts w:ascii="Consolas" w:cs="Consolas" w:eastAsia="Consolas" w:hAnsi="Consolas"/>
                <w:color w:val="005CC5"/>
                <w:sz w:val="16"/>
                <w:szCs w:val="16"/>
              </w:rPr>
              <w:t xml:space="preserve">null</w:t>
            </w:r>
            <w:r>
              <w:rPr>
                <w:rFonts w:ascii="Consolas" w:cs="Consolas" w:eastAsia="Consolas" w:hAnsi="Consolas"/>
                <w:color w:val="12333F"/>
                <w:sz w:val="16"/>
                <w:szCs w:val="16"/>
              </w:rPr>
              <w:t xml:space="preserve">);</w:t>
            </w:r>
          </w:p>
          <w:p>
            <w:pPr>
              <w:spacing w:after="0" w:before="0" w:line="230"/>
              <w:ind w:left="180" w:right="120"/>
            </w:pPr>
            <w:r>
              <w:rPr>
                <w:rFonts w:ascii="Consolas" w:cs="Consolas" w:eastAsia="Consolas" w:hAnsi="Consolas"/>
                <w:color w:val="D73A49"/>
                <w:sz w:val="16"/>
                <w:szCs w:val="16"/>
              </w:rPr>
              <w:t xml:space="preserve">const</w:t>
            </w:r>
            <w:r>
              <w:rPr>
                <w:rFonts w:ascii="Consolas" w:cs="Consolas" w:eastAsia="Consolas" w:hAnsi="Consolas"/>
                <w:color w:val="12333F"/>
                <w:sz w:val="16"/>
                <w:szCs w:val="16"/>
              </w:rPr>
              <w:t xml:space="preserve"> aprobados = notas.filter(e =&gt; e.nota &gt;= </w:t>
            </w:r>
            <w:r>
              <w:rPr>
                <w:rFonts w:ascii="Consolas" w:cs="Consolas" w:eastAsia="Consolas" w:hAnsi="Consolas"/>
                <w:color w:val="005CC5"/>
                <w:sz w:val="16"/>
                <w:szCs w:val="16"/>
              </w:rPr>
              <w:t xml:space="preserve">3.0</w:t>
            </w:r>
            <w:r>
              <w:rPr>
                <w:rFonts w:ascii="Consolas" w:cs="Consolas" w:eastAsia="Consolas" w:hAnsi="Consolas"/>
                <w:color w:val="12333F"/>
                <w:sz w:val="16"/>
                <w:szCs w:val="16"/>
              </w:rPr>
              <w:t xml:space="preserve">);</w:t>
            </w:r>
          </w:p>
          <w:p>
            <w:pPr>
              <w:spacing w:after="0" w:before="0" w:line="230"/>
              <w:ind w:left="180" w:right="120"/>
            </w:pPr>
            <w:r>
              <w:rPr>
                <w:rFonts w:ascii="Consolas" w:cs="Consolas" w:eastAsia="Consolas" w:hAnsi="Consolas"/>
                <w:color w:val="D73A49"/>
                <w:sz w:val="16"/>
                <w:szCs w:val="16"/>
              </w:rPr>
              <w:t xml:space="preserve">const</w:t>
            </w:r>
            <w:r>
              <w:rPr>
                <w:rFonts w:ascii="Consolas" w:cs="Consolas" w:eastAsia="Consolas" w:hAnsi="Consolas"/>
                <w:color w:val="12333F"/>
                <w:sz w:val="16"/>
                <w:szCs w:val="16"/>
              </w:rPr>
              <w:t xml:space="preserve"> tasa = aprobados.length / notas.length;</w:t>
            </w:r>
          </w:p>
          <w:p>
            <w:pPr>
              <w:spacing w:after="0" w:before="0" w:line="230"/>
              <w:ind w:left="180" w:right="120"/>
            </w:pPr>
            <w:r>
              <w:rPr>
                <w:rFonts w:ascii="Consolas" w:cs="Consolas" w:eastAsia="Consolas" w:hAnsi="Consolas"/>
                <w:color w:val="12333F"/>
                <w:sz w:val="16"/>
                <w:szCs w:val="16"/>
              </w:rPr>
              <w:t xml:space="preserve">console.log(</w:t>
            </w:r>
            <w:r>
              <w:rPr>
                <w:rFonts w:ascii="Consolas" w:cs="Consolas" w:eastAsia="Consolas" w:hAnsi="Consolas"/>
                <w:color w:val="032F62"/>
                <w:sz w:val="16"/>
                <w:szCs w:val="16"/>
              </w:rPr>
              <w:t xml:space="preserve">`Aprobación: ${(tasa * 100).toFixed(1)}%`</w:t>
            </w:r>
            <w:r>
              <w:rPr>
                <w:rFonts w:ascii="Consolas" w:cs="Consolas" w:eastAsia="Consolas" w:hAnsi="Consolas"/>
                <w:color w:val="12333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220"/>
      </w:pPr>
    </w:p>
    <w:p>
      <w:pPr>
        <w:spacing w:after="160" w:before="0" w:line="288"/>
        <w:jc w:val="both"/>
      </w:pPr>
      <w:r>
        <w:rPr>
          <w:rFonts w:ascii="Calibri" w:cs="Calibri" w:eastAsia="Calibri" w:hAnsi="Calibri"/>
          <w:color w:val="1F2D33"/>
          <w:sz w:val="21"/>
          <w:szCs w:val="21"/>
        </w:rPr>
        <w:t xml:space="preserve">La figura siguiente resume el flujo de datos del taller.</w:t>
      </w:r>
    </w:p>
    <w:tbl>
      <w:tblPr>
        <w:tblW w:type="dxa" w:w="9638"/>
        <w:tblBorders>
          <w:top w:val="single" w:color="C2D4DB" w:sz="4"/>
          <w:left w:val="single" w:color="C2D4DB" w:sz="4"/>
          <w:bottom w:val="single" w:color="C2D4DB" w:sz="4"/>
          <w:right w:val="single" w:color="C2D4DB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/>
              <w:shd w:fill="0E4257" w:color="auto" w:val="clear"/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6"/>
                <w:sz w:val="15"/>
                <w:szCs w:val="15"/>
              </w:rPr>
              <w:t xml:space="preserve">   EVIDENCIA · FLUJO DE DATOS DEL TALLER</w:t>
            </w:r>
          </w:p>
          <w:p>
            <w:pPr>
              <w:spacing w:after="0" w:before="0" w:line="260"/>
              <w:jc w:val="center"/>
            </w:pPr>
          </w:p>
          <w:p>
            <w:pPr>
              <w:spacing w:after="0" w:before="0" w:line="260"/>
              <w:jc w:val="center"/>
            </w:pPr>
          </w:p>
          <w:p>
            <w:pPr>
              <w:spacing w:after="0" w:before="0" w:line="260"/>
              <w:jc w:val="center"/>
            </w:pPr>
          </w:p>
          <w:p>
            <w:pPr>
              <w:spacing w:after="0" w:before="0" w:line="260"/>
              <w:jc w:val="center"/>
            </w:pPr>
          </w:p>
          <w:p>
            <w:pPr>
              <w:spacing w:after="0" w:before="0" w:line="260"/>
              <w:jc w:val="center"/>
            </w:pP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AB2"/>
                <w:sz w:val="18"/>
                <w:szCs w:val="18"/>
              </w:rPr>
              <w:t xml:space="preserve">[ Reemplaza este marco por la captura de pantalla ]</w:t>
            </w:r>
          </w:p>
          <w:p>
            <w:pPr>
              <w:spacing w:after="0" w:before="0" w:line="260"/>
              <w:jc w:val="center"/>
            </w:pPr>
          </w:p>
          <w:p>
            <w:pPr>
              <w:spacing w:after="0" w:before="0" w:line="260"/>
              <w:jc w:val="center"/>
            </w:pPr>
          </w:p>
          <w:p>
            <w:pPr>
              <w:spacing w:after="0" w:before="0" w:line="260"/>
              <w:jc w:val="center"/>
            </w:pPr>
          </w:p>
          <w:p>
            <w:pPr>
              <w:spacing w:after="0" w:before="0" w:line="260"/>
              <w:jc w:val="center"/>
            </w:pPr>
          </w:p>
        </w:tc>
      </w:tr>
    </w:tbl>
    <w:p>
      <w:pPr>
        <w:pStyle w:val="Caption"/>
        <w:spacing w:after="300" w:before="100"/>
        <w:jc w:val="center"/>
      </w:pPr>
      <w:r>
        <w:rPr>
          <w:rFonts w:ascii="Calibri" w:cs="Calibri" w:eastAsia="Calibri" w:hAnsi="Calibri"/>
          <w:b/>
          <w:bCs/>
          <w:i/>
          <w:iCs/>
          <w:color w:val="5C6B73"/>
          <w:sz w:val="17"/>
          <w:szCs w:val="17"/>
        </w:rPr>
        <w:t xml:space="preserve">Figura 1. </w:t>
      </w:r>
      <w:r>
        <w:rPr>
          <w:rFonts w:ascii="Calibri" w:cs="Calibri" w:eastAsia="Calibri" w:hAnsi="Calibri"/>
          <w:i/>
          <w:iCs/>
          <w:color w:val="5C6B73"/>
          <w:sz w:val="17"/>
          <w:szCs w:val="17"/>
        </w:rPr>
        <w:t xml:space="preserve">Flujo de datos del taller</w:t>
      </w:r>
    </w:p>
    <w:p>
      <w:pPr>
        <w:pStyle w:val="Heading1"/>
        <w:keepNext/>
        <w:pBdr>
          <w:bottom w:val="single" w:color="B4531C" w:sz="12" w:space="6"/>
        </w:pBdr>
        <w:spacing w:after="40" w:before="420"/>
      </w:pPr>
      <w:r>
        <w:rPr>
          <w:rFonts w:ascii="Cambria" w:cs="Cambria" w:eastAsia="Cambria" w:hAnsi="Cambria"/>
          <w:b/>
          <w:bCs/>
          <w:color w:val="12333F"/>
          <w:sz w:val="30"/>
          <w:szCs w:val="30"/>
        </w:rPr>
        <w:t xml:space="preserve">3. Resultados</w:t>
      </w:r>
    </w:p>
    <w:tbl>
      <w:tblPr>
        <w:tblW w:type="dxa" w:w="9638"/>
        <w:tblBorders>
          <w:top w:val="single" w:color="C2D4DB" w:sz="4"/>
          <w:left w:val="single" w:color="C2D4DB" w:sz="4"/>
          <w:bottom w:val="single" w:color="C2D4DB" w:sz="4"/>
          <w:right w:val="single" w:color="C2D4DB" w:sz="4"/>
          <w:insideH w:val="single" w:color="C2D4DB" w:sz="4"/>
          <w:insideV w:val="single" w:color="C2D4DB" w:sz="4"/>
        </w:tblBorders>
      </w:tblPr>
      <w:tblGrid>
        <w:gridCol w:w="3000"/>
        <w:gridCol w:w="2000"/>
        <w:gridCol w:w="1800"/>
        <w:gridCol w:w="2838"/>
      </w:tblGrid>
      <w:tr>
        <w:trPr>
          <w:tblHeader/>
        </w:trPr>
        <w:tc>
          <w:tcPr>
            <w:tcW w:type="dxa" w:w="3000"/>
            <w:shd w:fill="0E42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000"/>
            <w:shd w:fill="0E42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800"/>
            <w:shd w:fill="0E42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838"/>
            <w:shd w:fill="0E42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D33"/>
                <w:sz w:val="19"/>
                <w:szCs w:val="19"/>
              </w:rPr>
              <w:t xml:space="preserve">Aprobación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D33"/>
                <w:sz w:val="19"/>
                <w:szCs w:val="19"/>
              </w:rPr>
              <w:t xml:space="preserve">84,2%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D33"/>
                <w:sz w:val="19"/>
                <w:szCs w:val="19"/>
              </w:rPr>
              <w:t xml:space="preserve">80%</w:t>
            </w:r>
          </w:p>
        </w:tc>
        <w:tc>
          <w:tcPr>
            <w:tcW w:type="dxa" w:w="28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D33"/>
                <w:sz w:val="19"/>
                <w:szCs w:val="19"/>
              </w:rPr>
              <w:t xml:space="preserve">✓ Cumple</w:t>
            </w:r>
          </w:p>
        </w:tc>
      </w:tr>
      <w:tr>
        <w:tc>
          <w:tcPr>
            <w:tcW w:type="dxa" w:w="3000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D33"/>
                <w:sz w:val="19"/>
                <w:szCs w:val="19"/>
              </w:rPr>
              <w:t xml:space="preserve">Satisfacción</w:t>
            </w:r>
          </w:p>
        </w:tc>
        <w:tc>
          <w:tcPr>
            <w:tcW w:type="dxa" w:w="2000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D33"/>
                <w:sz w:val="19"/>
                <w:szCs w:val="19"/>
              </w:rPr>
              <w:t xml:space="preserve">3,8/5</w:t>
            </w:r>
          </w:p>
        </w:tc>
        <w:tc>
          <w:tcPr>
            <w:tcW w:type="dxa" w:w="1800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D33"/>
                <w:sz w:val="19"/>
                <w:szCs w:val="19"/>
              </w:rPr>
              <w:t xml:space="preserve">3,5/5</w:t>
            </w:r>
          </w:p>
        </w:tc>
        <w:tc>
          <w:tcPr>
            <w:tcW w:type="dxa" w:w="2838"/>
            <w:shd w:fill="EEF4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D33"/>
                <w:sz w:val="19"/>
                <w:szCs w:val="19"/>
              </w:rPr>
              <w:t xml:space="preserve">✓ Cumple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F2D33"/>
                <w:sz w:val="19"/>
                <w:szCs w:val="19"/>
              </w:rPr>
              <w:t xml:space="preserve">Permanencia</w:t>
            </w:r>
          </w:p>
        </w:tc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D33"/>
                <w:sz w:val="19"/>
                <w:szCs w:val="19"/>
              </w:rPr>
              <w:t xml:space="preserve">91,0%</w:t>
            </w:r>
          </w:p>
        </w:tc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D33"/>
                <w:sz w:val="19"/>
                <w:szCs w:val="19"/>
              </w:rPr>
              <w:t xml:space="preserve">90%</w:t>
            </w:r>
          </w:p>
        </w:tc>
        <w:tc>
          <w:tcPr>
            <w:tcW w:type="dxa" w:w="2838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D33"/>
                <w:sz w:val="19"/>
                <w:szCs w:val="19"/>
              </w:rPr>
              <w:t xml:space="preserve">En proceso</w:t>
            </w:r>
          </w:p>
        </w:tc>
      </w:tr>
    </w:tbl>
    <w:p>
      <w:pPr>
        <w:spacing w:after="220"/>
      </w:pPr>
    </w:p>
    <w:p>
      <w:pPr>
        <w:spacing w:after="160" w:before="0" w:line="288"/>
        <w:jc w:val="both"/>
      </w:pPr>
      <w:r>
        <w:rPr>
          <w:rFonts w:ascii="Calibri" w:cs="Calibri" w:eastAsia="Calibri" w:hAnsi="Calibri"/>
          <w:color w:val="1F2D33"/>
          <w:sz w:val="21"/>
          <w:szCs w:val="21"/>
        </w:rPr>
        <w:t xml:space="preserve">Detalle visual de los indicadores por asignatura:</w:t>
      </w:r>
    </w:p>
    <w:tbl>
      <w:tblPr>
        <w:tblW w:type="dxa" w:w="9638"/>
        <w:tblBorders>
          <w:top w:val="single" w:color="C2D4DB" w:sz="4"/>
          <w:left w:val="single" w:color="C2D4DB" w:sz="4"/>
          <w:bottom w:val="single" w:color="C2D4DB" w:sz="4"/>
          <w:right w:val="single" w:color="C2D4DB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keepNext/>
              <w:shd w:fill="0E4257" w:color="auto" w:val="clear"/>
              <w:spacing w:after="0" w:before="0" w:line="3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6"/>
                <w:sz w:val="15"/>
                <w:szCs w:val="15"/>
              </w:rPr>
              <w:t xml:space="preserve">   EVIDENCIA · INDICADORES POR ASIGNATURA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after="300" w:before="100"/>
        <w:jc w:val="center"/>
      </w:pPr>
      <w:r>
        <w:rPr>
          <w:rFonts w:ascii="Calibri" w:cs="Calibri" w:eastAsia="Calibri" w:hAnsi="Calibri"/>
          <w:b/>
          <w:bCs/>
          <w:i/>
          <w:iCs/>
          <w:color w:val="5C6B73"/>
          <w:sz w:val="17"/>
          <w:szCs w:val="17"/>
        </w:rPr>
        <w:t xml:space="preserve">Figura 2. </w:t>
      </w:r>
      <w:r>
        <w:rPr>
          <w:rFonts w:ascii="Calibri" w:cs="Calibri" w:eastAsia="Calibri" w:hAnsi="Calibri"/>
          <w:i/>
          <w:iCs/>
          <w:color w:val="5C6B73"/>
          <w:sz w:val="17"/>
          <w:szCs w:val="17"/>
        </w:rPr>
        <w:t xml:space="preserve">Indicadores por asignatura</w:t>
      </w:r>
    </w:p>
    <w:p>
      <w:pPr>
        <w:pStyle w:val="Heading1"/>
        <w:keepNext/>
        <w:pBdr>
          <w:bottom w:val="single" w:color="B4531C" w:sz="12" w:space="6"/>
        </w:pBdr>
        <w:spacing w:after="40" w:before="420"/>
      </w:pPr>
      <w:r>
        <w:rPr>
          <w:rFonts w:ascii="Cambria" w:cs="Cambria" w:eastAsia="Cambria" w:hAnsi="Cambria"/>
          <w:b/>
          <w:bCs/>
          <w:color w:val="12333F"/>
          <w:sz w:val="30"/>
          <w:szCs w:val="30"/>
        </w:rPr>
        <w:t xml:space="preserve">4. Discusión</w:t>
      </w:r>
    </w:p>
    <w:p>
      <w:pPr>
        <w:spacing w:after="160" w:before="0" w:line="288"/>
        <w:jc w:val="both"/>
      </w:pPr>
      <w:r>
        <w:rPr>
          <w:rFonts w:ascii="Calibri" w:cs="Calibri" w:eastAsia="Calibri" w:hAnsi="Calibri"/>
          <w:color w:val="1F2D33"/>
          <w:sz w:val="21"/>
          <w:szCs w:val="21"/>
        </w:rPr>
        <w:t xml:space="preserve">Los resultados son consistentes con la literatura sobre </w:t>
      </w:r>
      <w:r>
        <w:rPr>
          <w:rFonts w:ascii="Calibri" w:cs="Calibri" w:eastAsia="Calibri" w:hAnsi="Calibri"/>
          <w:b/>
          <w:bCs/>
          <w:color w:val="1F2D33"/>
          <w:sz w:val="21"/>
          <w:szCs w:val="21"/>
        </w:rPr>
        <w:t xml:space="preserve">aprendizaje activo</w:t>
      </w:r>
      <w:r>
        <w:rPr>
          <w:rFonts w:ascii="Calibri" w:cs="Calibri" w:eastAsia="Calibri" w:hAnsi="Calibri"/>
          <w:color w:val="1F2D33"/>
          <w:sz w:val="21"/>
          <w:szCs w:val="21"/>
        </w:rPr>
        <w:t xml:space="preserve">. Comparación disponible en el </w:t>
      </w:r>
      <w:hyperlink w:history="1" r:id="rIdb0cg741apjugkswd4cux4">
        <w:r>
          <w:rPr>
            <w:rFonts w:ascii="Calibri" w:cs="Calibri" w:eastAsia="Calibri" w:hAnsi="Calibri"/>
            <w:color w:val="B4531C"/>
            <w:sz w:val="21"/>
            <w:szCs w:val="21"/>
            <w:u w:val="single"/>
          </w:rPr>
          <w:t xml:space="preserve">sitio del taller</w:t>
        </w:r>
      </w:hyperlink>
      <w:r>
        <w:rPr>
          <w:rFonts w:ascii="Calibri" w:cs="Calibri" w:eastAsia="Calibri" w:hAnsi="Calibri"/>
          <w:color w:val="1F2D33"/>
          <w:sz w:val="21"/>
          <w:szCs w:val="21"/>
        </w:rPr>
        <w:t xml:space="preserve">.</w:t>
      </w:r>
    </w:p>
    <w:p>
      <w:pPr>
        <w:pBdr>
          <w:left w:val="single" w:color="B4531C" w:sz="18" w:space="10"/>
        </w:pBdr>
        <w:spacing w:after="140" w:before="140" w:line="276"/>
        <w:ind w:left="720" w:right="720"/>
      </w:pPr>
      <w:r>
        <w:rPr>
          <w:rFonts w:ascii="Calibri" w:cs="Calibri" w:eastAsia="Calibri" w:hAnsi="Calibri"/>
          <w:i/>
          <w:iCs/>
          <w:color w:val="0E4257"/>
          <w:sz w:val="20"/>
          <w:szCs w:val="20"/>
        </w:rPr>
        <w:t xml:space="preserve">"El acompañamiento temprano es el factor con mayor efecto sobre la permanencia."</w:t>
      </w:r>
      <w:r>
        <w:rPr>
          <w:rFonts w:ascii="Calibri" w:cs="Calibri" w:eastAsia="Calibri" w:hAnsi="Calibri"/>
          <w:color w:val="5C6B73"/>
          <w:sz w:val="18"/>
          <w:szCs w:val="18"/>
        </w:rPr>
        <w:t xml:space="preserve">  — </w:t>
      </w:r>
      <w:r>
        <w:rPr>
          <w:rFonts w:ascii="Calibri" w:cs="Calibri" w:eastAsia="Calibri" w:hAnsi="Calibri"/>
          <w:i/>
          <w:iCs/>
          <w:color w:val="5C6B73"/>
          <w:sz w:val="18"/>
          <w:szCs w:val="18"/>
        </w:rPr>
        <w:t xml:space="preserve">Oficina de Análisis Académico, 2025</w:t>
      </w:r>
    </w:p>
    <w:tbl>
      <w:tblPr>
        <w:tblW w:type="dxa" w:w="9638"/>
        <w:tblBorders>
          <w:top w:val="none" w:color="FFFFFF" w:sz="0"/>
          <w:left w:val="single" w:color="B4531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BF5F0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4531C"/>
                <w:sz w:val="18"/>
                <w:szCs w:val="18"/>
              </w:rPr>
              <w:t xml:space="preserve">Limitación</w:t>
            </w:r>
          </w:p>
          <w:p>
            <w:pPr>
              <w:spacing w:after="0" w:before="0" w:line="264"/>
              <w:jc w:val="both"/>
            </w:pPr>
            <w:r>
              <w:rPr>
                <w:rFonts w:ascii="Calibri" w:cs="Calibri" w:eastAsia="Calibri" w:hAnsi="Calibri"/>
                <w:color w:val="1F2D33"/>
                <w:sz w:val="19"/>
                <w:szCs w:val="19"/>
              </w:rPr>
              <w:t xml:space="preserve">Los datos provienen de un único periodo; se recomienda replicar en 2027 antes de generalizar las conclusiones.</w:t>
            </w:r>
          </w:p>
        </w:tc>
      </w:tr>
    </w:tbl>
    <w:p>
      <w:pPr>
        <w:spacing w:after="220"/>
      </w:pPr>
    </w:p>
    <w:p>
      <w:pPr>
        <w:pStyle w:val="Heading1"/>
        <w:keepNext/>
        <w:pBdr>
          <w:bottom w:val="single" w:color="B4531C" w:sz="12" w:space="6"/>
        </w:pBdr>
        <w:spacing w:after="40" w:before="420"/>
      </w:pPr>
      <w:r>
        <w:rPr>
          <w:rFonts w:ascii="Cambria" w:cs="Cambria" w:eastAsia="Cambria" w:hAnsi="Cambria"/>
          <w:b/>
          <w:bCs/>
          <w:color w:val="12333F"/>
          <w:sz w:val="30"/>
          <w:szCs w:val="30"/>
        </w:rPr>
        <w:t xml:space="preserve">5. Conclusiones</w:t>
      </w:r>
    </w:p>
    <w:p>
      <w:pPr>
        <w:pStyle w:val="ListParagraph"/>
        <w:numPr>
          <w:ilvl w:val="0"/>
          <w:numId w:val="3"/>
        </w:numPr>
        <w:spacing w:after="100" w:before="0" w:line="276"/>
        <w:jc w:val="both"/>
      </w:pPr>
      <w:r>
        <w:rPr>
          <w:rFonts w:ascii="Calibri" w:cs="Calibri" w:eastAsia="Calibri" w:hAnsi="Calibri"/>
          <w:color w:val="1F2D33"/>
          <w:sz w:val="21"/>
          <w:szCs w:val="21"/>
        </w:rPr>
        <w:t xml:space="preserve">La aprobación supera la meta en 4,2 puntos.</w:t>
      </w:r>
    </w:p>
    <w:p>
      <w:pPr>
        <w:pStyle w:val="ListParagraph"/>
        <w:numPr>
          <w:ilvl w:val="0"/>
          <w:numId w:val="3"/>
        </w:numPr>
        <w:spacing w:after="100" w:before="0" w:line="276"/>
        <w:jc w:val="both"/>
      </w:pPr>
      <w:r>
        <w:rPr>
          <w:rFonts w:ascii="Calibri" w:cs="Calibri" w:eastAsia="Calibri" w:hAnsi="Calibri"/>
          <w:color w:val="1F2D33"/>
          <w:sz w:val="21"/>
          <w:szCs w:val="21"/>
        </w:rPr>
        <w:t xml:space="preserve">Reforzar tutorías en las 3 asignaturas críticas.</w:t>
      </w:r>
    </w:p>
    <w:p>
      <w:pPr>
        <w:pStyle w:val="ListParagraph"/>
        <w:numPr>
          <w:ilvl w:val="0"/>
          <w:numId w:val="3"/>
        </w:numPr>
        <w:spacing w:after="100" w:before="0" w:line="276"/>
        <w:jc w:val="both"/>
      </w:pPr>
      <w:r>
        <w:rPr>
          <w:rFonts w:ascii="Calibri" w:cs="Calibri" w:eastAsia="Calibri" w:hAnsi="Calibri"/>
          <w:color w:val="1F2D33"/>
          <w:sz w:val="21"/>
          <w:szCs w:val="21"/>
        </w:rPr>
        <w:t xml:space="preserve">Plan de acompañamiento con responsable y fecha definidos.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C6B73"/>
        <w:sz w:val="15"/>
        <w:szCs w:val="15"/>
      </w:rPr>
      <w:t xml:space="preserve">Universidad Ejemplo · Informe técnico</w:t>
    </w:r>
    <w:r>
      <w:rPr>
        <w:rFonts w:ascii="Calibri" w:cs="Calibri" w:eastAsia="Calibri" w:hAnsi="Calibri"/>
        <w:color w:val="5C6B73"/>
        <w:sz w:val="15"/>
        <w:szCs w:val="15"/>
      </w:rPr>
      <w:t xml:space="preserve">	Página </w:t>
    </w:r>
    <w:r>
      <w:rPr>
        <w:rFonts w:ascii="Calibri" w:cs="Calibri" w:eastAsia="Calibri" w:hAnsi="Calibri"/>
        <w:b/>
        <w:bCs/>
        <w:color w:val="0E425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3"/>
        <w:sz w:val="15"/>
        <w:szCs w:val="15"/>
      </w:rPr>
      <w:t xml:space="preserve"> de </w:t>
    </w:r>
    <w:r>
      <w:rPr>
        <w:rFonts w:ascii="Calibri" w:cs="Calibri" w:eastAsia="Calibri" w:hAnsi="Calibri"/>
        <w:color w:val="5C6B7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1C" w:sz="6" w:space="4"/>
      </w:pBdr>
      <w:tabs>
        <w:tab w:val="right" w:pos="9026"/>
      </w:tabs>
    </w:pPr>
    <w:r>
      <w:rPr>
        <w:rFonts w:ascii="Calibri" w:cs="Calibri" w:eastAsia="Calibri" w:hAnsi="Calibri"/>
        <w:color w:val="5C6B73"/>
        <w:spacing w:val="16"/>
        <w:sz w:val="15"/>
        <w:szCs w:val="15"/>
      </w:rPr>
      <w:t xml:space="preserve">Taller de Análisis de Datos · Cohorte 2026</w:t>
    </w:r>
    <w:r>
      <w:rPr>
        <w:rFonts w:ascii="Calibri" w:cs="Calibri" w:eastAsia="Calibri" w:hAnsi="Calibri"/>
        <w:color w:val="5C6B73"/>
        <w:sz w:val="15"/>
        <w:szCs w:val="15"/>
      </w:rPr>
      <w:t xml:space="preserve">	Nombre Apellido · 000000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B4531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0E425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D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qFormat/>
    <w:rPr>
      <w:rFonts w:ascii="Calibri" w:cs="Calibri" w:eastAsia="Calibri" w:hAnsi="Calibri"/>
      <w:i/>
      <w:iCs/>
      <w:color w:val="5C6B73"/>
      <w:sz w:val="17"/>
      <w:szCs w:val="17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2333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0E4257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i/>
      <w:iCs/>
      <w:color w:val="0E425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0cg741apjugkswd4cux4" Type="http://schemas.openxmlformats.org/officeDocument/2006/relationships/hyperlink" Target="https://example.edu/taller" TargetMode="External"/><Relationship Id="rId9" Type="http://schemas.openxmlformats.org/officeDocument/2006/relationships/image" Target="media/490e9f0db52061ac4ea992923d48fd714a70c3e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Rendimiento académico cohorte 2026</dc:title>
  <dc:creator>Nombre Apellido</dc:creator>
  <cp:lastModifiedBy>Un-named</cp:lastModifiedBy>
  <cp:revision>1</cp:revision>
  <dcterms:created xsi:type="dcterms:W3CDTF">2026-10-01T20:28:49.748Z</dcterms:created>
  <dcterms:modified xsi:type="dcterms:W3CDTF">2026-10-01T20:28:49.749Z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