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/>
          <w:color w:val="000000"/>
          <w:sz w:val="52"/>
        </w:rPr>
        <w:t>Вопросы к согласованию по Geoscan Cloud API</w:t>
      </w:r>
    </w:p>
    <w:p>
      <w:r>
        <w:rPr>
          <w:rFonts w:ascii="Arial" w:hAnsi="Arial"/>
          <w:b w:val="0"/>
          <w:color w:val="475569"/>
          <w:sz w:val="22"/>
        </w:rPr>
        <w:t>Heritage3D / Geoscan Cloud. Рабочий список вопросов для финализации API и встраиваемого редактора.</w:t>
      </w:r>
    </w:p>
    <w:p>
      <w:r>
        <w:rPr>
          <w:rFonts w:ascii="Arial" w:hAnsi="Arial"/>
          <w:b w:val="0"/>
          <w:color w:val="111827"/>
          <w:sz w:val="22"/>
        </w:rPr>
        <w:t>Документ фиксирует вопросы, которые нужно отдельно подтвердить с командой Geoscan. Основной акцент: авторизация через Geoscan ID, лимиты и тарифы, справочники форматов/CRS, связь H3D_ID и TW_ID, встроенный редактор, embed/viewer и синхронизация статусов.</w:t>
      </w:r>
    </w:p>
    <w:p>
      <w:pPr>
        <w:pStyle w:val="Heading1"/>
      </w:pPr>
      <w:r>
        <w:t>Ключевые вопросы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"/>
            <w:shd w:fill="E5E7EB"/>
            <w:vAlign w:val="center"/>
          </w:tcPr>
          <w:p>
            <w:r>
              <w:rPr>
                <w:rFonts w:ascii="Arial" w:hAnsi="Arial"/>
                <w:b/>
                <w:color w:val="111827"/>
                <w:sz w:val="20"/>
              </w:rPr>
              <w:t>Область</w:t>
            </w:r>
          </w:p>
        </w:tc>
        <w:tc>
          <w:tcPr>
            <w:tcW w:type="dxa" w:w="5"/>
            <w:shd w:fill="E5E7EB"/>
            <w:vAlign w:val="center"/>
          </w:tcPr>
          <w:p>
            <w:r>
              <w:rPr>
                <w:rFonts w:ascii="Arial" w:hAnsi="Arial"/>
                <w:b/>
                <w:color w:val="111827"/>
                <w:sz w:val="20"/>
              </w:rPr>
              <w:t>Вопрос</w:t>
            </w:r>
          </w:p>
        </w:tc>
        <w:tc>
          <w:tcPr>
            <w:tcW w:type="dxa" w:w="4"/>
            <w:shd w:fill="E5E7EB"/>
            <w:vAlign w:val="center"/>
          </w:tcPr>
          <w:p>
            <w:r>
              <w:rPr>
                <w:rFonts w:ascii="Arial" w:hAnsi="Arial"/>
                <w:b/>
                <w:color w:val="111827"/>
                <w:sz w:val="20"/>
              </w:rPr>
              <w:t>Почему важно</w:t>
            </w:r>
          </w:p>
        </w:tc>
        <w:tc>
          <w:tcPr>
            <w:tcW w:type="dxa" w:w="3"/>
            <w:shd w:fill="E5E7EB"/>
            <w:vAlign w:val="center"/>
          </w:tcPr>
          <w:p>
            <w:r>
              <w:rPr>
                <w:rFonts w:ascii="Arial" w:hAnsi="Arial"/>
                <w:b/>
                <w:color w:val="111827"/>
                <w:sz w:val="20"/>
              </w:rPr>
              <w:t>Что нужно уточнить</w:t>
            </w:r>
          </w:p>
        </w:tc>
      </w:tr>
      <w:tr>
        <w:tc>
          <w:tcPr>
            <w:tcW w:type="dxa" w:w="2"/>
            <w:vAlign w:val="top"/>
          </w:tcPr>
          <w:p>
            <w:r>
              <w:rPr>
                <w:rFonts w:ascii="Arial" w:hAnsi="Arial"/>
                <w:b w:val="0"/>
                <w:color w:val="111827"/>
                <w:sz w:val="18"/>
              </w:rPr>
              <w:t>Авторизация и Geoscan ID</w:t>
            </w:r>
          </w:p>
        </w:tc>
        <w:tc>
          <w:tcPr>
            <w:tcW w:type="dxa" w:w="5"/>
            <w:vAlign w:val="top"/>
          </w:tcPr>
          <w:p>
            <w:r>
              <w:rPr>
                <w:rFonts w:ascii="Arial" w:hAnsi="Arial"/>
                <w:b w:val="0"/>
                <w:color w:val="111827"/>
                <w:sz w:val="18"/>
              </w:rPr>
              <w:t>Подтвердить схему авторизации через Geoscan ID: OAuth/OIDC, пользовательский access token, service token для backend Heritage3D, editor session token для iframe-редактора и viewer/embed token для просмотра.</w:t>
            </w:r>
          </w:p>
        </w:tc>
        <w:tc>
          <w:tcPr>
            <w:tcW w:type="dxa" w:w="4"/>
            <w:vAlign w:val="top"/>
          </w:tcPr>
          <w:p>
            <w:r>
              <w:rPr>
                <w:rFonts w:ascii="Arial" w:hAnsi="Arial"/>
                <w:b w:val="0"/>
                <w:color w:val="111827"/>
                <w:sz w:val="18"/>
              </w:rPr>
              <w:t>Нужно разделить действия пользователя, системные операции backend, встроенное редактирование и публичный просмотр.</w:t>
            </w:r>
          </w:p>
        </w:tc>
        <w:tc>
          <w:tcPr>
            <w:tcW w:type="dxa" w:w="3"/>
            <w:vAlign w:val="top"/>
          </w:tcPr>
          <w:p>
            <w:r>
              <w:rPr>
                <w:rFonts w:ascii="Arial" w:hAnsi="Arial"/>
                <w:b w:val="0"/>
                <w:color w:val="111827"/>
                <w:sz w:val="18"/>
              </w:rPr>
              <w:t>Зафиксировать типы токенов, TTL, scopes, allowed origins и правила аудита действий.</w:t>
            </w:r>
          </w:p>
        </w:tc>
      </w:tr>
      <w:tr>
        <w:tc>
          <w:tcPr>
            <w:tcW w:type="dxa" w:w="2"/>
            <w:vAlign w:val="top"/>
          </w:tcPr>
          <w:p>
            <w:r>
              <w:rPr>
                <w:rFonts w:ascii="Arial" w:hAnsi="Arial"/>
                <w:b w:val="0"/>
                <w:color w:val="111827"/>
                <w:sz w:val="18"/>
              </w:rPr>
              <w:t>Лимиты и тарифы</w:t>
            </w:r>
          </w:p>
        </w:tc>
        <w:tc>
          <w:tcPr>
            <w:tcW w:type="dxa" w:w="5"/>
            <w:vAlign w:val="top"/>
          </w:tcPr>
          <w:p>
            <w:r>
              <w:rPr>
                <w:rFonts w:ascii="Arial" w:hAnsi="Arial"/>
                <w:b w:val="0"/>
                <w:color w:val="111827"/>
                <w:sz w:val="18"/>
              </w:rPr>
              <w:t>Уточнить, могут ли тариф, хранилище, месячные лимиты и остатки быть привязаны не только к личному Geoscan ID / пользовательскому токену, но и к организации/музею.</w:t>
            </w:r>
          </w:p>
        </w:tc>
        <w:tc>
          <w:tcPr>
            <w:tcW w:type="dxa" w:w="4"/>
            <w:vAlign w:val="top"/>
          </w:tcPr>
          <w:p>
            <w:r>
              <w:rPr>
                <w:rFonts w:ascii="Arial" w:hAnsi="Arial"/>
                <w:b w:val="0"/>
                <w:color w:val="111827"/>
                <w:sz w:val="18"/>
              </w:rPr>
              <w:t>Для корпоративной подписки логичен сценарий, где лимиты принадлежат рабочей группе или музею, а пользователи расходуют общий организационный лимит.</w:t>
            </w:r>
          </w:p>
        </w:tc>
        <w:tc>
          <w:tcPr>
            <w:tcW w:type="dxa" w:w="3"/>
            <w:vAlign w:val="top"/>
          </w:tcPr>
          <w:p>
            <w:r>
              <w:rPr>
                <w:rFonts w:ascii="Arial" w:hAnsi="Arial"/>
                <w:b w:val="0"/>
                <w:color w:val="111827"/>
                <w:sz w:val="18"/>
              </w:rPr>
              <w:t>Нужны поля и API для лимитов на уровне organizationId: тариф, общий объем, использовано, месячные лимиты обработки/загрузок, участники, доступные остатки для пользователя в рамках организации.</w:t>
            </w:r>
          </w:p>
        </w:tc>
      </w:tr>
      <w:tr>
        <w:tc>
          <w:tcPr>
            <w:tcW w:type="dxa" w:w="2"/>
            <w:vAlign w:val="top"/>
          </w:tcPr>
          <w:p>
            <w:r>
              <w:rPr>
                <w:rFonts w:ascii="Arial" w:hAnsi="Arial"/>
                <w:b w:val="0"/>
                <w:color w:val="111827"/>
                <w:sz w:val="18"/>
              </w:rPr>
              <w:t>Справочники форматов</w:t>
            </w:r>
          </w:p>
        </w:tc>
        <w:tc>
          <w:tcPr>
            <w:tcW w:type="dxa" w:w="5"/>
            <w:vAlign w:val="top"/>
          </w:tcPr>
          <w:p>
            <w:r>
              <w:rPr>
                <w:rFonts w:ascii="Arial" w:hAnsi="Arial"/>
                <w:b w:val="0"/>
                <w:color w:val="111827"/>
                <w:sz w:val="18"/>
              </w:rPr>
              <w:t>Подтвердить отдельный справочник поддерживаемых форматов файлов и расширений.</w:t>
            </w:r>
          </w:p>
        </w:tc>
        <w:tc>
          <w:tcPr>
            <w:tcW w:type="dxa" w:w="4"/>
            <w:vAlign w:val="top"/>
          </w:tcPr>
          <w:p>
            <w:r>
              <w:rPr>
                <w:rFonts w:ascii="Arial" w:hAnsi="Arial"/>
                <w:b w:val="0"/>
                <w:color w:val="111827"/>
                <w:sz w:val="18"/>
              </w:rPr>
              <w:t>Geoscan Cloud может добавлять новые форматы: Cesium 3D Tiles, GLB/GLTF, 2D scan, panorama_360, point cloud, raster, vector и другие.</w:t>
            </w:r>
          </w:p>
        </w:tc>
        <w:tc>
          <w:tcPr>
            <w:tcW w:type="dxa" w:w="3"/>
            <w:vAlign w:val="top"/>
          </w:tcPr>
          <w:p>
            <w:r>
              <w:rPr>
                <w:rFonts w:ascii="Arial" w:hAnsi="Arial"/>
                <w:b w:val="0"/>
                <w:color w:val="111827"/>
                <w:sz w:val="18"/>
              </w:rPr>
              <w:t>Нужен endpoint, который портал сможет читать динамически без доработки frontend при появлении новых форматов.</w:t>
            </w:r>
          </w:p>
        </w:tc>
      </w:tr>
      <w:tr>
        <w:tc>
          <w:tcPr>
            <w:tcW w:type="dxa" w:w="2"/>
            <w:vAlign w:val="top"/>
          </w:tcPr>
          <w:p>
            <w:r>
              <w:rPr>
                <w:rFonts w:ascii="Arial" w:hAnsi="Arial"/>
                <w:b w:val="0"/>
                <w:color w:val="111827"/>
                <w:sz w:val="18"/>
              </w:rPr>
              <w:t>CRS / системы координат</w:t>
            </w:r>
          </w:p>
        </w:tc>
        <w:tc>
          <w:tcPr>
            <w:tcW w:type="dxa" w:w="5"/>
            <w:vAlign w:val="top"/>
          </w:tcPr>
          <w:p>
            <w:r>
              <w:rPr>
                <w:rFonts w:ascii="Arial" w:hAnsi="Arial"/>
                <w:b w:val="0"/>
                <w:color w:val="111827"/>
                <w:sz w:val="18"/>
              </w:rPr>
              <w:t>Подтвердить отдельный справочник CRS / систем координат с поиском по EPSG-коду или названию.</w:t>
            </w:r>
          </w:p>
        </w:tc>
        <w:tc>
          <w:tcPr>
            <w:tcW w:type="dxa" w:w="4"/>
            <w:vAlign w:val="top"/>
          </w:tcPr>
          <w:p>
            <w:r>
              <w:rPr>
                <w:rFonts w:ascii="Arial" w:hAnsi="Arial"/>
                <w:b w:val="0"/>
                <w:color w:val="111827"/>
                <w:sz w:val="18"/>
              </w:rPr>
              <w:t>CRS не должен смешиваться со справочником форматов, потому что это отдельный шаг настройки загрузки и отдельный источник ошибок.</w:t>
            </w:r>
          </w:p>
        </w:tc>
        <w:tc>
          <w:tcPr>
            <w:tcW w:type="dxa" w:w="3"/>
            <w:vAlign w:val="top"/>
          </w:tcPr>
          <w:p>
            <w:r>
              <w:rPr>
                <w:rFonts w:ascii="Arial" w:hAnsi="Arial"/>
                <w:b w:val="0"/>
                <w:color w:val="111827"/>
                <w:sz w:val="18"/>
              </w:rPr>
              <w:t>Нужны поддерживаемые CRS, локальные координаты, единицы измерения и подсказки для UI при загрузке.</w:t>
            </w:r>
          </w:p>
        </w:tc>
      </w:tr>
      <w:tr>
        <w:tc>
          <w:tcPr>
            <w:tcW w:type="dxa" w:w="2"/>
            <w:vAlign w:val="top"/>
          </w:tcPr>
          <w:p>
            <w:r>
              <w:rPr>
                <w:rFonts w:ascii="Arial" w:hAnsi="Arial"/>
                <w:b w:val="0"/>
                <w:color w:val="111827"/>
                <w:sz w:val="18"/>
              </w:rPr>
              <w:t>TW_ID и тип представления</w:t>
            </w:r>
          </w:p>
        </w:tc>
        <w:tc>
          <w:tcPr>
            <w:tcW w:type="dxa" w:w="5"/>
            <w:vAlign w:val="top"/>
          </w:tcPr>
          <w:p>
            <w:r>
              <w:rPr>
                <w:rFonts w:ascii="Arial" w:hAnsi="Arial"/>
                <w:b w:val="0"/>
                <w:color w:val="111827"/>
                <w:sz w:val="18"/>
              </w:rPr>
              <w:t>Подтвердить, что TW_ID содержит тип культурного ассета / представления: cesium_tileset, glb_gltf, scan_2d, panorama_360 и т.д.</w:t>
            </w:r>
          </w:p>
        </w:tc>
        <w:tc>
          <w:tcPr>
            <w:tcW w:type="dxa" w:w="4"/>
            <w:vAlign w:val="top"/>
          </w:tcPr>
          <w:p>
            <w:r>
              <w:rPr>
                <w:rFonts w:ascii="Arial" w:hAnsi="Arial"/>
                <w:b w:val="0"/>
                <w:color w:val="111827"/>
                <w:sz w:val="18"/>
              </w:rPr>
              <w:t>На сайте один H3D_ID может иметь несколько TW_ID разных типов: 3D-модель, 2D-скан, панорама, версия модели или другой медиаобъект.</w:t>
            </w:r>
          </w:p>
        </w:tc>
        <w:tc>
          <w:tcPr>
            <w:tcW w:type="dxa" w:w="3"/>
            <w:vAlign w:val="top"/>
          </w:tcPr>
          <w:p>
            <w:r>
              <w:rPr>
                <w:rFonts w:ascii="Arial" w:hAnsi="Arial"/>
                <w:b w:val="0"/>
                <w:color w:val="111827"/>
                <w:sz w:val="18"/>
              </w:rPr>
              <w:t>Нужна стабильная enum-схема representationType и связь TW_ID с geoscanProjectId, datasetId, geoscanObjectId, tilesetId, manifestUrl и previewUrl.</w:t>
            </w:r>
          </w:p>
        </w:tc>
      </w:tr>
      <w:tr>
        <w:tc>
          <w:tcPr>
            <w:tcW w:type="dxa" w:w="2"/>
            <w:vAlign w:val="top"/>
          </w:tcPr>
          <w:p>
            <w:r>
              <w:rPr>
                <w:rFonts w:ascii="Arial" w:hAnsi="Arial"/>
                <w:b w:val="0"/>
                <w:color w:val="111827"/>
                <w:sz w:val="18"/>
              </w:rPr>
              <w:t>Встроенный редактор</w:t>
            </w:r>
          </w:p>
        </w:tc>
        <w:tc>
          <w:tcPr>
            <w:tcW w:type="dxa" w:w="5"/>
            <w:vAlign w:val="top"/>
          </w:tcPr>
          <w:p>
            <w:r>
              <w:rPr>
                <w:rFonts w:ascii="Arial" w:hAnsi="Arial"/>
                <w:b w:val="0"/>
                <w:color w:val="111827"/>
                <w:sz w:val="18"/>
              </w:rPr>
              <w:t>Подтвердить возможность встроить Geoscan Cloud editor в портал Heritage3D через iframe/editor session.</w:t>
            </w:r>
          </w:p>
        </w:tc>
        <w:tc>
          <w:tcPr>
            <w:tcW w:type="dxa" w:w="4"/>
            <w:vAlign w:val="top"/>
          </w:tcPr>
          <w:p>
            <w:r>
              <w:rPr>
                <w:rFonts w:ascii="Arial" w:hAnsi="Arial"/>
                <w:b w:val="0"/>
                <w:color w:val="111827"/>
                <w:sz w:val="18"/>
              </w:rPr>
              <w:t>Через REST API невозможно полноценно повторить интерфейс редактирования модели, POI, туров, слоев, измерений и preview.</w:t>
            </w:r>
          </w:p>
        </w:tc>
        <w:tc>
          <w:tcPr>
            <w:tcW w:type="dxa" w:w="3"/>
            <w:vAlign w:val="top"/>
          </w:tcPr>
          <w:p>
            <w:r>
              <w:rPr>
                <w:rFonts w:ascii="Arial" w:hAnsi="Arial"/>
                <w:b w:val="0"/>
                <w:color w:val="111827"/>
                <w:sz w:val="18"/>
              </w:rPr>
              <w:t>Нужен editorUrl/editorToken, список разрешенных инструментов, кнопка сохранения сцены и событие/endpoint публикации результата.</w:t>
            </w:r>
          </w:p>
        </w:tc>
      </w:tr>
      <w:tr>
        <w:tc>
          <w:tcPr>
            <w:tcW w:type="dxa" w:w="2"/>
            <w:vAlign w:val="top"/>
          </w:tcPr>
          <w:p>
            <w:r>
              <w:rPr>
                <w:rFonts w:ascii="Arial" w:hAnsi="Arial"/>
                <w:b w:val="0"/>
                <w:color w:val="111827"/>
                <w:sz w:val="18"/>
              </w:rPr>
              <w:t>Публичный viewer и embed</w:t>
            </w:r>
          </w:p>
        </w:tc>
        <w:tc>
          <w:tcPr>
            <w:tcW w:type="dxa" w:w="5"/>
            <w:vAlign w:val="top"/>
          </w:tcPr>
          <w:p>
            <w:r>
              <w:rPr>
                <w:rFonts w:ascii="Arial" w:hAnsi="Arial"/>
                <w:b w:val="0"/>
                <w:color w:val="111827"/>
                <w:sz w:val="18"/>
              </w:rPr>
              <w:t>Уточнить, когда публичный viewer может открываться без отдельного viewer token, а когда нужен короткоживущий embed token.</w:t>
            </w:r>
          </w:p>
        </w:tc>
        <w:tc>
          <w:tcPr>
            <w:tcW w:type="dxa" w:w="4"/>
            <w:vAlign w:val="top"/>
          </w:tcPr>
          <w:p>
            <w:r>
              <w:rPr>
                <w:rFonts w:ascii="Arial" w:hAnsi="Arial"/>
                <w:b w:val="0"/>
                <w:color w:val="111827"/>
                <w:sz w:val="18"/>
              </w:rPr>
              <w:t>Для полностью публичных моделей можно упростить просмотр, но для черновиков, закрытых коллекций, модерации и запрета скачивания нужен контролируемый доступ.</w:t>
            </w:r>
          </w:p>
        </w:tc>
        <w:tc>
          <w:tcPr>
            <w:tcW w:type="dxa" w:w="3"/>
            <w:vAlign w:val="top"/>
          </w:tcPr>
          <w:p>
            <w:r>
              <w:rPr>
                <w:rFonts w:ascii="Arial" w:hAnsi="Arial"/>
                <w:b w:val="0"/>
                <w:color w:val="111827"/>
                <w:sz w:val="18"/>
              </w:rPr>
              <w:t>Нужны правила для public embed, restricted embed, manifestUrl, iframeUrl, previewUrl и запрета скачивания исходников.</w:t>
            </w:r>
          </w:p>
        </w:tc>
      </w:tr>
      <w:tr>
        <w:tc>
          <w:tcPr>
            <w:tcW w:type="dxa" w:w="2"/>
            <w:vAlign w:val="top"/>
          </w:tcPr>
          <w:p>
            <w:r>
              <w:rPr>
                <w:rFonts w:ascii="Arial" w:hAnsi="Arial"/>
                <w:b w:val="0"/>
                <w:color w:val="111827"/>
                <w:sz w:val="18"/>
              </w:rPr>
              <w:t>Файлы, слои и пакетные операции</w:t>
            </w:r>
          </w:p>
        </w:tc>
        <w:tc>
          <w:tcPr>
            <w:tcW w:type="dxa" w:w="5"/>
            <w:vAlign w:val="top"/>
          </w:tcPr>
          <w:p>
            <w:r>
              <w:rPr>
                <w:rFonts w:ascii="Arial" w:hAnsi="Arial"/>
                <w:b w:val="0"/>
                <w:color w:val="111827"/>
                <w:sz w:val="18"/>
              </w:rPr>
              <w:t>Подтвердить API для пакетного управления файлами, слоями и версиями внутри TW_ID.</w:t>
            </w:r>
          </w:p>
        </w:tc>
        <w:tc>
          <w:tcPr>
            <w:tcW w:type="dxa" w:w="4"/>
            <w:vAlign w:val="top"/>
          </w:tcPr>
          <w:p>
            <w:r>
              <w:rPr>
                <w:rFonts w:ascii="Arial" w:hAnsi="Arial"/>
                <w:b w:val="0"/>
                <w:color w:val="111827"/>
                <w:sz w:val="18"/>
              </w:rPr>
              <w:t>На портале версии модели и разные даты съемки должны управляться как слои или связанные ассеты, без показа пользователю стандартной файловой структуры облака.</w:t>
            </w:r>
          </w:p>
        </w:tc>
        <w:tc>
          <w:tcPr>
            <w:tcW w:type="dxa" w:w="3"/>
            <w:vAlign w:val="top"/>
          </w:tcPr>
          <w:p>
            <w:r>
              <w:rPr>
                <w:rFonts w:ascii="Arial" w:hAnsi="Arial"/>
                <w:b w:val="0"/>
                <w:color w:val="111827"/>
                <w:sz w:val="18"/>
              </w:rPr>
              <w:t>Нужны операции показать/скрыть, удалить, подлететь, переименовать, переместить, сгруппировать, назначить порядок и связать с TW_ID_Layer.</w:t>
            </w:r>
          </w:p>
        </w:tc>
      </w:tr>
      <w:tr>
        <w:tc>
          <w:tcPr>
            <w:tcW w:type="dxa" w:w="2"/>
            <w:vAlign w:val="top"/>
          </w:tcPr>
          <w:p>
            <w:r>
              <w:rPr>
                <w:rFonts w:ascii="Arial" w:hAnsi="Arial"/>
                <w:b w:val="0"/>
                <w:color w:val="111827"/>
                <w:sz w:val="18"/>
              </w:rPr>
              <w:t>Preview и миниатюры</w:t>
            </w:r>
          </w:p>
        </w:tc>
        <w:tc>
          <w:tcPr>
            <w:tcW w:type="dxa" w:w="5"/>
            <w:vAlign w:val="top"/>
          </w:tcPr>
          <w:p>
            <w:r>
              <w:rPr>
                <w:rFonts w:ascii="Arial" w:hAnsi="Arial"/>
                <w:b w:val="0"/>
                <w:color w:val="111827"/>
                <w:sz w:val="18"/>
              </w:rPr>
              <w:t>Уточнить API для preview модели, preview точки POI и preview каталога/коллекции.</w:t>
            </w:r>
          </w:p>
        </w:tc>
        <w:tc>
          <w:tcPr>
            <w:tcW w:type="dxa" w:w="4"/>
            <w:vAlign w:val="top"/>
          </w:tcPr>
          <w:p>
            <w:r>
              <w:rPr>
                <w:rFonts w:ascii="Arial" w:hAnsi="Arial"/>
                <w:b w:val="0"/>
                <w:color w:val="111827"/>
                <w:sz w:val="18"/>
              </w:rPr>
              <w:t>На сайте нужны обложки объектов, коллекций и публичных карточек, а в редакторе уже есть действие 'Сохранить ракурс'.</w:t>
            </w:r>
          </w:p>
        </w:tc>
        <w:tc>
          <w:tcPr>
            <w:tcW w:type="dxa" w:w="3"/>
            <w:vAlign w:val="top"/>
          </w:tcPr>
          <w:p>
            <w:r>
              <w:rPr>
                <w:rFonts w:ascii="Arial" w:hAnsi="Arial"/>
                <w:b w:val="0"/>
                <w:color w:val="111827"/>
                <w:sz w:val="18"/>
              </w:rPr>
              <w:t>Нужны previewUrl, дата обновления, автор, источник preview и возможность назначить preview для каталога/коллекции.</w:t>
            </w:r>
          </w:p>
        </w:tc>
      </w:tr>
      <w:tr>
        <w:tc>
          <w:tcPr>
            <w:tcW w:type="dxa" w:w="2"/>
            <w:vAlign w:val="top"/>
          </w:tcPr>
          <w:p>
            <w:r>
              <w:rPr>
                <w:rFonts w:ascii="Arial" w:hAnsi="Arial"/>
                <w:b w:val="0"/>
                <w:color w:val="111827"/>
                <w:sz w:val="18"/>
              </w:rPr>
              <w:t>Webhook-и и синхронизация</w:t>
            </w:r>
          </w:p>
        </w:tc>
        <w:tc>
          <w:tcPr>
            <w:tcW w:type="dxa" w:w="5"/>
            <w:vAlign w:val="top"/>
          </w:tcPr>
          <w:p>
            <w:r>
              <w:rPr>
                <w:rFonts w:ascii="Arial" w:hAnsi="Arial"/>
                <w:b w:val="0"/>
                <w:color w:val="111827"/>
                <w:sz w:val="18"/>
              </w:rPr>
              <w:t>Подтвердить webhook-и о статусе загрузки, обработки, публикации, ошибках, изменении preview и удалении данных.</w:t>
            </w:r>
          </w:p>
        </w:tc>
        <w:tc>
          <w:tcPr>
            <w:tcW w:type="dxa" w:w="4"/>
            <w:vAlign w:val="top"/>
          </w:tcPr>
          <w:p>
            <w:r>
              <w:rPr>
                <w:rFonts w:ascii="Arial" w:hAnsi="Arial"/>
                <w:b w:val="0"/>
                <w:color w:val="111827"/>
                <w:sz w:val="18"/>
              </w:rPr>
              <w:t>Heritage3D должен обновлять статус ассета и публичной карточки без ручного опроса Geoscan API.</w:t>
            </w:r>
          </w:p>
        </w:tc>
        <w:tc>
          <w:tcPr>
            <w:tcW w:type="dxa" w:w="3"/>
            <w:vAlign w:val="top"/>
          </w:tcPr>
          <w:p>
            <w:r>
              <w:rPr>
                <w:rFonts w:ascii="Arial" w:hAnsi="Arial"/>
                <w:b w:val="0"/>
                <w:color w:val="111827"/>
                <w:sz w:val="18"/>
              </w:rPr>
              <w:t>Нужна подпись webhook, retry policy, eventId, timestamp, H3D_ID/TW_ID mapping и единая схема ошибок.</w:t>
            </w:r>
          </w:p>
        </w:tc>
      </w:tr>
    </w:tbl>
    <w:p>
      <w:pPr>
        <w:pStyle w:val="Heading1"/>
      </w:pPr>
      <w:r>
        <w:t>Отдельный акцент по лимитам</w:t>
      </w:r>
    </w:p>
    <w:p>
      <w:r>
        <w:rPr>
          <w:rFonts w:ascii="Arial" w:hAnsi="Arial"/>
          <w:b w:val="0"/>
          <w:color w:val="111827"/>
          <w:sz w:val="22"/>
        </w:rPr>
        <w:t xml:space="preserve">Важно не ограничиваться моделью, где лимиты привязаны только к личному пользователю Geoscan ID. </w:t>
      </w:r>
      <w:r>
        <w:rPr>
          <w:rFonts w:ascii="Arial" w:hAnsi="Arial"/>
          <w:b w:val="0"/>
          <w:color w:val="111827"/>
          <w:sz w:val="22"/>
        </w:rPr>
        <w:t>Для музеев и организаций нужен корпоративный сценарий: тариф и общий лимит хранилища/обработки закреплены за organizationId, а конкретные пользователи работают внутри этой организации по своим ролям и расходуют общий организационный лимит.</w:t>
      </w:r>
    </w:p>
    <w:p>
      <w:r>
        <w:rPr>
          <w:rFonts w:ascii="Arial" w:hAnsi="Arial"/>
          <w:b w:val="0"/>
          <w:color w:val="111827"/>
          <w:sz w:val="22"/>
        </w:rPr>
        <w:t>В API желательно явно различить: личный пользовательский контекст, доступные пользователю организации, лимиты выбранной организации, остаток лимита для текущего действия и причины отказа при превышении квоты.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