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Verdana" w:cs="Verdana" w:eastAsia="Verdana" w:hAnsi="Verdana"/>
          <w:b/>
          <w:bCs/>
          <w:color w:val="006C88"/>
          <w:sz w:val="56"/>
          <w:szCs w:val="56"/>
        </w:rPr>
        <w:t xml:space="preserve">Nösse</w:t>
      </w:r>
    </w:p>
    <w:p>
      <w:pPr>
        <w:spacing w:after="60"/>
      </w:pPr>
      <w:r>
        <w:rPr>
          <w:rFonts w:ascii="Verdana" w:cs="Verdana" w:eastAsia="Verdana" w:hAnsi="Verdana"/>
          <w:b/>
          <w:bCs/>
          <w:color w:val="737373"/>
          <w:sz w:val="16"/>
          <w:szCs w:val="16"/>
        </w:rPr>
        <w:t xml:space="preserve">IHR IT-UMSORGER.</w:t>
      </w:r>
    </w:p>
    <w:p>
      <w:pPr>
        <w:spacing w:after="1800" w:before="0" w:line="276"/>
      </w:pPr>
      <w:r>
        <w:rPr>
          <w:rFonts w:ascii="Verdana" w:cs="Verdana" w:eastAsia="Verdana" w:hAnsi="Verdana"/>
          <w:i/>
          <w:iCs/>
          <w:color w:val="737373"/>
          <w:sz w:val="14"/>
          <w:szCs w:val="14"/>
        </w:rPr>
        <w:t xml:space="preserve">[Platzhalter: Logo aus ELO &gt; Marketing &gt; Logo einsetzen]</w:t>
      </w:r>
    </w:p>
    <w:p>
      <w:pPr>
        <w:spacing w:after="120"/>
      </w:pPr>
      <w:r>
        <w:rPr>
          <w:rFonts w:ascii="Verdana" w:cs="Verdana" w:eastAsia="Verdana" w:hAnsi="Verdana"/>
          <w:b/>
          <w:bCs/>
          <w:color w:val="006C88"/>
          <w:sz w:val="52"/>
          <w:szCs w:val="52"/>
        </w:rPr>
        <w:t xml:space="preserve">ANGEBOT</w:t>
      </w:r>
    </w:p>
    <w:p>
      <w:pPr>
        <w:pBdr>
          <w:bottom w:val="single" w:color="EE7F00" w:sz="12" w:space="6"/>
        </w:pBdr>
        <w:spacing w:after="120"/>
      </w:pPr>
      <w:r>
        <w:rPr>
          <w:rFonts w:ascii="Verdana" w:cs="Verdana" w:eastAsia="Verdana" w:hAnsi="Verdana"/>
          <w:color w:val="737373"/>
          <w:sz w:val="32"/>
          <w:szCs w:val="32"/>
        </w:rPr>
        <w:t xml:space="preserve">Managed Services</w:t>
      </w:r>
    </w:p>
    <w:p>
      <w:pPr>
        <w:spacing w:after="1600" w:before="240" w:line="276"/>
      </w:pPr>
      <w:r>
        <w:rPr>
          <w:rFonts w:ascii="Verdana" w:cs="Verdana" w:eastAsia="Verdana" w:hAnsi="Verdana"/>
          <w:b/>
          <w:bCs/>
          <w:sz w:val="24"/>
          <w:szCs w:val="24"/>
        </w:rPr>
        <w:t xml:space="preserve">für die Muster Maschinenbau GmbH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Angebotsnummer</w:t>
            </w:r>
          </w:p>
        </w:tc>
        <w:tc>
          <w:tcPr>
            <w:tcW w:type="dxa" w:w="68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MS-A-2026-0001 (V1)</w:t>
            </w:r>
          </w:p>
        </w:tc>
      </w:tr>
      <w:tr>
        <w:tc>
          <w:tcPr>
            <w:tcW w:type="dxa" w:w="28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Datum</w:t>
            </w:r>
          </w:p>
        </w:tc>
        <w:tc>
          <w:tcPr>
            <w:tcW w:type="dxa" w:w="68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25.09.2026</w:t>
            </w:r>
          </w:p>
        </w:tc>
      </w:tr>
      <w:tr>
        <w:tc>
          <w:tcPr>
            <w:tcW w:type="dxa" w:w="2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Gültig bis</w:t>
            </w:r>
          </w:p>
        </w:tc>
        <w:tc>
          <w:tcPr>
            <w:tcW w:type="dxa" w:w="68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25.10.2026</w:t>
            </w:r>
          </w:p>
        </w:tc>
      </w:tr>
      <w:tr>
        <w:tc>
          <w:tcPr>
            <w:tcW w:type="dxa" w:w="28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Ihr Ansprechpartner</w:t>
            </w:r>
          </w:p>
        </w:tc>
        <w:tc>
          <w:tcPr>
            <w:tcW w:type="dxa" w:w="68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Max Mustermann, Vertrieb Managed Services</w:t>
            </w:r>
          </w:p>
        </w:tc>
      </w:tr>
      <w:tr>
        <w:tc>
          <w:tcPr>
            <w:tcW w:type="dxa" w:w="2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Kontakt</w:t>
            </w:r>
          </w:p>
        </w:tc>
        <w:tc>
          <w:tcPr>
            <w:tcW w:type="dxa" w:w="68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+49 2171 7003-0 · m.mustermann@noesse.de</w:t>
            </w:r>
          </w:p>
        </w:tc>
      </w:tr>
    </w:tbl>
    <w:p>
      <w:r>
        <w:br w:type="page"/>
      </w:r>
    </w:p>
    <w:p>
      <w:pPr>
        <w:sectPr>
          <w:pgSz w:w="11906" w:h="16838" w:orient="portrait"/>
          <w:pgMar w:top="1700" w:right="1134" w:bottom="1100" w:left="1134" w:header="600" w:footer="500" w:gutter="0"/>
          <w:pgNumType/>
          <w:docGrid w:linePitch="360"/>
        </w:sectPr>
      </w:pPr>
    </w:p>
    <w:p>
      <w:pPr>
        <w:spacing w:after="0" w:before="0" w:line="276"/>
      </w:pPr>
      <w:r>
        <w:rPr>
          <w:rFonts w:ascii="Verdana" w:cs="Verdana" w:eastAsia="Verdana" w:hAnsi="Verdana"/>
          <w:b/>
          <w:bCs/>
          <w:sz w:val="18"/>
          <w:szCs w:val="18"/>
        </w:rPr>
        <w:t xml:space="preserve">Muster Maschinenbau GmbH</w:t>
      </w:r>
    </w:p>
    <w:p>
      <w:pPr>
        <w:spacing w:after="0" w:before="0" w:line="276"/>
      </w:pPr>
      <w:r>
        <w:rPr>
          <w:rFonts w:ascii="Verdana" w:cs="Verdana" w:eastAsia="Verdana" w:hAnsi="Verdana"/>
          <w:sz w:val="18"/>
          <w:szCs w:val="18"/>
        </w:rPr>
        <w:t xml:space="preserve">Frau Erika Beispiel, Geschäftsführung</w:t>
      </w:r>
    </w:p>
    <w:p>
      <w:pPr>
        <w:spacing w:after="0" w:before="0" w:line="276"/>
      </w:pPr>
      <w:r>
        <w:rPr>
          <w:rFonts w:ascii="Verdana" w:cs="Verdana" w:eastAsia="Verdana" w:hAnsi="Verdana"/>
          <w:sz w:val="18"/>
          <w:szCs w:val="18"/>
        </w:rPr>
        <w:t xml:space="preserve">Industriestraße 12</w:t>
      </w:r>
    </w:p>
    <w:p>
      <w:pPr>
        <w:spacing w:after="480" w:before="0" w:line="276"/>
      </w:pPr>
      <w:r>
        <w:rPr>
          <w:rFonts w:ascii="Verdana" w:cs="Verdana" w:eastAsia="Verdana" w:hAnsi="Verdana"/>
          <w:sz w:val="18"/>
          <w:szCs w:val="18"/>
        </w:rPr>
        <w:t xml:space="preserve">50667 Köln</w:t>
      </w:r>
    </w:p>
    <w:p>
      <w:pPr>
        <w:spacing w:after="360" w:before="0" w:line="276"/>
        <w:jc w:val="right"/>
      </w:pPr>
      <w:r>
        <w:rPr>
          <w:rFonts w:ascii="Verdana" w:cs="Verdana" w:eastAsia="Verdana" w:hAnsi="Verdana"/>
          <w:sz w:val="18"/>
          <w:szCs w:val="18"/>
        </w:rPr>
        <w:t xml:space="preserve">Leverkusen, 25.09.2026</w:t>
      </w:r>
    </w:p>
    <w:p>
      <w:pPr>
        <w:spacing w:after="240" w:before="0" w:line="276"/>
      </w:pPr>
      <w:r>
        <w:rPr>
          <w:rFonts w:ascii="Verdana" w:cs="Verdana" w:eastAsia="Verdana" w:hAnsi="Verdana"/>
          <w:b/>
          <w:bCs/>
          <w:color w:val="006C88"/>
          <w:sz w:val="20"/>
          <w:szCs w:val="20"/>
        </w:rPr>
        <w:t xml:space="preserve">Ihr Angebot für Managed Services – MS-A-2026-0001</w:t>
      </w:r>
    </w:p>
    <w:p>
      <w:pPr>
        <w:spacing w:after="120" w:before="0" w:line="276"/>
      </w:pPr>
      <w:r>
        <w:rPr>
          <w:rFonts w:ascii="Verdana" w:cs="Verdana" w:eastAsia="Verdana" w:hAnsi="Verdana"/>
          <w:sz w:val="18"/>
          <w:szCs w:val="18"/>
        </w:rPr>
        <w:t xml:space="preserve">Sehr geehrte Frau Beispiel,</w:t>
      </w:r>
    </w:p>
    <w:p>
      <w:pPr>
        <w:spacing w:after="120" w:before="0" w:line="276"/>
      </w:pPr>
      <w:r>
        <w:rPr>
          <w:rFonts w:ascii="Verdana" w:cs="Verdana" w:eastAsia="Verdana" w:hAnsi="Verdana"/>
          <w:sz w:val="18"/>
          <w:szCs w:val="18"/>
        </w:rPr>
        <w:t xml:space="preserve">vielen Dank für das offene Gespräch und Ihr Interesse an unseren Managed Services. Mit diesem Angebot legen wir Ihnen vor, wie wir den Betrieb und die Absicherung Ihrer IT künftig übernehmen: mit festen Ansprechpartnern, garantierten Reaktionszeiten und planbaren monatlichen Kosten.</w:t>
      </w:r>
    </w:p>
    <w:p>
      <w:pPr>
        <w:spacing w:after="120" w:before="0" w:line="276"/>
      </w:pPr>
      <w:r>
        <w:rPr>
          <w:rFonts w:ascii="Verdana" w:cs="Verdana" w:eastAsia="Verdana" w:hAnsi="Verdana"/>
          <w:i/>
          <w:iCs/>
          <w:color w:val="737373"/>
          <w:sz w:val="18"/>
          <w:szCs w:val="18"/>
        </w:rPr>
        <w:t xml:space="preserve">[Optionaler Freitext des Vertriebs: Ausgangssituation und Ziele des Kunden, z. B. „Sie haben uns geschildert, dass …“]</w:t>
      </w:r>
    </w:p>
    <w:p>
      <w:pPr>
        <w:spacing w:after="120" w:before="0" w:line="276"/>
      </w:pPr>
      <w:r>
        <w:rPr>
          <w:rFonts w:ascii="Verdana" w:cs="Verdana" w:eastAsia="Verdana" w:hAnsi="Verdana"/>
          <w:sz w:val="18"/>
          <w:szCs w:val="18"/>
        </w:rPr>
        <w:t xml:space="preserve">Auf den folgenden Seiten finden Sie das Wichtigste auf einen Blick, die Beschreibung der angebotenen Leistungen, die Preisübersicht sowie den vertraglichen Rahmen. Für Rückfragen stehe ich Ihnen jederzeit gern zur Verfügung.</w:t>
      </w:r>
    </w:p>
    <w:p>
      <w:pPr>
        <w:spacing w:after="600" w:before="240" w:line="276"/>
      </w:pPr>
      <w:r>
        <w:rPr>
          <w:rFonts w:ascii="Verdana" w:cs="Verdana" w:eastAsia="Verdana" w:hAnsi="Verdana"/>
          <w:sz w:val="18"/>
          <w:szCs w:val="18"/>
        </w:rPr>
        <w:t xml:space="preserve">Mit freundlichen Grüßen</w:t>
      </w:r>
    </w:p>
    <w:p>
      <w:pPr>
        <w:spacing w:after="0" w:before="0" w:line="276"/>
      </w:pPr>
      <w:r>
        <w:rPr>
          <w:rFonts w:ascii="Verdana" w:cs="Verdana" w:eastAsia="Verdana" w:hAnsi="Verdana"/>
          <w:b/>
          <w:bCs/>
          <w:sz w:val="18"/>
          <w:szCs w:val="18"/>
        </w:rPr>
        <w:t xml:space="preserve">Max Mustermann</w:t>
      </w:r>
    </w:p>
    <w:p>
      <w:pPr>
        <w:spacing w:after="0" w:before="0" w:line="276"/>
      </w:pPr>
      <w:r>
        <w:rPr>
          <w:rFonts w:ascii="Verdana" w:cs="Verdana" w:eastAsia="Verdana" w:hAnsi="Verdana"/>
          <w:sz w:val="18"/>
          <w:szCs w:val="18"/>
        </w:rPr>
        <w:t xml:space="preserve">Vertrieb Managed Services</w:t>
      </w:r>
    </w:p>
    <w:p>
      <w:pPr>
        <w:spacing w:after="120" w:before="0" w:line="276"/>
      </w:pPr>
      <w:r>
        <w:rPr>
          <w:rFonts w:ascii="Verdana" w:cs="Verdana" w:eastAsia="Verdana" w:hAnsi="Verdana"/>
          <w:sz w:val="18"/>
          <w:szCs w:val="18"/>
        </w:rPr>
        <w:t xml:space="preserve">Nösse Datentechnik GmbH &amp; Co. KG</w:t>
      </w:r>
    </w:p>
    <w:p>
      <w:r>
        <w:br w:type="page"/>
      </w:r>
    </w:p>
    <w:p>
      <w:pPr>
        <w:keepNext/>
        <w:pBdr>
          <w:bottom w:val="single" w:color="EE7F00" w:sz="8" w:space="4"/>
        </w:pBdr>
        <w:spacing w:after="160" w:before="360"/>
      </w:pPr>
      <w:r>
        <w:rPr>
          <w:rFonts w:ascii="Verdana" w:cs="Verdana" w:eastAsia="Verdana" w:hAnsi="Verdana"/>
          <w:b/>
          <w:bCs/>
          <w:color w:val="006C88"/>
          <w:sz w:val="26"/>
          <w:szCs w:val="26"/>
        </w:rPr>
        <w:t xml:space="preserve">1. Das Wichtigste auf einen Blick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Servicebasis</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Nösse Connect Premium – garantierte Reaktionszeiten, Serviceportal, feste Ansprechpartner</w:t>
            </w:r>
          </w:p>
        </w:tc>
      </w:tr>
      <w:tr>
        <w:tc>
          <w:tcPr>
            <w:tcW w:type="dxa" w:w="30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Umfang</w:t>
            </w:r>
          </w:p>
        </w:tc>
        <w:tc>
          <w:tcPr>
            <w:tcW w:type="dxa" w:w="66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40 Benutzer, 4 Server, zentrale Sicherheitskomponenten, MDR und Awareness-Training</w:t>
            </w:r>
          </w:p>
        </w:tc>
      </w:tr>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Laufende Kosten</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6.095,06 € netto monatlich</w:t>
            </w:r>
          </w:p>
        </w:tc>
      </w:tr>
      <w:tr>
        <w:tc>
          <w:tcPr>
            <w:tcW w:type="dxa" w:w="30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Einmalig</w:t>
            </w:r>
          </w:p>
        </w:tc>
        <w:tc>
          <w:tcPr>
            <w:tcW w:type="dxa" w:w="66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2.000,00 € netto Onboarding-Pauschale</w:t>
            </w:r>
          </w:p>
        </w:tc>
      </w:tr>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Geplanter Servicebeginn</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01.11.2026</w:t>
            </w:r>
          </w:p>
        </w:tc>
      </w:tr>
      <w:tr>
        <w:tc>
          <w:tcPr>
            <w:tcW w:type="dxa" w:w="30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Vertragslaufzeit</w:t>
            </w:r>
          </w:p>
        </w:tc>
        <w:tc>
          <w:tcPr>
            <w:tcW w:type="dxa" w:w="66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12 Monate, danach Verlängerung um jeweils 12 Monate</w:t>
            </w:r>
          </w:p>
        </w:tc>
      </w:tr>
    </w:tbl>
    <w:p>
      <w:pPr>
        <w:spacing w:after="120" w:before="80" w:line="276"/>
      </w:pPr>
      <w:r>
        <w:rPr>
          <w:rFonts w:ascii="Verdana" w:cs="Verdana" w:eastAsia="Verdana" w:hAnsi="Verdana"/>
          <w:color w:val="737373"/>
          <w:sz w:val="15"/>
          <w:szCs w:val="15"/>
        </w:rPr>
        <w:t xml:space="preserve">Alle Preise netto zzgl. gesetzlicher Umsatzsteuer.</w:t>
      </w:r>
    </w:p>
    <w:p>
      <w:pPr>
        <w:keepNext/>
        <w:pBdr>
          <w:bottom w:val="single" w:color="EE7F00" w:sz="8" w:space="4"/>
        </w:pBdr>
        <w:spacing w:after="160" w:before="360"/>
      </w:pPr>
      <w:r>
        <w:rPr>
          <w:rFonts w:ascii="Verdana" w:cs="Verdana" w:eastAsia="Verdana" w:hAnsi="Verdana"/>
          <w:b/>
          <w:bCs/>
          <w:color w:val="006C88"/>
          <w:sz w:val="26"/>
          <w:szCs w:val="26"/>
        </w:rPr>
        <w:t xml:space="preserve">2. Ihre Servicebasis: Nösse Connect Premium</w:t>
      </w:r>
    </w:p>
    <w:p>
      <w:pPr>
        <w:spacing w:after="120" w:before="0" w:line="276"/>
      </w:pPr>
      <w:r>
        <w:rPr>
          <w:rFonts w:ascii="Verdana" w:cs="Verdana" w:eastAsia="Verdana" w:hAnsi="Verdana"/>
          <w:sz w:val="18"/>
          <w:szCs w:val="18"/>
        </w:rPr>
        <w:t xml:space="preserve">Nösse Connect ist die Grundlage aller Managed Services. Sie erhalten einen geregelten Zugang zu unserer Serviceorganisation mit Serviceportal, festen Ansprechpartnern und vertraglich zugesicherten Reaktionszeiten.</w:t>
      </w:r>
    </w:p>
    <w:p>
      <w:pPr>
        <w:keepNext/>
        <w:spacing w:after="80" w:before="200"/>
      </w:pPr>
      <w:r>
        <w:rPr>
          <w:rFonts w:ascii="Verdana" w:cs="Verdana" w:eastAsia="Verdana" w:hAnsi="Verdana"/>
          <w:b/>
          <w:bCs/>
          <w:color w:val="006C88"/>
          <w:sz w:val="20"/>
          <w:szCs w:val="20"/>
        </w:rPr>
        <w:t xml:space="preserve">Service Level in der Stufe Premium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038"/>
      </w:tblGrid>
      <w:tr>
        <w:tc>
          <w:tcPr>
            <w:tcW w:type="dxa" w:w="36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Servicezeit Bearbeitung</w:t>
            </w:r>
          </w:p>
        </w:tc>
        <w:tc>
          <w:tcPr>
            <w:tcW w:type="dxa" w:w="60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Mo–Fr, 08:00–17:00 Uhr</w:t>
            </w:r>
          </w:p>
        </w:tc>
      </w:tr>
      <w:tr>
        <w:tc>
          <w:tcPr>
            <w:tcW w:type="dxa" w:w="36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Ticketannahme online (Portal)</w:t>
            </w:r>
          </w:p>
        </w:tc>
        <w:tc>
          <w:tcPr>
            <w:tcW w:type="dxa" w:w="60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24 Stunden / 7 Tage</w:t>
            </w:r>
          </w:p>
        </w:tc>
      </w:tr>
      <w:tr>
        <w:tc>
          <w:tcPr>
            <w:tcW w:type="dxa" w:w="36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Reaktionszeit P1 (kritisch)</w:t>
            </w:r>
          </w:p>
        </w:tc>
        <w:tc>
          <w:tcPr>
            <w:tcW w:type="dxa" w:w="60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2 Stunden</w:t>
            </w:r>
          </w:p>
        </w:tc>
      </w:tr>
      <w:tr>
        <w:tc>
          <w:tcPr>
            <w:tcW w:type="dxa" w:w="36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Reaktionszeit P2 (hoch)</w:t>
            </w:r>
          </w:p>
        </w:tc>
        <w:tc>
          <w:tcPr>
            <w:tcW w:type="dxa" w:w="60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4 Stunden</w:t>
            </w:r>
          </w:p>
        </w:tc>
      </w:tr>
      <w:tr>
        <w:tc>
          <w:tcPr>
            <w:tcW w:type="dxa" w:w="36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Reaktionszeit P3 (mittel)</w:t>
            </w:r>
          </w:p>
        </w:tc>
        <w:tc>
          <w:tcPr>
            <w:tcW w:type="dxa" w:w="60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1 Werktag</w:t>
            </w:r>
          </w:p>
        </w:tc>
      </w:tr>
      <w:tr>
        <w:tc>
          <w:tcPr>
            <w:tcW w:type="dxa" w:w="36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Reaktionszeit P4 (niedrig / Service Request)</w:t>
            </w:r>
          </w:p>
        </w:tc>
        <w:tc>
          <w:tcPr>
            <w:tcW w:type="dxa" w:w="60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3 Werktage</w:t>
            </w:r>
          </w:p>
        </w:tc>
      </w:tr>
    </w:tbl>
    <w:p>
      <w:pPr>
        <w:spacing w:after="120" w:before="80" w:line="276"/>
      </w:pPr>
      <w:r>
        <w:rPr>
          <w:rFonts w:ascii="Verdana" w:cs="Verdana" w:eastAsia="Verdana" w:hAnsi="Verdana"/>
          <w:color w:val="737373"/>
          <w:sz w:val="15"/>
          <w:szCs w:val="15"/>
        </w:rPr>
        <w:t xml:space="preserve">Grundlage: Anlage SLA zum Managed-Services-Vertrag. Service Credits gemäß AVB § 10.</w:t>
      </w:r>
    </w:p>
    <w:p>
      <w:pPr>
        <w:keepNext/>
        <w:pBdr>
          <w:bottom w:val="single" w:color="EE7F00" w:sz="8" w:space="4"/>
        </w:pBdr>
        <w:spacing w:after="160" w:before="360"/>
      </w:pPr>
      <w:r>
        <w:rPr>
          <w:rFonts w:ascii="Verdana" w:cs="Verdana" w:eastAsia="Verdana" w:hAnsi="Verdana"/>
          <w:b/>
          <w:bCs/>
          <w:color w:val="006C88"/>
          <w:sz w:val="26"/>
          <w:szCs w:val="26"/>
        </w:rPr>
        <w:t xml:space="preserve">3. Die angebotenen Leistungen</w:t>
      </w:r>
    </w:p>
    <w:p>
      <w:pPr>
        <w:spacing w:after="120" w:before="0" w:line="276"/>
      </w:pPr>
      <w:r>
        <w:rPr>
          <w:rFonts w:ascii="Verdana" w:cs="Verdana" w:eastAsia="Verdana" w:hAnsi="Verdana"/>
          <w:color w:val="737373"/>
          <w:sz w:val="18"/>
          <w:szCs w:val="18"/>
        </w:rPr>
        <w:t xml:space="preserve">Die vollständige Leistungsbeschreibung ergibt sich aus den Leistungsscheinen, die Bestandteil des Vertrags werden.</w:t>
      </w:r>
    </w:p>
    <w:p>
      <w:pPr>
        <w:keepNext/>
        <w:spacing w:after="80" w:before="200"/>
      </w:pPr>
      <w:r>
        <w:rPr>
          <w:rFonts w:ascii="Verdana" w:cs="Verdana" w:eastAsia="Verdana" w:hAnsi="Verdana"/>
          <w:b/>
          <w:bCs/>
          <w:color w:val="006C88"/>
          <w:sz w:val="20"/>
          <w:szCs w:val="20"/>
        </w:rPr>
        <w:t xml:space="preserve">User as a Service Premium (B02) – 54,90 € je User / Monat, 40 User</w:t>
      </w:r>
    </w:p>
    <w:p>
      <w:pPr>
        <w:spacing w:after="120" w:before="0" w:line="276"/>
      </w:pPr>
      <w:r>
        <w:rPr>
          <w:rFonts w:ascii="Verdana" w:cs="Verdana" w:eastAsia="Verdana" w:hAnsi="Verdana"/>
          <w:sz w:val="18"/>
          <w:szCs w:val="18"/>
        </w:rPr>
        <w:t xml:space="preserve">Umfassender, sicherer Betrieb aller Benutzerarbeitsplätze einschließlich der Microsoft-365-Benutzerumgebung.</w:t>
      </w:r>
    </w:p>
    <w:p>
      <w:pPr>
        <w:keepNext/>
        <w:spacing w:after="40" w:before="0" w:line="276"/>
      </w:pPr>
      <w:r>
        <w:rPr>
          <w:rFonts w:ascii="Verdana" w:cs="Verdana" w:eastAsia="Verdana" w:hAnsi="Verdana"/>
          <w:b/>
          <w:bCs/>
          <w:sz w:val="18"/>
          <w:szCs w:val="18"/>
        </w:rPr>
        <w:t xml:space="preserve">Enthalten:</w:t>
      </w:r>
    </w:p>
    <w:p>
      <w:pPr>
        <w:pStyle w:val="ListParagraph"/>
        <w:numPr>
          <w:ilvl w:val="0"/>
          <w:numId w:val="2"/>
        </w:numPr>
        <w:spacing w:after="60" w:line="276"/>
      </w:pPr>
      <w:r>
        <w:rPr>
          <w:rFonts w:ascii="Verdana" w:cs="Verdana" w:eastAsia="Verdana" w:hAnsi="Verdana"/>
          <w:sz w:val="18"/>
          <w:szCs w:val="18"/>
        </w:rPr>
        <w:t xml:space="preserve">Endpoint Protection (XDR) &amp; Richtlinienmanagement (S02)</w:t>
      </w:r>
    </w:p>
    <w:p>
      <w:pPr>
        <w:pStyle w:val="ListParagraph"/>
        <w:numPr>
          <w:ilvl w:val="0"/>
          <w:numId w:val="2"/>
        </w:numPr>
        <w:spacing w:after="60" w:line="276"/>
      </w:pPr>
      <w:r>
        <w:rPr>
          <w:rFonts w:ascii="Verdana" w:cs="Verdana" w:eastAsia="Verdana" w:hAnsi="Verdana"/>
          <w:sz w:val="18"/>
          <w:szCs w:val="18"/>
        </w:rPr>
        <w:t xml:space="preserve">Patch Management (S03)</w:t>
      </w:r>
    </w:p>
    <w:p>
      <w:pPr>
        <w:pStyle w:val="ListParagraph"/>
        <w:numPr>
          <w:ilvl w:val="0"/>
          <w:numId w:val="2"/>
        </w:numPr>
        <w:spacing w:after="60" w:line="276"/>
      </w:pPr>
      <w:r>
        <w:rPr>
          <w:rFonts w:ascii="Verdana" w:cs="Verdana" w:eastAsia="Verdana" w:hAnsi="Verdana"/>
          <w:sz w:val="18"/>
          <w:szCs w:val="18"/>
        </w:rPr>
        <w:t xml:space="preserve">Monitoring (S04)</w:t>
      </w:r>
    </w:p>
    <w:p>
      <w:pPr>
        <w:pStyle w:val="ListParagraph"/>
        <w:numPr>
          <w:ilvl w:val="0"/>
          <w:numId w:val="2"/>
        </w:numPr>
        <w:spacing w:after="60" w:line="276"/>
      </w:pPr>
      <w:r>
        <w:rPr>
          <w:rFonts w:ascii="Verdana" w:cs="Verdana" w:eastAsia="Verdana" w:hAnsi="Verdana"/>
          <w:sz w:val="18"/>
          <w:szCs w:val="18"/>
        </w:rPr>
        <w:t xml:space="preserve">M365 Backup (S05)</w:t>
      </w:r>
    </w:p>
    <w:p>
      <w:pPr>
        <w:pStyle w:val="ListParagraph"/>
        <w:numPr>
          <w:ilvl w:val="0"/>
          <w:numId w:val="2"/>
        </w:numPr>
        <w:spacing w:after="60" w:line="276"/>
      </w:pPr>
      <w:r>
        <w:rPr>
          <w:rFonts w:ascii="Verdana" w:cs="Verdana" w:eastAsia="Verdana" w:hAnsi="Verdana"/>
          <w:sz w:val="18"/>
          <w:szCs w:val="18"/>
        </w:rPr>
        <w:t xml:space="preserve">E-Mail Security &amp; Archivierung (S06)</w:t>
      </w:r>
    </w:p>
    <w:p>
      <w:pPr>
        <w:pStyle w:val="ListParagraph"/>
        <w:numPr>
          <w:ilvl w:val="0"/>
          <w:numId w:val="2"/>
        </w:numPr>
        <w:spacing w:after="60" w:line="276"/>
      </w:pPr>
      <w:r>
        <w:rPr>
          <w:rFonts w:ascii="Verdana" w:cs="Verdana" w:eastAsia="Verdana" w:hAnsi="Verdana"/>
          <w:sz w:val="18"/>
          <w:szCs w:val="18"/>
        </w:rPr>
        <w:t xml:space="preserve">Sichere Authentifizierung (S07)</w:t>
      </w:r>
    </w:p>
    <w:p>
      <w:pPr>
        <w:spacing w:after="120" w:before="60" w:line="276"/>
      </w:pPr>
      <w:r>
        <w:rPr>
          <w:rFonts w:ascii="Verdana" w:cs="Verdana" w:eastAsia="Verdana" w:hAnsi="Verdana"/>
          <w:b/>
          <w:bCs/>
          <w:sz w:val="18"/>
          <w:szCs w:val="18"/>
        </w:rPr>
        <w:t xml:space="preserve">Nicht enthalten: </w:t>
      </w:r>
      <w:r>
        <w:rPr>
          <w:rFonts w:ascii="Verdana" w:cs="Verdana" w:eastAsia="Verdana" w:hAnsi="Verdana"/>
          <w:sz w:val="18"/>
          <w:szCs w:val="18"/>
        </w:rPr>
        <w:t xml:space="preserve">Managed Detection and Response, Security Awareness Training, Schwachstellenmanagement und Mobile Device Management (separat buchbar).</w:t>
      </w:r>
    </w:p>
    <w:p>
      <w:pPr>
        <w:keepNext/>
        <w:spacing w:after="80" w:before="200"/>
      </w:pPr>
      <w:r>
        <w:rPr>
          <w:rFonts w:ascii="Verdana" w:cs="Verdana" w:eastAsia="Verdana" w:hAnsi="Verdana"/>
          <w:b/>
          <w:bCs/>
          <w:color w:val="006C88"/>
          <w:sz w:val="20"/>
          <w:szCs w:val="20"/>
        </w:rPr>
        <w:t xml:space="preserve">Server as a Service Standard (B03) – 49,90 € je Server / Monat, 4 Server</w:t>
      </w:r>
    </w:p>
    <w:p>
      <w:pPr>
        <w:spacing w:after="120" w:before="0" w:line="276"/>
      </w:pPr>
      <w:r>
        <w:rPr>
          <w:rFonts w:ascii="Verdana" w:cs="Verdana" w:eastAsia="Verdana" w:hAnsi="Verdana"/>
          <w:sz w:val="18"/>
          <w:szCs w:val="18"/>
        </w:rPr>
        <w:t xml:space="preserve">Stabiler und sicherer technischer Basisbetrieb der vereinbarten Server.</w:t>
      </w:r>
    </w:p>
    <w:p>
      <w:pPr>
        <w:keepNext/>
        <w:spacing w:after="40" w:before="0" w:line="276"/>
      </w:pPr>
      <w:r>
        <w:rPr>
          <w:rFonts w:ascii="Verdana" w:cs="Verdana" w:eastAsia="Verdana" w:hAnsi="Verdana"/>
          <w:b/>
          <w:bCs/>
          <w:sz w:val="18"/>
          <w:szCs w:val="18"/>
        </w:rPr>
        <w:t xml:space="preserve">Enthalten:</w:t>
      </w:r>
    </w:p>
    <w:p>
      <w:pPr>
        <w:pStyle w:val="ListParagraph"/>
        <w:numPr>
          <w:ilvl w:val="0"/>
          <w:numId w:val="2"/>
        </w:numPr>
        <w:spacing w:after="60" w:line="276"/>
      </w:pPr>
      <w:r>
        <w:rPr>
          <w:rFonts w:ascii="Verdana" w:cs="Verdana" w:eastAsia="Verdana" w:hAnsi="Verdana"/>
          <w:sz w:val="18"/>
          <w:szCs w:val="18"/>
        </w:rPr>
        <w:t xml:space="preserve">Endpoint Protection (XDR) &amp; Richtlinienmanagement (S11)</w:t>
      </w:r>
    </w:p>
    <w:p>
      <w:pPr>
        <w:pStyle w:val="ListParagraph"/>
        <w:numPr>
          <w:ilvl w:val="0"/>
          <w:numId w:val="2"/>
        </w:numPr>
        <w:spacing w:after="60" w:line="276"/>
      </w:pPr>
      <w:r>
        <w:rPr>
          <w:rFonts w:ascii="Verdana" w:cs="Verdana" w:eastAsia="Verdana" w:hAnsi="Verdana"/>
          <w:sz w:val="18"/>
          <w:szCs w:val="18"/>
        </w:rPr>
        <w:t xml:space="preserve">Patch Management (S12)</w:t>
      </w:r>
    </w:p>
    <w:p>
      <w:pPr>
        <w:pStyle w:val="ListParagraph"/>
        <w:numPr>
          <w:ilvl w:val="0"/>
          <w:numId w:val="2"/>
        </w:numPr>
        <w:spacing w:after="60" w:line="276"/>
      </w:pPr>
      <w:r>
        <w:rPr>
          <w:rFonts w:ascii="Verdana" w:cs="Verdana" w:eastAsia="Verdana" w:hAnsi="Verdana"/>
          <w:sz w:val="18"/>
          <w:szCs w:val="18"/>
        </w:rPr>
        <w:t xml:space="preserve">Monitoring (S13)</w:t>
      </w:r>
    </w:p>
    <w:p>
      <w:pPr>
        <w:spacing w:after="120" w:before="60" w:line="276"/>
      </w:pPr>
      <w:r>
        <w:rPr>
          <w:rFonts w:ascii="Verdana" w:cs="Verdana" w:eastAsia="Verdana" w:hAnsi="Verdana"/>
          <w:b/>
          <w:bCs/>
          <w:sz w:val="18"/>
          <w:szCs w:val="18"/>
        </w:rPr>
        <w:t xml:space="preserve">Nicht enthalten: </w:t>
      </w:r>
      <w:r>
        <w:rPr>
          <w:rFonts w:ascii="Verdana" w:cs="Verdana" w:eastAsia="Verdana" w:hAnsi="Verdana"/>
          <w:sz w:val="18"/>
          <w:szCs w:val="18"/>
        </w:rPr>
        <w:t xml:space="preserve">Server Backup (S14), Firewall-Betrieb und weitergehende Sicherheitsleistungen.</w:t>
      </w:r>
    </w:p>
    <w:p>
      <w:pPr>
        <w:keepNext/>
        <w:spacing w:after="80" w:before="200"/>
      </w:pPr>
      <w:r>
        <w:rPr>
          <w:rFonts w:ascii="Verdana" w:cs="Verdana" w:eastAsia="Verdana" w:hAnsi="Verdana"/>
          <w:b/>
          <w:bCs/>
          <w:color w:val="006C88"/>
          <w:sz w:val="20"/>
          <w:szCs w:val="20"/>
        </w:rPr>
        <w:t xml:space="preserve">Security as a Service Standard (B05) – 199,90 € pauschal / Monat</w:t>
      </w:r>
    </w:p>
    <w:p>
      <w:pPr>
        <w:spacing w:after="120" w:before="0" w:line="276"/>
      </w:pPr>
      <w:r>
        <w:rPr>
          <w:rFonts w:ascii="Verdana" w:cs="Verdana" w:eastAsia="Verdana" w:hAnsi="Verdana"/>
          <w:sz w:val="18"/>
          <w:szCs w:val="18"/>
        </w:rPr>
        <w:t xml:space="preserve">Zentraler Sicherheitsbetrieb Ihrer wichtigsten Identitäts- und Netzwerkkomponenten.</w:t>
      </w:r>
    </w:p>
    <w:p>
      <w:pPr>
        <w:keepNext/>
        <w:spacing w:after="40" w:before="0" w:line="276"/>
      </w:pPr>
      <w:r>
        <w:rPr>
          <w:rFonts w:ascii="Verdana" w:cs="Verdana" w:eastAsia="Verdana" w:hAnsi="Verdana"/>
          <w:b/>
          <w:bCs/>
          <w:sz w:val="18"/>
          <w:szCs w:val="18"/>
        </w:rPr>
        <w:t xml:space="preserve">Enthalten:</w:t>
      </w:r>
    </w:p>
    <w:p>
      <w:pPr>
        <w:pStyle w:val="ListParagraph"/>
        <w:numPr>
          <w:ilvl w:val="0"/>
          <w:numId w:val="2"/>
        </w:numPr>
        <w:spacing w:after="60" w:line="276"/>
      </w:pPr>
      <w:r>
        <w:rPr>
          <w:rFonts w:ascii="Verdana" w:cs="Verdana" w:eastAsia="Verdana" w:hAnsi="Verdana"/>
          <w:sz w:val="18"/>
          <w:szCs w:val="18"/>
        </w:rPr>
        <w:t xml:space="preserve">Firewall Betrieb &amp; Regelwerksmanagement (S21)</w:t>
      </w:r>
    </w:p>
    <w:p>
      <w:pPr>
        <w:pStyle w:val="ListParagraph"/>
        <w:numPr>
          <w:ilvl w:val="0"/>
          <w:numId w:val="2"/>
        </w:numPr>
        <w:spacing w:after="60" w:line="276"/>
      </w:pPr>
      <w:r>
        <w:rPr>
          <w:rFonts w:ascii="Verdana" w:cs="Verdana" w:eastAsia="Verdana" w:hAnsi="Verdana"/>
          <w:sz w:val="18"/>
          <w:szCs w:val="18"/>
        </w:rPr>
        <w:t xml:space="preserve">M365 Tenant Baseline Management &amp; Audit (S22)</w:t>
      </w:r>
    </w:p>
    <w:p>
      <w:pPr>
        <w:pStyle w:val="ListParagraph"/>
        <w:numPr>
          <w:ilvl w:val="0"/>
          <w:numId w:val="2"/>
        </w:numPr>
        <w:spacing w:after="60" w:line="276"/>
      </w:pPr>
      <w:r>
        <w:rPr>
          <w:rFonts w:ascii="Verdana" w:cs="Verdana" w:eastAsia="Verdana" w:hAnsi="Verdana"/>
          <w:sz w:val="18"/>
          <w:szCs w:val="18"/>
        </w:rPr>
        <w:t xml:space="preserve">AD Baseline &amp; Security Management (S23)</w:t>
      </w:r>
    </w:p>
    <w:p>
      <w:pPr>
        <w:keepNext/>
        <w:spacing w:after="80" w:before="200"/>
      </w:pPr>
      <w:r>
        <w:rPr>
          <w:rFonts w:ascii="Verdana" w:cs="Verdana" w:eastAsia="Verdana" w:hAnsi="Verdana"/>
          <w:b/>
          <w:bCs/>
          <w:color w:val="006C88"/>
          <w:sz w:val="20"/>
          <w:szCs w:val="20"/>
        </w:rPr>
        <w:t xml:space="preserve">Managed Detection and Response (S31) – 49,00 € je User / Monat</w:t>
      </w:r>
    </w:p>
    <w:p>
      <w:pPr>
        <w:spacing w:after="120" w:before="0" w:line="276"/>
      </w:pPr>
      <w:r>
        <w:rPr>
          <w:rFonts w:ascii="Verdana" w:cs="Verdana" w:eastAsia="Verdana" w:hAnsi="Verdana"/>
          <w:sz w:val="18"/>
          <w:szCs w:val="18"/>
        </w:rPr>
        <w:t xml:space="preserve">Fortlaufende Erkennung von und Reaktion auf Sicherheitsvorfälle rund um die Uhr durch spezialisierte Analysten.</w:t>
      </w:r>
    </w:p>
    <w:p>
      <w:pPr>
        <w:keepNext/>
        <w:spacing w:after="40" w:before="0" w:line="276"/>
      </w:pPr>
      <w:r>
        <w:rPr>
          <w:rFonts w:ascii="Verdana" w:cs="Verdana" w:eastAsia="Verdana" w:hAnsi="Verdana"/>
          <w:b/>
          <w:bCs/>
          <w:sz w:val="18"/>
          <w:szCs w:val="18"/>
        </w:rPr>
        <w:t xml:space="preserve">Enthalten:</w:t>
      </w:r>
    </w:p>
    <w:p>
      <w:pPr>
        <w:pStyle w:val="ListParagraph"/>
        <w:numPr>
          <w:ilvl w:val="0"/>
          <w:numId w:val="2"/>
        </w:numPr>
        <w:spacing w:after="60" w:line="276"/>
      </w:pPr>
      <w:r>
        <w:rPr>
          <w:rFonts w:ascii="Verdana" w:cs="Verdana" w:eastAsia="Verdana" w:hAnsi="Verdana"/>
          <w:sz w:val="18"/>
          <w:szCs w:val="18"/>
        </w:rPr>
        <w:t xml:space="preserve">24/7-Überwachung und Bewertung sicherheitsrelevanter Ereignisse</w:t>
      </w:r>
    </w:p>
    <w:p>
      <w:pPr>
        <w:pStyle w:val="ListParagraph"/>
        <w:numPr>
          <w:ilvl w:val="0"/>
          <w:numId w:val="2"/>
        </w:numPr>
        <w:spacing w:after="60" w:line="276"/>
      </w:pPr>
      <w:r>
        <w:rPr>
          <w:rFonts w:ascii="Verdana" w:cs="Verdana" w:eastAsia="Verdana" w:hAnsi="Verdana"/>
          <w:sz w:val="18"/>
          <w:szCs w:val="18"/>
        </w:rPr>
        <w:t xml:space="preserve">Aktive Reaktion auf erkannte Bedrohungen</w:t>
      </w:r>
    </w:p>
    <w:p>
      <w:pPr>
        <w:keepNext/>
        <w:spacing w:after="80" w:before="200"/>
      </w:pPr>
      <w:r>
        <w:rPr>
          <w:rFonts w:ascii="Verdana" w:cs="Verdana" w:eastAsia="Verdana" w:hAnsi="Verdana"/>
          <w:b/>
          <w:bCs/>
          <w:color w:val="006C88"/>
          <w:sz w:val="20"/>
          <w:szCs w:val="20"/>
        </w:rPr>
        <w:t xml:space="preserve">Security Awareness Training (S32) – 11,90 € je User / Monat</w:t>
      </w:r>
    </w:p>
    <w:p>
      <w:pPr>
        <w:spacing w:after="120" w:before="0" w:line="276"/>
      </w:pPr>
      <w:r>
        <w:rPr>
          <w:rFonts w:ascii="Verdana" w:cs="Verdana" w:eastAsia="Verdana" w:hAnsi="Verdana"/>
          <w:sz w:val="18"/>
          <w:szCs w:val="18"/>
        </w:rPr>
        <w:t xml:space="preserve">Schulungen und Phishing-Simulationen, die Ihre Mitarbeitenden für Angriffe sensibilisieren.</w:t>
      </w:r>
    </w:p>
    <w:p>
      <w:pPr>
        <w:keepNext/>
        <w:spacing w:after="40" w:before="0" w:line="276"/>
      </w:pPr>
      <w:r>
        <w:rPr>
          <w:rFonts w:ascii="Verdana" w:cs="Verdana" w:eastAsia="Verdana" w:hAnsi="Verdana"/>
          <w:b/>
          <w:bCs/>
          <w:sz w:val="18"/>
          <w:szCs w:val="18"/>
        </w:rPr>
        <w:t xml:space="preserve">Enthalten:</w:t>
      </w:r>
    </w:p>
    <w:p>
      <w:pPr>
        <w:pStyle w:val="ListParagraph"/>
        <w:numPr>
          <w:ilvl w:val="0"/>
          <w:numId w:val="2"/>
        </w:numPr>
        <w:spacing w:after="60" w:line="276"/>
      </w:pPr>
      <w:r>
        <w:rPr>
          <w:rFonts w:ascii="Verdana" w:cs="Verdana" w:eastAsia="Verdana" w:hAnsi="Verdana"/>
          <w:sz w:val="18"/>
          <w:szCs w:val="18"/>
        </w:rPr>
        <w:t xml:space="preserve">Regelmäßige Phishing-Simulationen</w:t>
      </w:r>
    </w:p>
    <w:p>
      <w:pPr>
        <w:pStyle w:val="ListParagraph"/>
        <w:numPr>
          <w:ilvl w:val="0"/>
          <w:numId w:val="2"/>
        </w:numPr>
        <w:spacing w:after="60" w:line="276"/>
      </w:pPr>
      <w:r>
        <w:rPr>
          <w:rFonts w:ascii="Verdana" w:cs="Verdana" w:eastAsia="Verdana" w:hAnsi="Verdana"/>
          <w:sz w:val="18"/>
          <w:szCs w:val="18"/>
        </w:rPr>
        <w:t xml:space="preserve">E-Learning-Module und Auswertung</w:t>
      </w:r>
    </w:p>
    <w:p>
      <w:pPr>
        <w:keepNext/>
        <w:spacing w:after="80" w:before="200"/>
      </w:pPr>
      <w:r>
        <w:rPr>
          <w:rFonts w:ascii="Verdana" w:cs="Verdana" w:eastAsia="Verdana" w:hAnsi="Verdana"/>
          <w:b/>
          <w:bCs/>
          <w:color w:val="006C88"/>
          <w:sz w:val="20"/>
          <w:szCs w:val="20"/>
        </w:rPr>
        <w:t xml:space="preserve">Supportkontingent (S60) – 30,38 € je AE, 12 AE / Monat</w:t>
      </w:r>
    </w:p>
    <w:p>
      <w:pPr>
        <w:spacing w:after="120" w:before="0" w:line="276"/>
      </w:pPr>
      <w:r>
        <w:rPr>
          <w:rFonts w:ascii="Verdana" w:cs="Verdana" w:eastAsia="Verdana" w:hAnsi="Verdana"/>
          <w:sz w:val="18"/>
          <w:szCs w:val="18"/>
        </w:rPr>
        <w:t xml:space="preserve">Planbare, vergünstigte Supportzeit für Service Requests. Betrieb und Störungsbehebung sind ohnehin inklusive.</w:t>
      </w:r>
    </w:p>
    <w:p>
      <w:pPr>
        <w:keepNext/>
        <w:spacing w:after="40" w:before="0" w:line="276"/>
      </w:pPr>
      <w:r>
        <w:rPr>
          <w:rFonts w:ascii="Verdana" w:cs="Verdana" w:eastAsia="Verdana" w:hAnsi="Verdana"/>
          <w:b/>
          <w:bCs/>
          <w:sz w:val="18"/>
          <w:szCs w:val="18"/>
        </w:rPr>
        <w:t xml:space="preserve">Enthalten:</w:t>
      </w:r>
    </w:p>
    <w:p>
      <w:pPr>
        <w:pStyle w:val="ListParagraph"/>
        <w:numPr>
          <w:ilvl w:val="0"/>
          <w:numId w:val="2"/>
        </w:numPr>
        <w:spacing w:after="60" w:line="276"/>
      </w:pPr>
      <w:r>
        <w:rPr>
          <w:rFonts w:ascii="Verdana" w:cs="Verdana" w:eastAsia="Verdana" w:hAnsi="Verdana"/>
          <w:sz w:val="18"/>
          <w:szCs w:val="18"/>
        </w:rPr>
        <w:t xml:space="preserve">12 Abrechnungseinheiten (3 Stunden) pro Monat zum Vorzugssatz (10 % unter Standardsatz)</w:t>
      </w:r>
    </w:p>
    <w:p>
      <w:pPr>
        <w:pStyle w:val="ListParagraph"/>
        <w:numPr>
          <w:ilvl w:val="0"/>
          <w:numId w:val="2"/>
        </w:numPr>
        <w:spacing w:after="60" w:line="276"/>
      </w:pPr>
      <w:r>
        <w:rPr>
          <w:rFonts w:ascii="Verdana" w:cs="Verdana" w:eastAsia="Verdana" w:hAnsi="Verdana"/>
          <w:sz w:val="18"/>
          <w:szCs w:val="18"/>
        </w:rPr>
        <w:t xml:space="preserve">Übertrag nicht genutzter Einheiten innerhalb des Kalenderjahres</w:t>
      </w:r>
    </w:p>
    <w:p>
      <w:pPr>
        <w:pStyle w:val="ListParagraph"/>
        <w:numPr>
          <w:ilvl w:val="0"/>
          <w:numId w:val="2"/>
        </w:numPr>
        <w:spacing w:after="60" w:line="276"/>
      </w:pPr>
      <w:r>
        <w:rPr>
          <w:rFonts w:ascii="Verdana" w:cs="Verdana" w:eastAsia="Verdana" w:hAnsi="Verdana"/>
          <w:sz w:val="18"/>
          <w:szCs w:val="18"/>
        </w:rPr>
        <w:t xml:space="preserve">Verbrauch über das Kontingent hinaus zum Standardsatz</w:t>
      </w:r>
    </w:p>
    <w:p>
      <w:r>
        <w:br w:type="page"/>
      </w:r>
    </w:p>
    <w:p>
      <w:pPr>
        <w:keepNext/>
        <w:pBdr>
          <w:bottom w:val="single" w:color="EE7F00" w:sz="8" w:space="4"/>
        </w:pBdr>
        <w:spacing w:after="160" w:before="360"/>
      </w:pPr>
      <w:r>
        <w:rPr>
          <w:rFonts w:ascii="Verdana" w:cs="Verdana" w:eastAsia="Verdana" w:hAnsi="Verdana"/>
          <w:b/>
          <w:bCs/>
          <w:color w:val="006C88"/>
          <w:sz w:val="26"/>
          <w:szCs w:val="26"/>
        </w:rPr>
        <w:t xml:space="preserve">4. Preisübersicht</w:t>
      </w:r>
    </w:p>
    <w:p>
      <w:pPr>
        <w:keepNext/>
        <w:spacing w:after="80" w:before="200"/>
      </w:pPr>
      <w:r>
        <w:rPr>
          <w:rFonts w:ascii="Verdana" w:cs="Verdana" w:eastAsia="Verdana" w:hAnsi="Verdana"/>
          <w:b/>
          <w:bCs/>
          <w:color w:val="006C88"/>
          <w:sz w:val="20"/>
          <w:szCs w:val="20"/>
        </w:rPr>
        <w:t xml:space="preserve">Laufende Kosten (monatlich)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738"/>
        <w:gridCol w:w="1300"/>
        <w:gridCol w:w="900"/>
        <w:gridCol w:w="1450"/>
        <w:gridCol w:w="1450"/>
      </w:tblGrid>
      <w:tr>
        <w:trPr>
          <w:tblHeader/>
        </w:trPr>
        <w:tc>
          <w:tcPr>
            <w:tcW w:type="dxa" w:w="80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left"/>
            </w:pPr>
            <w:r>
              <w:rPr>
                <w:rFonts w:ascii="Verdana" w:cs="Verdana" w:eastAsia="Verdana" w:hAnsi="Verdana"/>
                <w:b/>
                <w:bCs/>
                <w:color w:val="FFFFFF"/>
                <w:sz w:val="17"/>
                <w:szCs w:val="17"/>
              </w:rPr>
              <w:t xml:space="preserve">Nr.</w:t>
            </w:r>
          </w:p>
        </w:tc>
        <w:tc>
          <w:tcPr>
            <w:tcW w:type="dxa" w:w="3738"/>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left"/>
            </w:pPr>
            <w:r>
              <w:rPr>
                <w:rFonts w:ascii="Verdana" w:cs="Verdana" w:eastAsia="Verdana" w:hAnsi="Verdana"/>
                <w:b/>
                <w:bCs/>
                <w:color w:val="FFFFFF"/>
                <w:sz w:val="17"/>
                <w:szCs w:val="17"/>
              </w:rPr>
              <w:t xml:space="preserve">Leistung</w:t>
            </w:r>
          </w:p>
        </w:tc>
        <w:tc>
          <w:tcPr>
            <w:tcW w:type="dxa" w:w="130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left"/>
            </w:pPr>
            <w:r>
              <w:rPr>
                <w:rFonts w:ascii="Verdana" w:cs="Verdana" w:eastAsia="Verdana" w:hAnsi="Verdana"/>
                <w:b/>
                <w:bCs/>
                <w:color w:val="FFFFFF"/>
                <w:sz w:val="17"/>
                <w:szCs w:val="17"/>
              </w:rPr>
              <w:t xml:space="preserve">Einheit</w:t>
            </w:r>
          </w:p>
        </w:tc>
        <w:tc>
          <w:tcPr>
            <w:tcW w:type="dxa" w:w="90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right"/>
            </w:pPr>
            <w:r>
              <w:rPr>
                <w:rFonts w:ascii="Verdana" w:cs="Verdana" w:eastAsia="Verdana" w:hAnsi="Verdana"/>
                <w:b/>
                <w:bCs/>
                <w:color w:val="FFFFFF"/>
                <w:sz w:val="17"/>
                <w:szCs w:val="17"/>
              </w:rPr>
              <w:t xml:space="preserve">Menge</w:t>
            </w:r>
          </w:p>
        </w:tc>
        <w:tc>
          <w:tcPr>
            <w:tcW w:type="dxa" w:w="145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right"/>
            </w:pPr>
            <w:r>
              <w:rPr>
                <w:rFonts w:ascii="Verdana" w:cs="Verdana" w:eastAsia="Verdana" w:hAnsi="Verdana"/>
                <w:b/>
                <w:bCs/>
                <w:color w:val="FFFFFF"/>
                <w:sz w:val="17"/>
                <w:szCs w:val="17"/>
              </w:rPr>
              <w:t xml:space="preserve">Einzelpreis</w:t>
            </w:r>
          </w:p>
        </w:tc>
        <w:tc>
          <w:tcPr>
            <w:tcW w:type="dxa" w:w="1450"/>
            <w:tcBorders>
              <w:top w:val="single" w:color="D0D7DA" w:sz="4"/>
              <w:left w:val="none" w:color="FFFFFF" w:sz="0"/>
              <w:bottom w:val="single" w:color="D0D7DA" w:sz="4"/>
              <w:right w:val="none" w:color="FFFFFF" w:sz="0"/>
            </w:tcBorders>
            <w:shd w:fill="006C88" w:color="auto" w:val="clear"/>
            <w:tcMar>
              <w:top w:type="dxa" w:w="70"/>
              <w:left w:type="dxa" w:w="100"/>
              <w:bottom w:type="dxa" w:w="70"/>
              <w:right w:type="dxa" w:w="100"/>
            </w:tcMar>
            <w:vAlign w:val="center"/>
          </w:tcPr>
          <w:p>
            <w:pPr>
              <w:jc w:val="right"/>
            </w:pPr>
            <w:r>
              <w:rPr>
                <w:rFonts w:ascii="Verdana" w:cs="Verdana" w:eastAsia="Verdana" w:hAnsi="Verdana"/>
                <w:b/>
                <w:bCs/>
                <w:color w:val="FFFFFF"/>
                <w:sz w:val="17"/>
                <w:szCs w:val="17"/>
              </w:rPr>
              <w:t xml:space="preserve">Monatlich</w:t>
            </w:r>
          </w:p>
        </w:tc>
      </w:tr>
      <w:tr>
        <w:tc>
          <w:tcPr>
            <w:tcW w:type="dxa" w:w="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S01</w:t>
            </w:r>
          </w:p>
        </w:tc>
        <w:tc>
          <w:tcPr>
            <w:tcW w:type="dxa" w:w="37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Nösse Connect Premium</w:t>
            </w:r>
          </w:p>
        </w:tc>
        <w:tc>
          <w:tcPr>
            <w:tcW w:type="dxa" w:w="13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pauschal</w:t>
            </w:r>
          </w:p>
        </w:tc>
        <w:tc>
          <w:tcPr>
            <w:tcW w:type="dxa" w:w="9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1</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699,00 €</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699,00 €</w:t>
            </w:r>
          </w:p>
        </w:tc>
      </w:tr>
      <w:tr>
        <w:tc>
          <w:tcPr>
            <w:tcW w:type="dxa" w:w="8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B02</w:t>
            </w:r>
          </w:p>
        </w:tc>
        <w:tc>
          <w:tcPr>
            <w:tcW w:type="dxa" w:w="37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User as a Service Premium</w:t>
            </w:r>
          </w:p>
        </w:tc>
        <w:tc>
          <w:tcPr>
            <w:tcW w:type="dxa" w:w="13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je User</w:t>
            </w:r>
          </w:p>
        </w:tc>
        <w:tc>
          <w:tcPr>
            <w:tcW w:type="dxa" w:w="9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40</w:t>
            </w:r>
          </w:p>
        </w:tc>
        <w:tc>
          <w:tcPr>
            <w:tcW w:type="dxa" w:w="145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54,90 €</w:t>
            </w:r>
          </w:p>
        </w:tc>
        <w:tc>
          <w:tcPr>
            <w:tcW w:type="dxa" w:w="145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2.196,00 €</w:t>
            </w:r>
          </w:p>
        </w:tc>
      </w:tr>
      <w:tr>
        <w:tc>
          <w:tcPr>
            <w:tcW w:type="dxa" w:w="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B03</w:t>
            </w:r>
          </w:p>
        </w:tc>
        <w:tc>
          <w:tcPr>
            <w:tcW w:type="dxa" w:w="37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Server as a Service Standard</w:t>
            </w:r>
          </w:p>
        </w:tc>
        <w:tc>
          <w:tcPr>
            <w:tcW w:type="dxa" w:w="13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je Server</w:t>
            </w:r>
          </w:p>
        </w:tc>
        <w:tc>
          <w:tcPr>
            <w:tcW w:type="dxa" w:w="9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4</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49,90 €</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199,60 €</w:t>
            </w:r>
          </w:p>
        </w:tc>
      </w:tr>
      <w:tr>
        <w:tc>
          <w:tcPr>
            <w:tcW w:type="dxa" w:w="8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B05</w:t>
            </w:r>
          </w:p>
        </w:tc>
        <w:tc>
          <w:tcPr>
            <w:tcW w:type="dxa" w:w="37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Security as a Service Standard</w:t>
            </w:r>
          </w:p>
        </w:tc>
        <w:tc>
          <w:tcPr>
            <w:tcW w:type="dxa" w:w="13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pauschal</w:t>
            </w:r>
          </w:p>
        </w:tc>
        <w:tc>
          <w:tcPr>
            <w:tcW w:type="dxa" w:w="9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1</w:t>
            </w:r>
          </w:p>
        </w:tc>
        <w:tc>
          <w:tcPr>
            <w:tcW w:type="dxa" w:w="145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199,90 €</w:t>
            </w:r>
          </w:p>
        </w:tc>
        <w:tc>
          <w:tcPr>
            <w:tcW w:type="dxa" w:w="145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199,90 €</w:t>
            </w:r>
          </w:p>
        </w:tc>
      </w:tr>
      <w:tr>
        <w:tc>
          <w:tcPr>
            <w:tcW w:type="dxa" w:w="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S31</w:t>
            </w:r>
          </w:p>
        </w:tc>
        <w:tc>
          <w:tcPr>
            <w:tcW w:type="dxa" w:w="37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Managed Detection and Response (MDR)</w:t>
            </w:r>
          </w:p>
        </w:tc>
        <w:tc>
          <w:tcPr>
            <w:tcW w:type="dxa" w:w="13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je User</w:t>
            </w:r>
          </w:p>
        </w:tc>
        <w:tc>
          <w:tcPr>
            <w:tcW w:type="dxa" w:w="9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40</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49,00 €</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1.960,00 €</w:t>
            </w:r>
          </w:p>
        </w:tc>
      </w:tr>
      <w:tr>
        <w:tc>
          <w:tcPr>
            <w:tcW w:type="dxa" w:w="8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S32</w:t>
            </w:r>
          </w:p>
        </w:tc>
        <w:tc>
          <w:tcPr>
            <w:tcW w:type="dxa" w:w="37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Security Awareness Training</w:t>
            </w:r>
          </w:p>
        </w:tc>
        <w:tc>
          <w:tcPr>
            <w:tcW w:type="dxa" w:w="13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je User</w:t>
            </w:r>
          </w:p>
        </w:tc>
        <w:tc>
          <w:tcPr>
            <w:tcW w:type="dxa" w:w="9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40</w:t>
            </w:r>
          </w:p>
        </w:tc>
        <w:tc>
          <w:tcPr>
            <w:tcW w:type="dxa" w:w="145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11,90 €</w:t>
            </w:r>
          </w:p>
        </w:tc>
        <w:tc>
          <w:tcPr>
            <w:tcW w:type="dxa" w:w="145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sz w:val="17"/>
                <w:szCs w:val="17"/>
              </w:rPr>
              <w:t xml:space="preserve">476,00 €</w:t>
            </w:r>
          </w:p>
        </w:tc>
      </w:tr>
      <w:tr>
        <w:tc>
          <w:tcPr>
            <w:tcW w:type="dxa" w:w="8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S60</w:t>
            </w:r>
          </w:p>
        </w:tc>
        <w:tc>
          <w:tcPr>
            <w:tcW w:type="dxa" w:w="37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Supportkontingent (12 AE = 3 Std./Monat)</w:t>
            </w:r>
          </w:p>
        </w:tc>
        <w:tc>
          <w:tcPr>
            <w:tcW w:type="dxa" w:w="13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je AE</w:t>
            </w:r>
          </w:p>
        </w:tc>
        <w:tc>
          <w:tcPr>
            <w:tcW w:type="dxa" w:w="9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12</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30,38 €</w:t>
            </w:r>
          </w:p>
        </w:tc>
        <w:tc>
          <w:tcPr>
            <w:tcW w:type="dxa" w:w="145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right"/>
            </w:pPr>
            <w:r>
              <w:rPr>
                <w:rFonts w:ascii="Verdana" w:cs="Verdana" w:eastAsia="Verdana" w:hAnsi="Verdana"/>
                <w:sz w:val="17"/>
                <w:szCs w:val="17"/>
              </w:rPr>
              <w:t xml:space="preserve">364,56 €</w:t>
            </w:r>
          </w:p>
        </w:tc>
      </w:tr>
      <w:tr>
        <w:tc>
          <w:tcPr>
            <w:tcW w:type="dxa" w:w="80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
            </w:r>
          </w:p>
        </w:tc>
        <w:tc>
          <w:tcPr>
            <w:tcW w:type="dxa" w:w="3738"/>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sz w:val="17"/>
                <w:szCs w:val="17"/>
              </w:rPr>
              <w:t xml:space="preserve">Summe monatlich netto</w:t>
            </w:r>
          </w:p>
        </w:tc>
        <w:tc>
          <w:tcPr>
            <w:tcW w:type="dxa" w:w="130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
            </w:r>
          </w:p>
        </w:tc>
        <w:tc>
          <w:tcPr>
            <w:tcW w:type="dxa" w:w="90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
            </w:r>
          </w:p>
        </w:tc>
        <w:tc>
          <w:tcPr>
            <w:tcW w:type="dxa" w:w="145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
            </w:r>
          </w:p>
        </w:tc>
        <w:tc>
          <w:tcPr>
            <w:tcW w:type="dxa" w:w="1450"/>
            <w:tcBorders>
              <w:top w:val="single" w:color="006C88" w:sz="12"/>
              <w:left w:val="none" w:color="FFFFFF" w:sz="0"/>
              <w:bottom w:val="single" w:color="D0D7DA" w:sz="4"/>
              <w:right w:val="none" w:color="FFFFFF" w:sz="0"/>
            </w:tcBorders>
            <w:tcMar>
              <w:top w:type="dxa" w:w="70"/>
              <w:left w:type="dxa" w:w="100"/>
              <w:bottom w:type="dxa" w:w="70"/>
              <w:right w:type="dxa" w:w="100"/>
            </w:tcMar>
            <w:vAlign w:val="center"/>
          </w:tcPr>
          <w:p>
            <w:pPr>
              <w:jc w:val="right"/>
            </w:pPr>
            <w:r>
              <w:rPr>
                <w:rFonts w:ascii="Verdana" w:cs="Verdana" w:eastAsia="Verdana" w:hAnsi="Verdana"/>
                <w:b/>
                <w:bCs/>
                <w:sz w:val="17"/>
                <w:szCs w:val="17"/>
              </w:rPr>
              <w:t xml:space="preserve">6.095,06 €</w:t>
            </w:r>
          </w:p>
        </w:tc>
      </w:tr>
    </w:tbl>
    <w:p>
      <w:pPr>
        <w:keepNext/>
        <w:spacing w:after="80" w:before="200"/>
      </w:pPr>
      <w:r>
        <w:rPr>
          <w:rFonts w:ascii="Verdana" w:cs="Verdana" w:eastAsia="Verdana" w:hAnsi="Verdana"/>
          <w:b/>
          <w:bCs/>
          <w:color w:val="006C88"/>
          <w:sz w:val="20"/>
          <w:szCs w:val="20"/>
        </w:rPr>
        <w:t xml:space="preserve">Einmalige Kosten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Onboarding-Pauschale</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2.000,00 € netto (Nösse Connect Premium, Größe S: 31–100 User)</w:t>
            </w:r>
          </w:p>
        </w:tc>
      </w:tr>
    </w:tbl>
    <w:p>
      <w:pPr>
        <w:keepNext/>
        <w:spacing w:after="80" w:before="200"/>
      </w:pPr>
      <w:r>
        <w:rPr>
          <w:rFonts w:ascii="Verdana" w:cs="Verdana" w:eastAsia="Verdana" w:hAnsi="Verdana"/>
          <w:b/>
          <w:bCs/>
          <w:color w:val="006C88"/>
          <w:sz w:val="20"/>
          <w:szCs w:val="20"/>
        </w:rPr>
        <w:t xml:space="preserve">Kennzahlen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638"/>
      </w:tblGrid>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Jahreswert laufend</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73.140,72 € netto</w:t>
            </w:r>
          </w:p>
        </w:tc>
      </w:tr>
      <w:tr>
        <w:tc>
          <w:tcPr>
            <w:tcW w:type="dxa" w:w="3000"/>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Erstlaufzeit (12 Monate) inkl. Onboarding</w:t>
            </w:r>
          </w:p>
        </w:tc>
        <w:tc>
          <w:tcPr>
            <w:tcW w:type="dxa" w:w="6638"/>
            <w:tcBorders>
              <w:top w:val="single" w:color="D0D7DA" w:sz="4"/>
              <w:left w:val="none" w:color="FFFFFF" w:sz="0"/>
              <w:bottom w:val="single" w:color="D0D7DA" w:sz="4"/>
              <w:right w:val="none" w:color="FFFFFF" w:sz="0"/>
            </w:tcBorders>
            <w:tcMar>
              <w:top w:type="dxa" w:w="70"/>
              <w:left w:type="dxa" w:w="100"/>
              <w:bottom w:type="dxa" w:w="70"/>
              <w:right w:type="dxa" w:w="100"/>
            </w:tcMar>
            <w:vAlign w:val="center"/>
          </w:tcPr>
          <w:p>
            <w:pPr>
              <w:jc w:val="left"/>
            </w:pPr>
            <w:r>
              <w:rPr>
                <w:rFonts w:ascii="Verdana" w:cs="Verdana" w:eastAsia="Verdana" w:hAnsi="Verdana"/>
                <w:sz w:val="17"/>
                <w:szCs w:val="17"/>
              </w:rPr>
              <w:t xml:space="preserve">75.140,72 € netto</w:t>
            </w:r>
          </w:p>
        </w:tc>
      </w:tr>
      <w:tr>
        <w:tc>
          <w:tcPr>
            <w:tcW w:type="dxa" w:w="3000"/>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b/>
                <w:bCs/>
                <w:color w:val="006C88"/>
                <w:sz w:val="17"/>
                <w:szCs w:val="17"/>
              </w:rPr>
              <w:t xml:space="preserve">Ihr Bundle-Vorteil (B02, B03)</w:t>
            </w:r>
          </w:p>
        </w:tc>
        <w:tc>
          <w:tcPr>
            <w:tcW w:type="dxa" w:w="6638"/>
            <w:tcBorders>
              <w:top w:val="single" w:color="D0D7DA" w:sz="4"/>
              <w:left w:val="none" w:color="FFFFFF" w:sz="0"/>
              <w:bottom w:val="single" w:color="D0D7DA" w:sz="4"/>
              <w:right w:val="none" w:color="FFFFFF" w:sz="0"/>
            </w:tcBorders>
            <w:shd w:fill="E6F0F3" w:color="auto" w:val="clear"/>
            <w:tcMar>
              <w:top w:type="dxa" w:w="70"/>
              <w:left w:type="dxa" w:w="100"/>
              <w:bottom w:type="dxa" w:w="70"/>
              <w:right w:type="dxa" w:w="100"/>
            </w:tcMar>
            <w:vAlign w:val="center"/>
          </w:tcPr>
          <w:p>
            <w:pPr>
              <w:jc w:val="left"/>
            </w:pPr>
            <w:r>
              <w:rPr>
                <w:rFonts w:ascii="Verdana" w:cs="Verdana" w:eastAsia="Verdana" w:hAnsi="Verdana"/>
                <w:sz w:val="17"/>
                <w:szCs w:val="17"/>
              </w:rPr>
              <w:t xml:space="preserve">583,20 € monatlich gegenüber Einzelbuchung</w:t>
            </w:r>
          </w:p>
        </w:tc>
      </w:tr>
    </w:tbl>
    <w:p>
      <w:pPr>
        <w:spacing w:after="120" w:before="80" w:line="276"/>
      </w:pPr>
      <w:r>
        <w:rPr>
          <w:rFonts w:ascii="Verdana" w:cs="Verdana" w:eastAsia="Verdana" w:hAnsi="Verdana"/>
          <w:color w:val="737373"/>
          <w:sz w:val="15"/>
          <w:szCs w:val="15"/>
        </w:rPr>
        <w:t xml:space="preserve">Alle Preise netto zzgl. gesetzlicher Umsatzsteuer.</w:t>
      </w:r>
    </w:p>
    <w:p>
      <w:pPr>
        <w:keepNext/>
        <w:pBdr>
          <w:bottom w:val="single" w:color="EE7F00" w:sz="8" w:space="4"/>
        </w:pBdr>
        <w:spacing w:after="160" w:before="360"/>
      </w:pPr>
      <w:r>
        <w:rPr>
          <w:rFonts w:ascii="Verdana" w:cs="Verdana" w:eastAsia="Verdana" w:hAnsi="Verdana"/>
          <w:b/>
          <w:bCs/>
          <w:color w:val="006C88"/>
          <w:sz w:val="26"/>
          <w:szCs w:val="26"/>
        </w:rPr>
        <w:t xml:space="preserve">5. Vertraglicher Rahmen</w:t>
      </w:r>
    </w:p>
    <w:p>
      <w:pPr>
        <w:pStyle w:val="ListParagraph"/>
        <w:numPr>
          <w:ilvl w:val="0"/>
          <w:numId w:val="2"/>
        </w:numPr>
        <w:spacing w:after="60" w:line="276"/>
      </w:pPr>
      <w:r>
        <w:rPr>
          <w:rFonts w:ascii="Verdana" w:cs="Verdana" w:eastAsia="Verdana" w:hAnsi="Verdana"/>
          <w:b/>
          <w:bCs/>
          <w:sz w:val="18"/>
          <w:szCs w:val="18"/>
        </w:rPr>
        <w:t xml:space="preserve">Laufzeit: </w:t>
      </w:r>
      <w:r>
        <w:rPr>
          <w:rFonts w:ascii="Verdana" w:cs="Verdana" w:eastAsia="Verdana" w:hAnsi="Verdana"/>
          <w:sz w:val="18"/>
          <w:szCs w:val="18"/>
        </w:rPr>
        <w:t xml:space="preserve">12 Monate ab Servicebeginn; Verlängerung um jeweils 12 Monate, sofern nicht mit einer Frist von 3 Monaten zum Laufzeitende gekündigt wird.</w:t>
      </w:r>
    </w:p>
    <w:p>
      <w:pPr>
        <w:pStyle w:val="ListParagraph"/>
        <w:numPr>
          <w:ilvl w:val="0"/>
          <w:numId w:val="2"/>
        </w:numPr>
        <w:spacing w:after="60" w:line="276"/>
      </w:pPr>
      <w:r>
        <w:rPr>
          <w:rFonts w:ascii="Verdana" w:cs="Verdana" w:eastAsia="Verdana" w:hAnsi="Verdana"/>
          <w:b/>
          <w:bCs/>
          <w:sz w:val="18"/>
          <w:szCs w:val="18"/>
        </w:rPr>
        <w:t xml:space="preserve">Abrechnung: </w:t>
      </w:r>
      <w:r>
        <w:rPr>
          <w:rFonts w:ascii="Verdana" w:cs="Verdana" w:eastAsia="Verdana" w:hAnsi="Verdana"/>
          <w:sz w:val="18"/>
          <w:szCs w:val="18"/>
        </w:rPr>
        <w:t xml:space="preserve">monatlich im Voraus, Zahlungsziel 14 Tage netto. Mengenänderungen werden anteilig abgerechnet.</w:t>
      </w:r>
    </w:p>
    <w:p>
      <w:pPr>
        <w:pStyle w:val="ListParagraph"/>
        <w:numPr>
          <w:ilvl w:val="0"/>
          <w:numId w:val="2"/>
        </w:numPr>
        <w:spacing w:after="60" w:line="276"/>
      </w:pPr>
      <w:r>
        <w:rPr>
          <w:rFonts w:ascii="Verdana" w:cs="Verdana" w:eastAsia="Verdana" w:hAnsi="Verdana"/>
          <w:b/>
          <w:bCs/>
          <w:sz w:val="18"/>
          <w:szCs w:val="18"/>
        </w:rPr>
        <w:t xml:space="preserve">Service Requests: </w:t>
      </w:r>
      <w:r>
        <w:rPr>
          <w:rFonts w:ascii="Verdana" w:cs="Verdana" w:eastAsia="Verdana" w:hAnsi="Verdana"/>
          <w:sz w:val="18"/>
          <w:szCs w:val="18"/>
        </w:rPr>
        <w:t xml:space="preserve">Betrieb und Störungsbehebung an den betreuten Systemen sind inklusive. Veränderungen und neue Leistungen werden nach Aufwand in Abrechnungseinheiten (1 AE = 15 Minuten) berechnet: Ebene 1: 23,75 € · Ebene 2 (Standard): 33,75 € · Ebene 3: 42,50 € je AE.</w:t>
      </w:r>
    </w:p>
    <w:p>
      <w:pPr>
        <w:pStyle w:val="ListParagraph"/>
        <w:numPr>
          <w:ilvl w:val="0"/>
          <w:numId w:val="2"/>
        </w:numPr>
        <w:spacing w:after="60" w:line="276"/>
      </w:pPr>
      <w:r>
        <w:rPr>
          <w:rFonts w:ascii="Verdana" w:cs="Verdana" w:eastAsia="Verdana" w:hAnsi="Verdana"/>
          <w:b/>
          <w:bCs/>
          <w:sz w:val="18"/>
          <w:szCs w:val="18"/>
        </w:rPr>
        <w:t xml:space="preserve">Mengenanpassung: </w:t>
      </w:r>
      <w:r>
        <w:rPr>
          <w:rFonts w:ascii="Verdana" w:cs="Verdana" w:eastAsia="Verdana" w:hAnsi="Verdana"/>
          <w:sz w:val="18"/>
          <w:szCs w:val="18"/>
        </w:rPr>
        <w:t xml:space="preserve">Erhöhungen jederzeit zum nächsten Monatsersten; Reduktionen einmal je Quartal um bis zu 10 %.</w:t>
      </w:r>
    </w:p>
    <w:p>
      <w:pPr>
        <w:keepNext/>
        <w:spacing w:after="80" w:before="200"/>
      </w:pPr>
      <w:r>
        <w:rPr>
          <w:rFonts w:ascii="Verdana" w:cs="Verdana" w:eastAsia="Verdana" w:hAnsi="Verdana"/>
          <w:b/>
          <w:bCs/>
          <w:color w:val="006C88"/>
          <w:sz w:val="20"/>
          <w:szCs w:val="20"/>
        </w:rPr>
        <w:t xml:space="preserve">Vertragsbestandteile</w:t>
      </w:r>
    </w:p>
    <w:p>
      <w:pPr>
        <w:spacing w:after="120" w:before="0" w:line="276"/>
      </w:pPr>
      <w:r>
        <w:rPr>
          <w:rFonts w:ascii="Verdana" w:cs="Verdana" w:eastAsia="Verdana" w:hAnsi="Verdana"/>
          <w:sz w:val="18"/>
          <w:szCs w:val="18"/>
        </w:rPr>
        <w:t xml:space="preserve">Mit Beauftragung werden folgende Dokumente Bestandteil des Managed-Services-Vertrags:</w:t>
      </w:r>
    </w:p>
    <w:p>
      <w:pPr>
        <w:pStyle w:val="ListParagraph"/>
        <w:numPr>
          <w:ilvl w:val="0"/>
          <w:numId w:val="2"/>
        </w:numPr>
        <w:spacing w:after="60" w:line="276"/>
      </w:pPr>
      <w:r>
        <w:rPr>
          <w:rFonts w:ascii="Verdana" w:cs="Verdana" w:eastAsia="Verdana" w:hAnsi="Verdana"/>
          <w:sz w:val="18"/>
          <w:szCs w:val="18"/>
        </w:rPr>
        <w:t xml:space="preserve">Auftragsverarbeitungsvereinbarung (Anlage AVV)</w:t>
      </w:r>
    </w:p>
    <w:p>
      <w:pPr>
        <w:pStyle w:val="ListParagraph"/>
        <w:numPr>
          <w:ilvl w:val="0"/>
          <w:numId w:val="2"/>
        </w:numPr>
        <w:spacing w:after="60" w:line="276"/>
      </w:pPr>
      <w:r>
        <w:rPr>
          <w:rFonts w:ascii="Verdana" w:cs="Verdana" w:eastAsia="Verdana" w:hAnsi="Verdana"/>
          <w:sz w:val="18"/>
          <w:szCs w:val="18"/>
        </w:rPr>
        <w:t xml:space="preserve">Managed-Services-Vertrag (Grundvertrag)</w:t>
      </w:r>
    </w:p>
    <w:p>
      <w:pPr>
        <w:pStyle w:val="ListParagraph"/>
        <w:numPr>
          <w:ilvl w:val="0"/>
          <w:numId w:val="2"/>
        </w:numPr>
        <w:spacing w:after="60" w:line="276"/>
      </w:pPr>
      <w:r>
        <w:rPr>
          <w:rFonts w:ascii="Verdana" w:cs="Verdana" w:eastAsia="Verdana" w:hAnsi="Verdana"/>
          <w:sz w:val="18"/>
          <w:szCs w:val="18"/>
        </w:rPr>
        <w:t xml:space="preserve">Allgemeine Vertragsbedingungen Cloud + Managed Services (Anlage AVB)</w:t>
      </w:r>
    </w:p>
    <w:p>
      <w:pPr>
        <w:pStyle w:val="ListParagraph"/>
        <w:numPr>
          <w:ilvl w:val="0"/>
          <w:numId w:val="2"/>
        </w:numPr>
        <w:spacing w:after="60" w:line="276"/>
      </w:pPr>
      <w:r>
        <w:rPr>
          <w:rFonts w:ascii="Verdana" w:cs="Verdana" w:eastAsia="Verdana" w:hAnsi="Verdana"/>
          <w:sz w:val="18"/>
          <w:szCs w:val="18"/>
        </w:rPr>
        <w:t xml:space="preserve">Service Level Agreement (Anlage SLA) – Stufe Premium</w:t>
      </w:r>
    </w:p>
    <w:p>
      <w:pPr>
        <w:pStyle w:val="ListParagraph"/>
        <w:numPr>
          <w:ilvl w:val="0"/>
          <w:numId w:val="2"/>
        </w:numPr>
        <w:spacing w:after="60" w:line="276"/>
      </w:pPr>
      <w:r>
        <w:rPr>
          <w:rFonts w:ascii="Verdana" w:cs="Verdana" w:eastAsia="Verdana" w:hAnsi="Verdana"/>
          <w:sz w:val="18"/>
          <w:szCs w:val="18"/>
        </w:rPr>
        <w:t xml:space="preserve">Leistungsschein S01 – Nösse Connect Premium</w:t>
      </w:r>
    </w:p>
    <w:p>
      <w:pPr>
        <w:pStyle w:val="ListParagraph"/>
        <w:numPr>
          <w:ilvl w:val="0"/>
          <w:numId w:val="2"/>
        </w:numPr>
        <w:spacing w:after="60" w:line="276"/>
      </w:pPr>
      <w:r>
        <w:rPr>
          <w:rFonts w:ascii="Verdana" w:cs="Verdana" w:eastAsia="Verdana" w:hAnsi="Verdana"/>
          <w:sz w:val="18"/>
          <w:szCs w:val="18"/>
        </w:rPr>
        <w:t xml:space="preserve">Bundle B02 mit Leistungsscheinen S02, S03, S04, S05, S06, S07</w:t>
      </w:r>
    </w:p>
    <w:p>
      <w:pPr>
        <w:pStyle w:val="ListParagraph"/>
        <w:numPr>
          <w:ilvl w:val="0"/>
          <w:numId w:val="2"/>
        </w:numPr>
        <w:spacing w:after="60" w:line="276"/>
      </w:pPr>
      <w:r>
        <w:rPr>
          <w:rFonts w:ascii="Verdana" w:cs="Verdana" w:eastAsia="Verdana" w:hAnsi="Verdana"/>
          <w:sz w:val="18"/>
          <w:szCs w:val="18"/>
        </w:rPr>
        <w:t xml:space="preserve">Bundle B03 mit Leistungsscheinen S11, S12, S13</w:t>
      </w:r>
    </w:p>
    <w:p>
      <w:pPr>
        <w:pStyle w:val="ListParagraph"/>
        <w:numPr>
          <w:ilvl w:val="0"/>
          <w:numId w:val="2"/>
        </w:numPr>
        <w:spacing w:after="60" w:line="276"/>
      </w:pPr>
      <w:r>
        <w:rPr>
          <w:rFonts w:ascii="Verdana" w:cs="Verdana" w:eastAsia="Verdana" w:hAnsi="Verdana"/>
          <w:sz w:val="18"/>
          <w:szCs w:val="18"/>
        </w:rPr>
        <w:t xml:space="preserve">Bundle B05 mit Leistungsscheinen S21, S22, S23</w:t>
      </w:r>
    </w:p>
    <w:p>
      <w:pPr>
        <w:pStyle w:val="ListParagraph"/>
        <w:numPr>
          <w:ilvl w:val="0"/>
          <w:numId w:val="2"/>
        </w:numPr>
        <w:spacing w:after="60" w:line="276"/>
      </w:pPr>
      <w:r>
        <w:rPr>
          <w:rFonts w:ascii="Verdana" w:cs="Verdana" w:eastAsia="Verdana" w:hAnsi="Verdana"/>
          <w:sz w:val="18"/>
          <w:szCs w:val="18"/>
        </w:rPr>
        <w:t xml:space="preserve">Leistungsscheine S31, S32, S60</w:t>
      </w:r>
    </w:p>
    <w:p>
      <w:pPr>
        <w:keepNext/>
        <w:pBdr>
          <w:bottom w:val="single" w:color="EE7F00" w:sz="8" w:space="4"/>
        </w:pBdr>
        <w:spacing w:after="160" w:before="360"/>
      </w:pPr>
      <w:r>
        <w:rPr>
          <w:rFonts w:ascii="Verdana" w:cs="Verdana" w:eastAsia="Verdana" w:hAnsi="Verdana"/>
          <w:b/>
          <w:bCs/>
          <w:color w:val="006C88"/>
          <w:sz w:val="26"/>
          <w:szCs w:val="26"/>
        </w:rPr>
        <w:t xml:space="preserve">6. Gültigkeit und nächste Schritte</w:t>
      </w:r>
    </w:p>
    <w:p>
      <w:pPr>
        <w:spacing w:after="120" w:before="0" w:line="276"/>
      </w:pPr>
      <w:r>
        <w:rPr>
          <w:rFonts w:ascii="Verdana" w:cs="Verdana" w:eastAsia="Verdana" w:hAnsi="Verdana"/>
          <w:sz w:val="18"/>
          <w:szCs w:val="18"/>
        </w:rPr>
        <w:t xml:space="preserve">Dieses Angebot ist gültig bis zum 25.10.2026. Wenn Sie zustimmen, erhalten Sie von uns die vollständigen Vertragsunterlagen zur Unterzeichnung. Anschließend planen wir gemeinsam das Onboarding, damit der Service zum 01.11.2026 starten kann.</w:t>
      </w:r>
    </w:p>
    <w:p>
      <w:pPr>
        <w:spacing w:after="120" w:before="0" w:line="276"/>
      </w:pPr>
      <w:r>
        <w:rPr>
          <w:rFonts w:ascii="Verdana" w:cs="Verdana" w:eastAsia="Verdana" w:hAnsi="Verdana"/>
          <w:sz w:val="18"/>
          <w:szCs w:val="18"/>
        </w:rPr>
        <w:t xml:space="preserve">Wir freuen uns auf die Zusammenarbeit.</w:t>
      </w:r>
    </w:p>
    <w:p>
      <w:pPr>
        <w:spacing w:after="600" w:before="240" w:line="276"/>
      </w:pPr>
      <w:r>
        <w:rPr>
          <w:rFonts w:ascii="Verdana" w:cs="Verdana" w:eastAsia="Verdana" w:hAnsi="Verdana"/>
          <w:sz w:val="18"/>
          <w:szCs w:val="18"/>
        </w:rPr>
        <w:t xml:space="preserve">Mit freundlichen Grüßen</w:t>
      </w:r>
    </w:p>
    <w:p>
      <w:pPr>
        <w:spacing w:after="0" w:before="0" w:line="276"/>
      </w:pPr>
      <w:r>
        <w:rPr>
          <w:rFonts w:ascii="Verdana" w:cs="Verdana" w:eastAsia="Verdana" w:hAnsi="Verdana"/>
          <w:b/>
          <w:bCs/>
          <w:sz w:val="18"/>
          <w:szCs w:val="18"/>
        </w:rPr>
        <w:t xml:space="preserve">Max Mustermann</w:t>
      </w:r>
    </w:p>
    <w:p>
      <w:pPr>
        <w:spacing w:after="120" w:before="0" w:line="276"/>
      </w:pPr>
      <w:r>
        <w:rPr>
          <w:rFonts w:ascii="Verdana" w:cs="Verdana" w:eastAsia="Verdana" w:hAnsi="Verdana"/>
          <w:sz w:val="18"/>
          <w:szCs w:val="18"/>
        </w:rPr>
        <w:t xml:space="preserve">Vertrieb Managed Services · +49 2171 7003-0 · m.mustermann@noesse.de</w:t>
      </w:r>
    </w:p>
    <w:sectPr>
      <w:headerReference w:type="default" r:id="rId7"/>
      <w:footerReference w:type="default" r:id="rId8"/>
      <w:pgSz w:w="11906" w:h="16838" w:orient="portrait"/>
      <w:pgMar w:top="1300" w:right="1134" w:bottom="11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A" w:sz="4" w:space="4"/>
      </w:pBdr>
      <w:tabs>
        <w:tab w:val="right" w:pos="9638"/>
      </w:tabs>
    </w:pPr>
    <w:r>
      <w:rPr>
        <w:rFonts w:ascii="Verdana" w:cs="Verdana" w:eastAsia="Verdana" w:hAnsi="Verdana"/>
        <w:color w:val="737373"/>
        <w:sz w:val="13"/>
        <w:szCs w:val="13"/>
      </w:rPr>
      <w:t xml:space="preserve">Nösse Datentechnik GmbH &amp; Co. KG · Maybachstraße 11 · 51381 Leverkusen · AG Köln HR 59883</w:t>
    </w:r>
    <w:r>
      <w:rPr>
        <w:rFonts w:ascii="Verdana" w:cs="Verdana" w:eastAsia="Verdana" w:hAnsi="Verdana"/>
        <w:color w:val="737373"/>
        <w:sz w:val="13"/>
        <w:szCs w:val="13"/>
      </w:rPr>
      <w:t xml:space="preserve">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C88" w:sz="6" w:space="4"/>
      </w:pBdr>
      <w:tabs>
        <w:tab w:val="right" w:pos="9638"/>
      </w:tabs>
    </w:pPr>
    <w:r>
      <w:rPr>
        <w:rFonts w:ascii="Verdana" w:cs="Verdana" w:eastAsia="Verdana" w:hAnsi="Verdana"/>
        <w:b/>
        <w:bCs/>
        <w:color w:val="006C88"/>
        <w:sz w:val="20"/>
        <w:szCs w:val="20"/>
      </w:rPr>
      <w:t xml:space="preserve">Nösse</w:t>
    </w:r>
    <w:r>
      <w:rPr>
        <w:rFonts w:ascii="Verdana" w:cs="Verdana" w:eastAsia="Verdana" w:hAnsi="Verdana"/>
        <w:color w:val="737373"/>
        <w:sz w:val="14"/>
        <w:szCs w:val="14"/>
      </w:rPr>
      <w:t xml:space="preserve">	Angebot MS-A-2026-0001 · Muster Maschinenbau GmbH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EE7F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MS-A-2026-0001</dc:title>
  <dc:creator>Nösse Datentechnik – Managed-Services-Kalkulator</dc:creator>
  <cp:lastModifiedBy>Un-named</cp:lastModifiedBy>
  <cp:revision>1</cp:revision>
  <dcterms:created xsi:type="dcterms:W3CDTF">2026-09-25T13:26:26.553Z</dcterms:created>
  <dcterms:modified xsi:type="dcterms:W3CDTF">2026-09-25T13:26:26.554Z</dcterms:modified>
</cp:coreProperties>
</file>

<file path=docProps/custom.xml><?xml version="1.0" encoding="utf-8"?>
<Properties xmlns="http://schemas.openxmlformats.org/officeDocument/2006/custom-properties" xmlns:vt="http://schemas.openxmlformats.org/officeDocument/2006/docPropsVTypes"/>
</file>