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funcional y técnica de PRECO</w:t>
      </w:r>
    </w:p>
    <w:p>
      <w:pPr>
        <w:jc w:val="left"/>
      </w:pPr>
      <w:r>
        <w:rPr>
          <w:color w:val="5E6B78"/>
          <w:sz w:val="26"/>
        </w:rPr>
        <w:t>Diseño del sistema para estimar horas de implementación y acompañar el proyecto</w:t>
      </w:r>
    </w:p>
    <w:p>
      <w:r>
        <w:rPr>
          <w:b/>
          <w:color w:val="173F70"/>
        </w:rPr>
        <w:t>PRECO  Presupuesto Companion</w:t>
      </w:r>
    </w:p>
    <w:p>
      <w:r>
        <w:rPr>
          <w:color w:val="5E6B78"/>
          <w:sz w:val="18"/>
        </w:rPr>
        <w:t>Propuesta para Finnegans  Versión de trabajo  Septiembre de 2026</w:t>
      </w:r>
    </w:p>
    <w:p/>
    <w:p>
      <w:pPr>
        <w:pStyle w:val="Heading1"/>
      </w:pPr>
      <w:r>
        <w:t>Propósito y decisión principal</w:t>
      </w:r>
    </w:p>
    <w:p>
      <w:r>
        <w:t>PRECO debe guiar a una persona interna desde la creación de un presupuesto hasta su confirmación y posterior aprendizaje. La primera versión combina un formulario obligatorio con un agente conversacional y un motor de reglas determinístico. El cálculo usa un snapshot del histórico normalizado y conserva la versión de cada regla aplicada.</w:t>
      </w:r>
    </w:p>
    <w:p>
      <w:r>
        <w:t>La interfaz propuesta evita que el usuario decida qué hacer a continuación. Cada presupuesto tiene una etapa actual, requisitos visibles y una sola acción principal. El chat se habilita cuando existe un contexto mínimo y termina cuando el motor puede emitir una estimación explicada.</w:t>
      </w:r>
    </w:p>
    <w:p>
      <w:pPr>
        <w:pStyle w:val="Heading1"/>
      </w:pPr>
      <w:r>
        <w:t>Alcance de la primera 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08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Incluido</w:t>
            </w:r>
          </w:p>
        </w:tc>
        <w:tc>
          <w:tcPr>
            <w:tcW w:type="dxa" w:w="4608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Fuera de alcance inicial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Login interno simulado para la demostración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Autenticación productiva y gestión corporativa de identidades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Alta guiada de STAR, ODC e IMAS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Integración en vivo con ERP o CRM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Formulario inicial y preguntas preventivas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Recalibración automática sin aprobación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Motor de reglas versionadas y auditable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Modelo opaco que modifica fórmulas por su cuenta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Exportación visual de la estimación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Documento comercial final con precios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Seguimiento de horas y cierre con causa de desvío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Planificación completa de recursos</w:t>
            </w:r>
          </w:p>
        </w:tc>
      </w:tr>
    </w:tbl>
    <w:p/>
    <w:p>
      <w:pPr>
        <w:pStyle w:val="Heading1"/>
      </w:pPr>
      <w:r>
        <w:t>Recorrido funcional</w:t>
      </w:r>
    </w:p>
    <w:p>
      <w:pPr>
        <w:pStyle w:val="ListNumber"/>
        <w:ind w:left="360" w:hanging="259"/>
      </w:pPr>
      <w:r>
        <w:t>La persona inicia sesión y accede a la bandeja de presupuestos.</w:t>
      </w:r>
    </w:p>
    <w:p>
      <w:pPr>
        <w:pStyle w:val="ListNumber"/>
        <w:ind w:left="360" w:hanging="259"/>
      </w:pPr>
      <w:r>
        <w:t>Selecciona Nuevo presupuesto y completa identificación, alcance, escala e infraestructura.</w:t>
      </w:r>
    </w:p>
    <w:p>
      <w:pPr>
        <w:pStyle w:val="ListNumber"/>
        <w:ind w:left="360" w:hanging="259"/>
      </w:pPr>
      <w:r>
        <w:t>El sistema valida los datos mínimos y crea un borrador con un identificador único.</w:t>
      </w:r>
    </w:p>
    <w:p>
      <w:pPr>
        <w:pStyle w:val="ListNumber"/>
        <w:ind w:left="360" w:hanging="259"/>
      </w:pPr>
      <w:r>
        <w:t>PRECO inicia el relevamiento preventivo. Las preguntas cambian según servicio, módulos, escala y respuestas previas.</w:t>
      </w:r>
    </w:p>
    <w:p>
      <w:pPr>
        <w:pStyle w:val="ListNumber"/>
        <w:ind w:left="360" w:hanging="259"/>
      </w:pPr>
      <w:r>
        <w:t>Cuando no quedan bloqueos, el motor aplica la fórmula vigente y presenta total, desglose, variables y comparables.</w:t>
      </w:r>
    </w:p>
    <w:p>
      <w:pPr>
        <w:pStyle w:val="ListNumber"/>
        <w:ind w:left="360" w:hanging="259"/>
      </w:pPr>
      <w:r>
        <w:t>La persona puede ajustar variables en el chat. Cada cambio genera una nueva versión del escenario.</w:t>
      </w:r>
    </w:p>
    <w:p>
      <w:pPr>
        <w:pStyle w:val="ListNumber"/>
        <w:ind w:left="360" w:hanging="259"/>
      </w:pPr>
      <w:r>
        <w:t>La estimación confirmada crea la línea base del proyecto y habilita seguimiento y control de cambios.</w:t>
      </w:r>
    </w:p>
    <w:p>
      <w:pPr>
        <w:pStyle w:val="ListNumber"/>
        <w:ind w:left="360" w:hanging="259"/>
      </w:pPr>
      <w:r>
        <w:t>Al finalizar se registran horas reales y causas de desvío para mejorar futuras reglas.</w:t>
      </w:r>
    </w:p>
    <w:p>
      <w:pPr>
        <w:pStyle w:val="Heading1"/>
      </w:pPr>
      <w:r>
        <w:t>Arquitectura 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32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952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Persistencia o fuente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Aplicación web responsive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Login, bandeja, asistente, chat, resultado y seguimiento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Estado de interfaz y API de PRECO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Orquestador de presupuesto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Controla pasos obligatorios, validaciones y etapa actual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Presupuesto y checklist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Agente conversacional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Formula preguntas, explica cambios y solicita faltantes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Conversación y contexto estructurado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Motor de reglas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Evalúa fórmulas determinísticas y genera un desglose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Catálogo ABM versionado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Catálogo estándar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Unifica servicios, etapas, ítems, casos y sinónimos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Tablas maestras gobernadas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Adaptador histórico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Importa el export, valida calidad y produce el snapshot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Reporte de casos normalizado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Procesador documental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Extrae variables y evidencia de Word, PDF y Excel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Documentos y datos detectados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Registra variables, fórmula, autor y momento de cada cálculo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Versiones de estimación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Seguimiento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Compara línea base, cambios, ejecutado y pendiente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Proyecto y registro de cambios</w:t>
            </w:r>
          </w:p>
        </w:tc>
      </w:tr>
    </w:tbl>
    <w:p/>
    <w:p>
      <w:pPr>
        <w:pStyle w:val="Heading1"/>
      </w:pPr>
      <w:r>
        <w:t>Flujo de datos</w:t>
      </w:r>
    </w:p>
    <w:p>
      <w:pPr>
        <w:pStyle w:val="ListNumber"/>
        <w:ind w:left="360" w:hanging="259"/>
      </w:pPr>
      <w:r>
        <w:t>El export histórico ingresa a una zona de carga y se somete a validaciones de identidad, horas y catálogo.</w:t>
      </w:r>
    </w:p>
    <w:p>
      <w:pPr>
        <w:pStyle w:val="ListNumber"/>
        <w:ind w:left="360" w:hanging="259"/>
      </w:pPr>
      <w:r>
        <w:t>Los registros válidos se mapean a Proyecto, Etapa, Ítem y Caso. Los registros incompletos se conservan para auditoría, pero no alimentan promedios.</w:t>
      </w:r>
    </w:p>
    <w:p>
      <w:pPr>
        <w:pStyle w:val="ListNumber"/>
        <w:ind w:left="360" w:hanging="259"/>
      </w:pPr>
      <w:r>
        <w:t>El ABM publica una versión vigente de variables, coeficientes y fórmulas.</w:t>
      </w:r>
    </w:p>
    <w:p>
      <w:pPr>
        <w:pStyle w:val="ListNumber"/>
        <w:ind w:left="360" w:hanging="259"/>
      </w:pPr>
      <w:r>
        <w:t>El formulario y el chat producen un contexto estructurado. El motor combina ese contexto con la regla vigente y los comparables elegibles.</w:t>
      </w:r>
    </w:p>
    <w:p>
      <w:pPr>
        <w:pStyle w:val="ListNumber"/>
        <w:ind w:left="360" w:hanging="259"/>
      </w:pPr>
      <w:r>
        <w:t>La respuesta guarda total, desglose, evidencia, advertencias y versión de fórmula. Ninguna respuesta expone razonamiento interno.</w:t>
      </w:r>
    </w:p>
    <w:p>
      <w:pPr>
        <w:pStyle w:val="Heading1"/>
      </w:pPr>
      <w:r>
        <w:t>Estados del presupuesto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592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324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Salida obligatoria</w:t>
            </w:r>
          </w:p>
        </w:tc>
        <w:tc>
          <w:tcPr>
            <w:tcW w:type="dxa" w:w="180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Acción principal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 y responsable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Identificación mínima completa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Completar datos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Relevamiento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Formulario válido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Preguntas preventivas respondidas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Continuar con PRECO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Listo para estimar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Sin bloqueos críticos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Escenario calculado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Calcular estimación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Estimado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Resultado disponible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Revisión humana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Revisar resultado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Confirmado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Versión aprobada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Línea base registrada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Iniciar seguimiento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En ejecución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Proyecto activo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Horas reales y cambios al día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Actualizar avance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Cerrado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Ejecución finalizada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Causa de desvío registrada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Cerrar y aprender</w:t>
            </w:r>
          </w:p>
        </w:tc>
      </w:tr>
    </w:tbl>
    <w:p/>
    <w:p>
      <w:pPr>
        <w:pStyle w:val="Heading1"/>
      </w:pPr>
      <w:r>
        <w:t>Formulario inicial</w:t>
      </w:r>
    </w:p>
    <w:p>
      <w:r>
        <w:t>El formulario no intenta relevar todo el proyecto. Captura únicamente los datos que determinan el primer conjunto de preguntas y evita que el chat comience sin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4824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Campos mínimos</w:t>
            </w:r>
          </w:p>
        </w:tc>
        <w:tc>
          <w:tcPr>
            <w:tcW w:type="dxa" w:w="252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Regla de avance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Identificación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Cliente, responsable, tipo de servicio, equipo o producto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Todos obligatorios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Alcance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Modelo FULL o Small, módulos y variantes de proceso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Al menos un módulo o proceso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Escala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Licencias, sociedades, volumen mensual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Licencias mayor que cero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Infraestructura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Amazon, propia o híbrida; ambientes DESA, QA y PROD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Al menos PROD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Complejidad inicial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Estándar o particularizada; antecedentes del cliente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Puede quedar para PRECO si se desconoce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Documentación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RFP, alcance, minuta o planilla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Opcional, pero su ausencia reduce evidencia</w:t>
            </w:r>
          </w:p>
        </w:tc>
      </w:tr>
    </w:tbl>
    <w:p/>
    <w:p>
      <w:pPr>
        <w:pStyle w:val="Heading1"/>
      </w:pPr>
      <w:r>
        <w:t>Conversación preventiva</w:t>
      </w:r>
    </w:p>
    <w:p>
      <w:r>
        <w:t>El agente usa preguntas cerradas cuando existe un catálogo y texto libre cuando necesita contexto. La pregunta siguiente surge de reglas visibles, no de una conversación sin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Disparador</w:t>
            </w:r>
          </w:p>
        </w:tc>
        <w:tc>
          <w:tcPr>
            <w:tcW w:type="dxa" w:w="4968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Pregunta o acción del agente</w:t>
            </w:r>
          </w:p>
        </w:tc>
        <w:tc>
          <w:tcPr>
            <w:tcW w:type="dxa" w:w="2088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STAR con varios módulos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Confirmar módulos, variantes y secuencia de implementación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Amplía el alcance por ítem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Más de 200 licencias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Confirmar sociedades, key users, sedes y capacitación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Evalúa escala y gestión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Compras FULL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Separar productivas, no productivas, exterior, bienes de uso, consignación, bot e impresos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Evita comparar alcances distintos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Infraestructura propia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Confirmar ambientes, responsables y restricciones técnicas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Agrega trabajo de preparación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Particularización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Clasificar configuración, no code, diseño o desarrollo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Selecciona regla y etapa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Importaciones o integración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Solicitar organismo, interfaz, frecuencia y volumen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Eleva complejidad si corresponde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 con antecedentes complejos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Pedir causa observable y evidencia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Aplica sólo el coeficiente autorizado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Faltan datos críticos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Bloquear estimación y mostrar qué falta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Evita una cifra engañosa</w:t>
            </w:r>
          </w:p>
        </w:tc>
      </w:tr>
    </w:tbl>
    <w:p/>
    <w:p>
      <w:pPr>
        <w:pStyle w:val="Heading1"/>
      </w:pPr>
      <w:r>
        <w:t>Motor de reglas para la demostración</w:t>
      </w:r>
    </w:p>
    <w:p>
      <w:r>
        <w:t>Las reglas siguientes son funcionales para el prototipo y deben administrarse en el ABM antes de una implementación productiva. No sustituyen la validación del referente de negocio.</w:t>
      </w:r>
    </w:p>
    <w:p>
      <w:pPr>
        <w:pStyle w:val="ListBullet"/>
        <w:ind w:left="317" w:hanging="216"/>
      </w:pPr>
      <w:r>
        <w:t>Cada ítem estándar tiene horas base por tipo de servicio y modelo FULL o Small.</w:t>
      </w:r>
    </w:p>
    <w:p>
      <w:pPr>
        <w:pStyle w:val="ListBullet"/>
        <w:ind w:left="317" w:hanging="216"/>
      </w:pPr>
      <w:r>
        <w:t>Las bandas de licencias son 1 a 50, 51 a 200 y más de 200. La última activa preguntas de escala antes de modificar horas.</w:t>
      </w:r>
    </w:p>
    <w:p>
      <w:pPr>
        <w:pStyle w:val="ListBullet"/>
        <w:ind w:left="317" w:hanging="216"/>
      </w:pPr>
      <w:r>
        <w:t>Cada sociedad adicional y cada ambiente distinto de PROD pueden sumar esfuerzo mediante coeficientes versionados.</w:t>
      </w:r>
    </w:p>
    <w:p>
      <w:pPr>
        <w:pStyle w:val="ListBullet"/>
        <w:ind w:left="317" w:hanging="216"/>
      </w:pPr>
      <w:r>
        <w:t>Configuración, implementación no code, diseño de software y desarrollo de software usan reglas separadas.</w:t>
      </w:r>
    </w:p>
    <w:p>
      <w:pPr>
        <w:pStyle w:val="ListBullet"/>
        <w:ind w:left="317" w:hanging="216"/>
      </w:pPr>
      <w:r>
        <w:t>No se aplica un multiplicador por seniority. La documentación indica que la variación debe estar contenida en el valor de la hora.</w:t>
      </w:r>
    </w:p>
    <w:p>
      <w:pPr>
        <w:pStyle w:val="ListBullet"/>
        <w:ind w:left="317" w:hanging="216"/>
      </w:pPr>
      <w:r>
        <w:t>Gestión, UAT y margen se muestran separados. El negocio puede decidir si forman parte del esfuerzo técnico o de la vista comercial.</w:t>
      </w:r>
    </w:p>
    <w:p>
      <w:pPr>
        <w:pStyle w:val="ListBullet"/>
        <w:ind w:left="317" w:hanging="216"/>
      </w:pPr>
      <w:r>
        <w:t>Un caso sin horas presupuestadas o ejecutadas válidas no participa de promedios ni recalibración.</w:t>
      </w:r>
    </w:p>
    <w:p>
      <w:pPr>
        <w:pStyle w:val="Heading1"/>
      </w:pPr>
      <w:r>
        <w:t>Resultado y explicación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Bloque visible</w:t>
            </w:r>
          </w:p>
        </w:tc>
        <w:tc>
          <w:tcPr>
            <w:tcW w:type="dxa" w:w="720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Resumen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Rango o total, nivel de evidencia y estado de revisión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Desglose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Horas por etapa, ítem y tipo de trabajo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Factores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Variables que agregaron o redujeron horas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Comparables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Casos elegibles con presupuesto, ejecución y desvío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Trazabilidad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Versión de fórmula, snapshot, fecha y responsable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Acciones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Modificar variables, preguntar, confirmar o exportar</w:t>
            </w:r>
          </w:p>
        </w:tc>
      </w:tr>
    </w:tbl>
    <w:p/>
    <w:p>
      <w:pPr>
        <w:pStyle w:val="Heading1"/>
      </w:pPr>
      <w:r>
        <w:t>Modelo de datos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7272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Campos esenciales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Identificador, nombre, correo, rol, equipo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Presupuesto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Código, cliente, servicio, producto, estado, responsable, versión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Contexto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Negocio, licencias, sociedades, infraestructura, ambientes, volumen, antecedentes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Alcance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Modelo, módulos, ítems canónicos, exclusiones y supuestos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Conversación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Mensaje, autor, fecha, tipo, variable afectada y evidencia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Estimación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Total, rango, desglose, fórmula, coeficientes, snapshot y estado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Proyecto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Línea base, presupuesto actualizado, ejecutado, pendiente y etapa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Cambio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Código, tipo, detalle, impacto, horas, estado, aprobador y fecha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Cierre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Horas reales, desvío, causas, observación y elegibilidad histórica</w:t>
            </w:r>
          </w:p>
        </w:tc>
      </w:tr>
    </w:tbl>
    <w:p/>
    <w:p>
      <w:pPr>
        <w:pStyle w:val="Heading1"/>
      </w:pPr>
      <w:r>
        <w:t>Roles y gobierno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68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Puede hacer</w:t>
            </w:r>
          </w:p>
        </w:tc>
        <w:tc>
          <w:tcPr>
            <w:tcW w:type="dxa" w:w="252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Requiere aprobación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Crear, completar y consultar estimaciones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Confirmación según política interna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Líder de proyecto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Confirmar, seguir ejecución y registrar desvíos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Cambios de alcance según umbral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Referente de negocio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Administrar variables, fórmulas y equivalencias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Nueva versión de fórmula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Gerencia de servicios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Aprobar cambios fuera de umbral y exclusiones sensibles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Decisión final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Equipo técnico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Operar importaciones, auditoría y despliegue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No define coeficientes de negocio</w:t>
            </w:r>
          </w:p>
        </w:tc>
      </w:tr>
    </w:tbl>
    <w:p/>
    <w:p>
      <w:pPr>
        <w:pStyle w:val="Heading1"/>
      </w:pPr>
      <w:r>
        <w:t>Seguridad observabilidad y resiliencia</w:t>
      </w:r>
    </w:p>
    <w:p>
      <w:pPr>
        <w:pStyle w:val="ListBullet"/>
        <w:ind w:left="317" w:hanging="216"/>
      </w:pPr>
      <w:r>
        <w:t>La primera versión es de uso interno y no expone la estimación al cliente final.</w:t>
      </w:r>
    </w:p>
    <w:p>
      <w:pPr>
        <w:pStyle w:val="ListBullet"/>
        <w:ind w:left="317" w:hanging="216"/>
      </w:pPr>
      <w:r>
        <w:t>Cada cálculo registra entradas, resultado y versiones sin guardar razonamiento interno del modelo.</w:t>
      </w:r>
    </w:p>
    <w:p>
      <w:pPr>
        <w:pStyle w:val="ListBullet"/>
        <w:ind w:left="317" w:hanging="216"/>
      </w:pPr>
      <w:r>
        <w:t>La aplicación puede operar aunque ERP y CRM no estén disponibles porque usa snapshots.</w:t>
      </w:r>
    </w:p>
    <w:p>
      <w:pPr>
        <w:pStyle w:val="ListBullet"/>
        <w:ind w:left="317" w:hanging="216"/>
      </w:pPr>
      <w:r>
        <w:t>La carga documental debe validar tipo, tamaño, malware y permisos antes de procesar contenido.</w:t>
      </w:r>
    </w:p>
    <w:p>
      <w:pPr>
        <w:pStyle w:val="ListBullet"/>
        <w:ind w:left="317" w:hanging="216"/>
      </w:pPr>
      <w:r>
        <w:t>Las métricas mínimas son estimaciones por estado, tiempo hasta confirmación, porcentaje de datos faltantes, desvío por ítem y frecuencia de cambios.</w:t>
      </w:r>
    </w:p>
    <w:p>
      <w:pPr>
        <w:pStyle w:val="Heading1"/>
      </w:pPr>
      <w:r>
        <w:t>Evolución prevista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5256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664"/>
            <w:shd w:fill="173F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V1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Motor de reglas, ABM, snapshot, formulario, chat y explicación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Catálogo y reglas aprobados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V2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RAG para sugerir recalibraciones con evidencia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0F1"/>
          </w:tcPr>
          <w:p>
            <w:pPr>
              <w:spacing w:after="0" w:line="252" w:lineRule="auto"/>
            </w:pPr>
            <w:r>
              <w:rPr>
                <w:sz w:val="16"/>
              </w:rPr>
              <w:t>Umbrales, exclusiones y aprobadores definidos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V3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Presupuestación completa desde RFP e integración con sistemas comerciales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Calidad de datos y contratos de integración estables</w:t>
            </w:r>
          </w:p>
        </w:tc>
      </w:tr>
    </w:tbl>
    <w:p/>
    <w:p>
      <w:pPr>
        <w:pStyle w:val="Heading1"/>
      </w:pPr>
      <w:r>
        <w:t>Criterios de aceptación</w:t>
      </w:r>
    </w:p>
    <w:p>
      <w:pPr>
        <w:pStyle w:val="ListBullet"/>
        <w:ind w:left="317" w:hanging="216"/>
      </w:pPr>
      <w:r>
        <w:t>Una persona nueva puede crear y confirmar un presupuesto sin conocer la planilla histórica.</w:t>
      </w:r>
    </w:p>
    <w:p>
      <w:pPr>
        <w:pStyle w:val="ListBullet"/>
        <w:ind w:left="317" w:hanging="216"/>
      </w:pPr>
      <w:r>
        <w:t>No se puede calcular si faltan variables críticas definidas por la regla vigente.</w:t>
      </w:r>
    </w:p>
    <w:p>
      <w:pPr>
        <w:pStyle w:val="ListBullet"/>
        <w:ind w:left="317" w:hanging="216"/>
      </w:pPr>
      <w:r>
        <w:t>Toda estimación explica el desglose y la versión de fórmula utilizada.</w:t>
      </w:r>
    </w:p>
    <w:p>
      <w:pPr>
        <w:pStyle w:val="ListBullet"/>
        <w:ind w:left="317" w:hanging="216"/>
      </w:pPr>
      <w:r>
        <w:t>Modificar una variable desde el chat genera un nuevo escenario sin borrar el anterior.</w:t>
      </w:r>
    </w:p>
    <w:p>
      <w:pPr>
        <w:pStyle w:val="ListBullet"/>
        <w:ind w:left="317" w:hanging="216"/>
      </w:pPr>
      <w:r>
        <w:t>El cierre exige horas reales y al menos una causa de desvío o la confirmación de que no hubo desvío.</w:t>
      </w:r>
    </w:p>
    <w:p>
      <w:pPr>
        <w:pStyle w:val="ListBullet"/>
        <w:ind w:left="317" w:hanging="216"/>
      </w:pPr>
      <w:r>
        <w:t>La experiencia funciona en escritorio, tablet y teléfono sin navegación lateral obligatoria.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8"/>
        <w:sz w:val="16"/>
      </w:rPr>
      <w:t>Finnegans  PRECO 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5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