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Estandarización de datos y reglas de PRECO</w:t>
      </w:r>
    </w:p>
    <w:p>
      <w:pPr>
        <w:jc w:val="left"/>
      </w:pPr>
      <w:r>
        <w:rPr>
          <w:color w:val="5E6B78"/>
          <w:sz w:val="26"/>
        </w:rPr>
        <w:t>Propuesta para convertir las fuentes actuales en un catálogo comparable y auditable</w:t>
      </w:r>
    </w:p>
    <w:p>
      <w:r>
        <w:rPr>
          <w:b/>
          <w:color w:val="173F70"/>
        </w:rPr>
        <w:t>PRECO  Presupuesto Companion</w:t>
      </w:r>
    </w:p>
    <w:p>
      <w:r>
        <w:rPr>
          <w:color w:val="5E6B78"/>
          <w:sz w:val="18"/>
        </w:rPr>
        <w:t>Propuesta para Finnegans  Versión de trabajo  Septiembre de 2026</w:t>
      </w:r>
    </w:p>
    <w:p/>
    <w:p>
      <w:pPr>
        <w:pStyle w:val="Heading1"/>
      </w:pPr>
      <w:r>
        <w:t>Conclusión y objetivo</w:t>
      </w:r>
    </w:p>
    <w:p>
      <w:r>
        <w:t>PRECO necesita una capa de normalización antes de calcular promedios o recomendar horas. Las fuentes actuales contienen información valiosa, pero mezclan nombres, unidades de trabajo, estados y registros incompletos. El estándar propuesto conserva el dato original, asigna un valor canónico y decide explícitamente si cada caso puede usarse para estimar.</w:t>
      </w:r>
    </w:p>
    <w:p>
      <w:r>
        <w:t>La estandarización no corrige el histórico en silencio. Cada equivalencia debe indicar quién la aprobó, desde cuándo rige y qué registros fueron afectados.</w:t>
      </w:r>
    </w:p>
    <w:p>
      <w:pPr>
        <w:pStyle w:val="Heading1"/>
      </w:pPr>
      <w:r>
        <w:t>Evidencia disponible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Fuente</w:t>
            </w:r>
          </w:p>
        </w:tc>
        <w:tc>
          <w:tcPr>
            <w:tcW w:type="dxa" w:w="3672"/>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Aporte</w:t>
            </w:r>
          </w:p>
        </w:tc>
        <w:tc>
          <w:tcPr>
            <w:tcW w:type="dxa" w:w="316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Limitación observada</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ADR de PRECO</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Arquitectura, roles, contratos y evolución V1 a V3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Propuesta abierta y con decisiones pendientes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Estructura de proyecto FULL</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237 filas y siete etapas con detalle por proceso</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Algunos ítems se repiten entre etapas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Estructura de proyecto Small</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56 filas y siete etapas con ítems agrupados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Menor granularidad que FULL</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Reporte de casos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9.413 registros con presupuesto, ejecución, actividad, equipo y responsables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5.047 presupuestos en cero y nombres heterogéneos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MSU Seguimiento y control</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Cambios, avance, Gantt, procesos, desarrollos y certificaciones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Libro operativo amplio con estructuras superpuestas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Variables a considerar</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Negocio, licencias, servidores, servicio, producto, antecedentes, gestión y margen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Varias variables aún no tienen dominio ni regla</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Notas de reunión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Componentes de esfuerzo y decisión de no multiplicar por seniority</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Diferencia de alcance respecto del ADR en UAT y margen</w:t>
            </w:r>
          </w:p>
        </w:tc>
      </w:tr>
    </w:tbl>
    <w:p/>
    <w:p>
      <w:pPr>
        <w:pStyle w:val="Heading1"/>
      </w:pPr>
      <w:r>
        <w:t>Principios del estándar</w:t>
      </w:r>
    </w:p>
    <w:p>
      <w:pPr>
        <w:pStyle w:val="ListBullet"/>
        <w:ind w:left="317" w:hanging="216"/>
      </w:pPr>
      <w:r>
        <w:t>Conservar el valor original y el valor normalizado.</w:t>
      </w:r>
    </w:p>
    <w:p>
      <w:pPr>
        <w:pStyle w:val="ListBullet"/>
        <w:ind w:left="317" w:hanging="216"/>
      </w:pPr>
      <w:r>
        <w:t>Usar identificadores estables; los nombres visibles pueden cambiar.</w:t>
      </w:r>
    </w:p>
    <w:p>
      <w:pPr>
        <w:pStyle w:val="ListBullet"/>
        <w:ind w:left="317" w:hanging="216"/>
      </w:pPr>
      <w:r>
        <w:t>Separar clasificación funcional, tipo de trabajo y estado de ejecución.</w:t>
      </w:r>
    </w:p>
    <w:p>
      <w:pPr>
        <w:pStyle w:val="ListBullet"/>
        <w:ind w:left="317" w:hanging="216"/>
      </w:pPr>
      <w:r>
        <w:t>No usar ceros como sinónimo de dato desconocido.</w:t>
      </w:r>
    </w:p>
    <w:p>
      <w:pPr>
        <w:pStyle w:val="ListBullet"/>
        <w:ind w:left="317" w:hanging="216"/>
      </w:pPr>
      <w:r>
        <w:t>Aplicar reglas sólo a registros que pasan controles de elegibilidad.</w:t>
      </w:r>
    </w:p>
    <w:p>
      <w:pPr>
        <w:pStyle w:val="ListBullet"/>
        <w:ind w:left="317" w:hanging="216"/>
      </w:pPr>
      <w:r>
        <w:t>Versionar catálogos, equivalencias, coeficientes y fórmulas.</w:t>
      </w:r>
    </w:p>
    <w:p>
      <w:pPr>
        <w:pStyle w:val="ListBullet"/>
        <w:ind w:left="317" w:hanging="216"/>
      </w:pPr>
      <w:r>
        <w:t>Permitir excepciones aprobadas sin deformar el catálogo general.</w:t>
      </w:r>
    </w:p>
    <w:p>
      <w:pPr>
        <w:pStyle w:val="Heading1"/>
      </w:pPr>
      <w:r>
        <w:t>Jerarquía canónica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Nivel</w:t>
            </w:r>
          </w:p>
        </w:tc>
        <w:tc>
          <w:tcPr>
            <w:tcW w:type="dxa" w:w="504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Definición</w:t>
            </w:r>
          </w:p>
        </w:tc>
        <w:tc>
          <w:tcPr>
            <w:tcW w:type="dxa" w:w="244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Ejemplo</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Proyecto</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Contenedor comercial y operativo de una implementación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STAR Agro Andina 2026</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Etapa</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Momento estándar del ciclo de implementación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Diseño de procesos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Ítem</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Unidad funcional comparable dentro de una etapa</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Compras del exterior</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Caso</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Trabajo concreto con horas y responsable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Documentar proceso de importaciones</w:t>
            </w:r>
          </w:p>
        </w:tc>
      </w:tr>
    </w:tbl>
    <w:p/>
    <w:p>
      <w:pPr>
        <w:pStyle w:val="Heading1"/>
      </w:pPr>
      <w:r>
        <w:t>Etapas estándar</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936"/>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Código</w:t>
            </w:r>
          </w:p>
        </w:tc>
        <w:tc>
          <w:tcPr>
            <w:tcW w:type="dxa" w:w="28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Nombre canónico</w:t>
            </w:r>
          </w:p>
        </w:tc>
        <w:tc>
          <w:tcPr>
            <w:tcW w:type="dxa" w:w="540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Sinónimos de origen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01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Gestión del proyecto</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Planificación y gestión, Seguimiento y control, HCM</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02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Diseño de procesos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DYD, Relevamiento, Descubrimiento y diseño</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03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Configuración y setup</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CYS, C&amp;S, Construcción y setup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04</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Desarrollos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Diseño de software, Desarrollo de software, No code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05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Capacitación</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Capacitaciones, Key users, Academia</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06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UAT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Pruebas de aceptación, Validación del usuario</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07</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PEM y estabilización</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Puesta en marcha, PEM, Estabilización</w:t>
            </w:r>
          </w:p>
        </w:tc>
      </w:tr>
    </w:tbl>
    <w:p/>
    <w:p>
      <w:pPr>
        <w:pStyle w:val="Heading1"/>
      </w:pPr>
      <w:r>
        <w:t>Servicios productos y modelos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Dimensión</w:t>
            </w:r>
          </w:p>
        </w:tc>
        <w:tc>
          <w:tcPr>
            <w:tcW w:type="dxa" w:w="3384"/>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Valores canónicos</w:t>
            </w:r>
          </w:p>
        </w:tc>
        <w:tc>
          <w:tcPr>
            <w:tcW w:type="dxa" w:w="4104"/>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Regla</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Servicio</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STAR, ODC, IMAS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Normalizar START como STAR si negocio confirma la denominación del ADR</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Equipo o producto</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DAI, One Team</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No mezclar con equipo ejecutor del caso</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Modelo de alcance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FULL, Small</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FULL usa variantes; Small usa agrupadores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Tipo de trabajo</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Gestión de consultoría, Diseño de proceso, Configuración, Implementación no code, Diseño de software, Desarrollo de software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Una sola clasificación primaria por caso</w:t>
            </w:r>
          </w:p>
        </w:tc>
      </w:tr>
    </w:tbl>
    <w:p/>
    <w:p>
      <w:pPr>
        <w:pStyle w:val="Heading1"/>
      </w:pPr>
      <w:r>
        <w:t>Normalización de Compras</w:t>
      </w:r>
    </w:p>
    <w:p>
      <w:r>
        <w:t>El término Compras no es suficientemente preciso para comparar proyectos FULL. La estructura entregada y el seguimiento de MSU muestran variantes con esfuerzo y entregables diferentes.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Valor canónico FULL</w:t>
            </w:r>
          </w:p>
        </w:tc>
        <w:tc>
          <w:tcPr>
            <w:tcW w:type="dxa" w:w="3456"/>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Ejemplos de origen</w:t>
            </w:r>
          </w:p>
        </w:tc>
        <w:tc>
          <w:tcPr>
            <w:tcW w:type="dxa" w:w="3384"/>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Preguntas mínimas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Compras de insumos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Compras productivas, compra de materiales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Volumen, depósitos, aprobaciones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Compras de servicios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Compras no productivas, servicios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Recepción, certificación, retenciones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Compras de bienes de uso</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Bienes de uso, activos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Alta de activo, circuitos y autorizaciones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Compras del exterior</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Importaciones, compras al exterior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Moneda, despachante, impuestos e integración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Compras en consignación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Consignación</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Propiedad, recepción y liquidación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Bot de compras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Bot comprobantes, portal o automatización</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Canal, documentos, validaciones y excepciones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Impresos de compras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Impresos, orden de prepago</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Formato, datos, sociedades e idiomas</w:t>
            </w:r>
          </w:p>
        </w:tc>
      </w:tr>
    </w:tbl>
    <w:p/>
    <w:p>
      <w:r>
        <w:t>En proyectos Small, Compras puede mantenerse como agrupador si la regla utilizada fue diseñada para esa granularidad. Nunca debe compararse directamente un agrupador Small con una variante FULL sin una transformación aprobada.</w:t>
      </w:r>
    </w:p>
    <w:p>
      <w:pPr>
        <w:pStyle w:val="Heading1"/>
      </w:pPr>
      <w:r>
        <w:t>Esquema de datos normalizado</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Campo</w:t>
            </w:r>
          </w:p>
        </w:tc>
        <w:tc>
          <w:tcPr>
            <w:tcW w:type="dxa" w:w="1512"/>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Tipo</w:t>
            </w:r>
          </w:p>
        </w:tc>
        <w:tc>
          <w:tcPr>
            <w:tcW w:type="dxa" w:w="1512"/>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Obligatorio</w:t>
            </w:r>
          </w:p>
        </w:tc>
        <w:tc>
          <w:tcPr>
            <w:tcW w:type="dxa" w:w="4104"/>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Regla de calidad</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project_id</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Identificador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Único y estable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service_type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Catálogo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STAR, ODC o IMAS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scope_model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Catálogo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FULL o Small</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stage_id</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Catálogo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Una de las siete etapas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item_id</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Catálogo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Ítem canónico vigente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case_id</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Identificador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Caso de origen o clave generada</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work_type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Catálogo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Clasificación primaria de trabajo</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budget_hours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Decimal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Condicional</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Mayor que cero para entrenar o comparar</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actual_hours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Decimal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Condicional</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Mayor o igual que cero y con actividad final</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client_id</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Identificador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Cliente normalizado</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team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Catálogo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Equipo ejecutor separado de producto</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owner_id</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Identificador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Recomendado</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Responsable normalizado</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status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Catálogo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Estado canónico</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source_record</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Texto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Clave y archivo de origen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catalog_version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Versión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Versión de mapeo aplicada</w:t>
            </w:r>
          </w:p>
        </w:tc>
      </w:tr>
    </w:tbl>
    <w:p/>
    <w:p>
      <w:pPr>
        <w:pStyle w:val="Heading1"/>
      </w:pPr>
      <w:r>
        <w:t>Mapeo del reporte de casos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Campo de origen</w:t>
            </w:r>
          </w:p>
        </w:tc>
        <w:tc>
          <w:tcPr>
            <w:tcW w:type="dxa" w:w="28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Destino</w:t>
            </w:r>
          </w:p>
        </w:tc>
        <w:tc>
          <w:tcPr>
            <w:tcW w:type="dxa" w:w="388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Tratamiento</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Cliente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client_id y client_name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Normalizar razón social sin perder original</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Caso y Título</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case_id y case_title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Separar identificador y descripción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Item de proyecto</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legacy_item y item_id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Mapear mediante tabla de equivalencias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Horas presupuestadas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budget_hours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Cero se marca como faltante si el caso debía presupuestarse</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Horas ejecutadas standard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actual_hours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Usar sólo con estado final compatible</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Actividad y Jira estado</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status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Resolver mediante prioridad de estados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Proceso</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work_type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No confundir con módulo funcional</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Equipo</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delivery_team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Separar de DAI o One Team como producto</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Responsable, Propietario y Líder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owner_id, case_owner_id y project_lead_id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No colapsar roles diferentes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Documento y Certificaciones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evidence_links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Validar existencia y permisos</w:t>
            </w:r>
          </w:p>
        </w:tc>
      </w:tr>
    </w:tbl>
    <w:p/>
    <w:p>
      <w:pPr>
        <w:pStyle w:val="Heading1"/>
      </w:pPr>
      <w:r>
        <w:t>Controles de elegibilidad histórica</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384"/>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Control</w:t>
            </w:r>
          </w:p>
        </w:tc>
        <w:tc>
          <w:tcPr>
            <w:tcW w:type="dxa" w:w="5976"/>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Acción</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Presupuesto igual a cero o vacío</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Excluir de comparables de desvío y marcar para revisión</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Horas reales vacías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Excluir de recalibración; puede usarse como caso abierto</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Estado cancelado o removido</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Excluir salvo análisis específico de cancelaciones</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Caso de soporte o consulta fuera de implementación</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Excluir del dataset de implementación</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Ítem sin equivalencia aprobada</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Enviar a bandeja de normalización</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Desvío extremo</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Marcar como atípico y requerir causa antes de incluir</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Duplicado por CRM, Jira o documento</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Consolidar y conservar referencias de origen</w:t>
            </w:r>
          </w:p>
        </w:tc>
      </w:tr>
      <w:tr>
        <w:trPr>
          <w:cantSplit/>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Fecha 2001 u otro valor por defecto</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Tratar como dato desconocido</w:t>
            </w:r>
          </w:p>
        </w:tc>
      </w:tr>
    </w:tbl>
    <w:p/>
    <w:p>
      <w:r>
        <w:t>El reporte analizado contiene 9.413 filas. Hay 5.047 valores de horas presupuestadas iguales a cero y 1.041 valores de horas ejecutadas iguales a cero. Por eso no corresponde calcular una media general ni usar todos los registros sin filtros.</w:t>
      </w:r>
    </w:p>
    <w:p>
      <w:pPr>
        <w:pStyle w:val="Heading1"/>
      </w:pPr>
      <w:r>
        <w:t>Variables de estimación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Variable</w:t>
            </w:r>
          </w:p>
        </w:tc>
        <w:tc>
          <w:tcPr>
            <w:tcW w:type="dxa" w:w="324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Dominio inicial</w:t>
            </w:r>
          </w:p>
        </w:tc>
        <w:tc>
          <w:tcPr>
            <w:tcW w:type="dxa" w:w="208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Origen preferido</w:t>
            </w:r>
          </w:p>
        </w:tc>
        <w:tc>
          <w:tcPr>
            <w:tcW w:type="dxa" w:w="2088"/>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Uso</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Tipo de negocio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Agropecuario, construcción, servicios y catálogo ampliable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Formulario o CRM</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Segmentación y preguntas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Licencias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Entero mayor que cero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Formulario o documento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Banda de escala</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Sociedades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Entero mayor que cero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Formulario o documento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Complejidad multiempresa</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Infraestructura</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Amazon, propia o híbrida</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Formulario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Preparación técnica</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Ambientes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DESA, QA y PROD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Formulario o documento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Trabajo de configuración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Servicio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STAR, ODC o IMAS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Formulario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Selecciona familia de reglas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Producto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DAI o One Team</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Formulario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Selecciona catálogo y equipo</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Modelo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FULL o Small</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Formulario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Define granularidad</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Volumen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Operaciones mensuales y unidad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Formulario o chat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Carga y prueba</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Complejidad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Estándar, media o alta con causa</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Chat y evidencia</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Coeficiente aprobado</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Antecedentes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Sin antecedentes, estándar o complejo con motivo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Histórico y referente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Pregunta o coeficiente autorizado</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Particularización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Configuración, no code, diseño o desarrollo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Chat y documento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Regla de trabajo específica</w:t>
            </w:r>
          </w:p>
        </w:tc>
      </w:tr>
    </w:tbl>
    <w:p/>
    <w:p>
      <w:pPr>
        <w:pStyle w:val="Heading1"/>
      </w:pPr>
      <w:r>
        <w:t>Estructura de la fórmula</w:t>
      </w:r>
    </w:p>
    <w:p>
      <w:r>
        <w:t>La fórmula V1 debe componerse con partes auditables. Una estructura inicial posible es la siguiente:</w:t>
      </w:r>
    </w:p>
    <w:p>
      <w:r>
        <w:t>Horas técnicas = suma de horas base por ítem y tipo de trabajo, ajustadas por bandas de escala y factores aprobados de complejidad.</w:t>
      </w:r>
    </w:p>
    <w:p>
      <w:r>
        <w:t>Horas del presupuesto = horas técnicas + gestión + UAT + otros conceptos comerciales configurados para el segmento.</w:t>
      </w:r>
    </w:p>
    <w:p>
      <w:r>
        <w:t>La reunión indica que relevamiento, prototipado y especificación forman parte del esfuerzo inicial, y que testing, entregas, validaciones y margen no se incluían en ese cálculo. El ADR, en cambio, modela UAT y margen como coeficientes. PRECO debe resolver esta diferencia con dos vistas configurables: esfuerzo técnico y presupuesto comercial. La regla vigente debe indicar qué conceptos incluye cada total.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Componente</w:t>
            </w:r>
          </w:p>
        </w:tc>
        <w:tc>
          <w:tcPr>
            <w:tcW w:type="dxa" w:w="4536"/>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Base sugerida</w:t>
            </w:r>
          </w:p>
        </w:tc>
        <w:tc>
          <w:tcPr>
            <w:tcW w:type="dxa" w:w="2592"/>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Gobierno</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Relevamiento</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Horas base por ítem</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Referente de negocio</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Prototipado</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Horas base por variante o particularización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Referente de negocio</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Especificación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Horas base por tipo de trabajo</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Referente de negocio</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Configuración o desarrollo</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Regla específica por complejidad</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Referente y gerencia según umbral</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Gestión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Porcentaje sobre conceptos definidos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ABM versionado</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Porcentaje o horas por plan de pruebas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ABM versionado</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Margen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Concepto comercial separado de horas técnicas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Política comercial</w:t>
            </w:r>
          </w:p>
        </w:tc>
      </w:tr>
    </w:tbl>
    <w:p/>
    <w:p>
      <w:pPr>
        <w:pStyle w:val="Heading1"/>
      </w:pPr>
      <w:r>
        <w:t>Confianza y advertencias</w:t>
      </w:r>
    </w:p>
    <w:p>
      <w:pPr>
        <w:pStyle w:val="ListBullet"/>
        <w:ind w:left="317" w:hanging="216"/>
      </w:pPr>
      <w:r>
        <w:t>Alta evidencia: variables críticas completas y al menos tres comparables elegibles del mismo servicio, modelo e ítem.</w:t>
      </w:r>
    </w:p>
    <w:p>
      <w:pPr>
        <w:pStyle w:val="ListBullet"/>
        <w:ind w:left="317" w:hanging="216"/>
      </w:pPr>
      <w:r>
        <w:t>Evidencia media: contexto completo, pero comparables insuficientes o con dispersión alta.</w:t>
      </w:r>
    </w:p>
    <w:p>
      <w:pPr>
        <w:pStyle w:val="ListBullet"/>
        <w:ind w:left="317" w:hanging="216"/>
      </w:pPr>
      <w:r>
        <w:t>Evidencia baja: faltan variables, el ítem no está normalizado o sólo existen casos atípicos.</w:t>
      </w:r>
    </w:p>
    <w:p>
      <w:pPr>
        <w:pStyle w:val="ListBullet"/>
        <w:ind w:left="317" w:hanging="216"/>
      </w:pPr>
      <w:r>
        <w:t>La aplicación debe advertir que el proyecto puede ser de mayor envergadura cuando la combinación de módulos, usuarios, sociedades, volumen o particularizaciones supera el perfil habitual de la regla seleccionada.</w:t>
      </w:r>
    </w:p>
    <w:p>
      <w:pPr>
        <w:pStyle w:val="Heading1"/>
      </w:pPr>
      <w:r>
        <w:t>Seguimiento y control</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Dato</w:t>
            </w:r>
          </w:p>
        </w:tc>
        <w:tc>
          <w:tcPr>
            <w:tcW w:type="dxa" w:w="64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Definición</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Presupuesto original</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Versión confirmada al inicio de ejecución</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Cambios aprobados</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Suma de cambios con impacto y aprobación</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Presupuesto actualizado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Original más cambios aprobados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Cambios pendientes</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Horas solicitadas aún no incorporadas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Ejecutado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Horas reales registradas para etapas y casos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Pendiente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Trabajo planificado todavía no ejecutado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Proyección</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Estimación actual de cierre basada en avance y cambios</w:t>
            </w:r>
          </w:p>
        </w:tc>
      </w:tr>
    </w:tbl>
    <w:p/>
    <w:p>
      <w:pPr>
        <w:pStyle w:val="Heading1"/>
      </w:pPr>
      <w:r>
        <w:t>Registro de cambios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Campo</w:t>
            </w:r>
          </w:p>
        </w:tc>
        <w:tc>
          <w:tcPr>
            <w:tcW w:type="dxa" w:w="64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Valores o regla</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Código interno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Identificador único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Tipo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Prototipo, configuración, implementación no code, diseño o desarrollo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Requerimiento y detalle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Descripción observable del cambio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Fecha detectado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Fecha válida</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Afecta presupuesto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 o no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Horas SPU</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Valor mayor que cero si afecta presupuesto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Afecta plan</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Sí o no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Estado</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Borrador, pendiente de aprobación, aprobado, rechazado o desestimado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Aprobador y fecha</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Obligatorios para aprobado o rechazado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Observaciones</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Causa, alcance y evidencia</w:t>
            </w:r>
          </w:p>
        </w:tc>
      </w:tr>
    </w:tbl>
    <w:p/>
    <w:p>
      <w:pPr>
        <w:pStyle w:val="Heading1"/>
      </w:pPr>
      <w:r>
        <w:t>Cierre y aprendizaje</w:t>
      </w:r>
    </w:p>
    <w:p>
      <w:r>
        <w:t>El cierre convierte la experiencia del proyecto en un registro comparable. No debe limitarse a ingresar horas reales.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24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Campo de cierre</w:t>
            </w:r>
          </w:p>
        </w:tc>
        <w:tc>
          <w:tcPr>
            <w:tcW w:type="dxa" w:w="612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Uso futuro</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Horas reales por etapa, ítem y caso</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Comparar contra la línea base correcta</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Causa principal del desvío</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Separar error de estimación de cambio de alcance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Causas secundarias</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Analizar combinaciones repetidas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Cambio aprobado asociado</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Evitar atribuir a la fórmula horas vendidas después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Calidad del dato</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Decidir elegibilidad para comparables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Observación del líder</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Conservar contexto explicativo</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Marca de atípico y aprobador</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Excluir sin borrar</w:t>
            </w:r>
          </w:p>
        </w:tc>
      </w:tr>
    </w:tbl>
    <w:p/>
    <w:p>
      <w:pPr>
        <w:pStyle w:val="Heading1"/>
      </w:pPr>
      <w:r>
        <w:t>Causas estándar de desvío</w:t>
      </w:r>
    </w:p>
    <w:p>
      <w:pPr>
        <w:pStyle w:val="ListBullet"/>
        <w:ind w:left="317" w:hanging="216"/>
      </w:pPr>
      <w:r>
        <w:t>Alcance ampliado después de confirmar el presupuesto.</w:t>
      </w:r>
    </w:p>
    <w:p>
      <w:pPr>
        <w:pStyle w:val="ListBullet"/>
        <w:ind w:left="317" w:hanging="216"/>
      </w:pPr>
      <w:r>
        <w:t>Integración o desarrollo no previsto.</w:t>
      </w:r>
    </w:p>
    <w:p>
      <w:pPr>
        <w:pStyle w:val="ListBullet"/>
        <w:ind w:left="317" w:hanging="216"/>
      </w:pPr>
      <w:r>
        <w:t>Datos de origen incompletos o de baja calidad.</w:t>
      </w:r>
    </w:p>
    <w:p>
      <w:pPr>
        <w:pStyle w:val="ListBullet"/>
        <w:ind w:left="317" w:hanging="216"/>
      </w:pPr>
      <w:r>
        <w:t>Mayor complejidad técnica demostrada.</w:t>
      </w:r>
    </w:p>
    <w:p>
      <w:pPr>
        <w:pStyle w:val="ListBullet"/>
        <w:ind w:left="317" w:hanging="216"/>
      </w:pPr>
      <w:r>
        <w:t>Demoras o retrabajo atribuibles al cliente.</w:t>
      </w:r>
    </w:p>
    <w:p>
      <w:pPr>
        <w:pStyle w:val="ListBullet"/>
        <w:ind w:left="317" w:hanging="216"/>
      </w:pPr>
      <w:r>
        <w:t>Dependencia externa o bloqueo operativo.</w:t>
      </w:r>
    </w:p>
    <w:p>
      <w:pPr>
        <w:pStyle w:val="ListBullet"/>
        <w:ind w:left="317" w:hanging="216"/>
      </w:pPr>
      <w:r>
        <w:t>Estimación base insuficiente.</w:t>
      </w:r>
    </w:p>
    <w:p>
      <w:pPr>
        <w:pStyle w:val="ListBullet"/>
        <w:ind w:left="317" w:hanging="216"/>
      </w:pPr>
      <w:r>
        <w:t>Ejecución más eficiente que la referencia.</w:t>
      </w:r>
    </w:p>
    <w:p>
      <w:pPr>
        <w:pStyle w:val="Heading1"/>
      </w:pPr>
      <w:r>
        <w:t>Gobierno del catálogo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Acción</w:t>
            </w:r>
          </w:p>
        </w:tc>
        <w:tc>
          <w:tcPr>
            <w:tcW w:type="dxa" w:w="288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Responsable</w:t>
            </w:r>
          </w:p>
        </w:tc>
        <w:tc>
          <w:tcPr>
            <w:tcW w:type="dxa" w:w="3600"/>
            <w:shd w:fill="173F7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r>
              <w:rPr>
                <w:b/>
                <w:color w:val="FFFFFF"/>
                <w:sz w:val="17"/>
              </w:rPr>
              <w:t>Registro requerido</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Crear o modificar un ítem</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Referente de negocio</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Motivo, vigencia y versión</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Aprobar una equivalencia</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Referente de negocio</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Valor original, canónico y alcance</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Cambiar un coeficiente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Referente y gerencia según umbral</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Evidencia y versión de fórmula</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Excluir un caso atípico</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Líder y aprobador definido</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shd w:fill="EAF0F1"/>
          </w:tcPr>
          <w:p>
            <w:pPr>
              <w:spacing w:after="0" w:line="252" w:lineRule="auto"/>
            </w:pPr>
            <w:r>
              <w:rPr>
                <w:sz w:val="16"/>
              </w:rPr>
              <w:t>Causa y fecha</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Publicar un snapshot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Equipo técnico</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70" w:type="dxa"/>
              <w:start w:w="120" w:type="dxa"/>
              <w:bottom w:w="70" w:type="dxa"/>
              <w:end w:w="120" w:type="dxa"/>
            </w:tcMar>
            <w:vAlign w:val="center"/>
          </w:tcPr>
          <w:p>
            <w:pPr>
              <w:spacing w:after="0" w:line="252" w:lineRule="auto"/>
            </w:pPr>
            <w:r>
              <w:rPr>
                <w:sz w:val="16"/>
              </w:rPr>
              <w:t>Fecha, origen, controles y conteos</w:t>
            </w:r>
          </w:p>
        </w:tc>
      </w:tr>
    </w:tbl>
    <w:p/>
    <w:p>
      <w:pPr>
        <w:pStyle w:val="Heading1"/>
      </w:pPr>
      <w:r>
        <w:t>Plan de adopción</w:t>
      </w:r>
    </w:p>
    <w:p>
      <w:pPr>
        <w:pStyle w:val="ListNumber"/>
        <w:ind w:left="360" w:hanging="259"/>
      </w:pPr>
      <w:r>
        <w:t>Aprobar nombres de servicios, siete etapas, tipos de trabajo y modelo FULL o Small.</w:t>
      </w:r>
    </w:p>
    <w:p>
      <w:pPr>
        <w:pStyle w:val="ListNumber"/>
        <w:ind w:left="360" w:hanging="259"/>
      </w:pPr>
      <w:r>
        <w:t>Resolver las equivalencias de mayor frecuencia del reporte de casos y priorizar las relacionadas con implementación.</w:t>
      </w:r>
    </w:p>
    <w:p>
      <w:pPr>
        <w:pStyle w:val="ListNumber"/>
        <w:ind w:left="360" w:hanging="259"/>
      </w:pPr>
      <w:r>
        <w:t>Definir horas base y coeficientes para un conjunto piloto de ítems, empezando por Compras.</w:t>
      </w:r>
    </w:p>
    <w:p>
      <w:pPr>
        <w:pStyle w:val="ListNumber"/>
        <w:ind w:left="360" w:hanging="259"/>
      </w:pPr>
      <w:r>
        <w:t>Probar el estándar contra casos cerrados y registrar falsos comparables.</w:t>
      </w:r>
    </w:p>
    <w:p>
      <w:pPr>
        <w:pStyle w:val="ListNumber"/>
        <w:ind w:left="360" w:hanging="259"/>
      </w:pPr>
      <w:r>
        <w:t>Publicar la versión 1 del catálogo y bloquear el uso de etiquetas libres en nuevos presupuestos.</w:t>
      </w:r>
    </w:p>
    <w:p>
      <w:pPr>
        <w:pStyle w:val="ListNumber"/>
        <w:ind w:left="360" w:hanging="259"/>
      </w:pPr>
      <w:r>
        <w:t>Revisar mensualmente pendientes de normalización, atípicos y causas de desvío.</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8"/>
        <w:sz w:val="16"/>
      </w:rPr>
      <w:t>Finnegans  PRECO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5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