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DOCUMENTO FUNCIONAL Y TÉCNICO</w:t>
      </w:r>
    </w:p>
    <w:p>
      <w:pPr>
        <w:pStyle w:val="Heading2"/>
        <w:spacing w:after="200"/>
        <w:jc w:val="left"/>
      </w:pPr>
      <w:r>
        <w:t xml:space="preserve">ORQClientes0003 - ConsultarProductosActivos01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11"/>
        <w:gridCol w:w="53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pPr>
              <w:jc w:val="left"/>
            </w:pPr>
            <w:r>
              <w:t xml:space="preserve">Código de documento</w:t>
            </w:r>
          </w:p>
        </w:tc>
        <w:tc>
          <w:p>
            <w:pPr>
              <w:jc w:val="left"/>
            </w:pPr>
            <w:r>
              <w:t xml:space="preserve">DOC-ORQCLIENTES0003-CPA01</w:t>
            </w:r>
          </w:p>
        </w:tc>
      </w:tr>
      <w:tr>
        <w:tc>
          <w:p>
            <w:pPr>
              <w:jc w:val="left"/>
            </w:pPr>
            <w:r>
              <w:t xml:space="preserve">Sistema</w:t>
            </w:r>
          </w:p>
        </w:tc>
        <w:tc>
          <w:p>
            <w:pPr>
              <w:jc w:val="left"/>
            </w:pPr>
            <w:r>
              <w:t xml:space="preserve">Middleware TPR</w:t>
            </w:r>
          </w:p>
        </w:tc>
      </w:tr>
      <w:tr>
        <w:tc>
          <w:p>
            <w:pPr>
              <w:jc w:val="left"/>
            </w:pPr>
            <w:r>
              <w:t xml:space="preserve">Tipo de documento</w:t>
            </w:r>
          </w:p>
        </w:tc>
        <w:tc>
          <w:p>
            <w:pPr>
              <w:jc w:val="left"/>
            </w:pPr>
            <w:r>
              <w:t xml:space="preserve">Especificación funcional y técnica</w:t>
            </w:r>
          </w:p>
        </w:tc>
      </w:tr>
      <w:tr>
        <w:tc>
          <w:p>
            <w:pPr>
              <w:jc w:val="left"/>
            </w:pPr>
            <w:r>
              <w:t xml:space="preserve">Versión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</w:tr>
      <w:tr>
        <w:tc>
          <w:p>
            <w:pPr>
              <w:jc w:val="left"/>
            </w:pPr>
            <w:r>
              <w:t xml:space="preserve">Estado</w:t>
            </w:r>
          </w:p>
        </w:tc>
        <w:tc>
          <w:p>
            <w:pPr>
              <w:jc w:val="left"/>
            </w:pPr>
            <w:r>
              <w:t xml:space="preserve">Borrador para publicación</w:t>
            </w:r>
          </w:p>
        </w:tc>
      </w:tr>
      <w:tr>
        <w:tc>
          <w:p>
            <w:pPr>
              <w:jc w:val="left"/>
            </w:pPr>
            <w:r>
              <w:t xml:space="preserve">Fecha</w:t>
            </w:r>
          </w:p>
        </w:tc>
        <w:tc>
          <w:p>
            <w:pPr>
              <w:jc w:val="left"/>
            </w:pPr>
            <w:r>
              <w:t xml:space="preserve">2026-07-02</w:t>
            </w:r>
          </w:p>
        </w:tc>
      </w:tr>
      <w:tr>
        <w:tc>
          <w:p>
            <w:pPr>
              <w:jc w:val="left"/>
            </w:pPr>
            <w:r>
              <w:t xml:space="preserve">Autor</w:t>
            </w:r>
          </w:p>
        </w:tc>
        <w:tc>
          <w:p>
            <w:pPr>
              <w:jc w:val="left"/>
            </w:pPr>
            <w:r>
              <w:t xml:space="preserve">Equipo de desarrollo ORQClientes0003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Control de cambios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78"/>
        <w:gridCol w:w="1601"/>
        <w:gridCol w:w="1847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t xml:space="preserve">1.0</w:t>
            </w:r>
          </w:p>
        </w:tc>
        <w:tc>
          <w:p>
            <w:pPr>
              <w:jc w:val="left"/>
            </w:pPr>
            <w:r>
              <w:t xml:space="preserve">2026-07-02</w:t>
            </w:r>
          </w:p>
        </w:tc>
        <w:tc>
          <w:p>
            <w:pPr>
              <w:jc w:val="left"/>
            </w:pPr>
            <w:r>
              <w:t xml:space="preserve">GitHub Copilot</w:t>
            </w:r>
          </w:p>
        </w:tc>
        <w:tc>
          <w:p>
            <w:pPr>
              <w:jc w:val="left"/>
            </w:pPr>
            <w:r>
              <w:t xml:space="preserve">Estructura corporativa inicial, consolidación técnica y funcional del servicio.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Revisión y aprobación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66"/>
        <w:gridCol w:w="3120"/>
        <w:gridCol w:w="26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p>
            <w:pPr>
              <w:jc w:val="left"/>
            </w:pPr>
            <w:r>
              <w:t xml:space="preserve">Líder técnico</w:t>
            </w:r>
          </w:p>
        </w:tc>
        <w:tc>
          <w:p>
            <w:pPr>
              <w:jc w:val="left"/>
            </w:pPr>
            <w:r>
              <w:t xml:space="preserve">Pendiente</w:t>
            </w:r>
          </w:p>
        </w:tc>
        <w:tc>
          <w:p>
            <w:pPr>
              <w:jc w:val="left"/>
            </w:pPr>
            <w:r>
              <w:t xml:space="preserve">Pendiente</w:t>
            </w:r>
          </w:p>
        </w:tc>
      </w:tr>
      <w:tr>
        <w:tc>
          <w:p>
            <w:pPr>
              <w:jc w:val="left"/>
            </w:pPr>
            <w:r>
              <w:t xml:space="preserve">Owner funcional</w:t>
            </w:r>
          </w:p>
        </w:tc>
        <w:tc>
          <w:p>
            <w:pPr>
              <w:jc w:val="left"/>
            </w:pPr>
            <w:r>
              <w:t xml:space="preserve">Pendiente</w:t>
            </w:r>
          </w:p>
        </w:tc>
        <w:tc>
          <w:p>
            <w:pPr>
              <w:jc w:val="left"/>
            </w:pPr>
            <w:r>
              <w:t xml:space="preserve">Pendiente</w:t>
            </w:r>
          </w:p>
        </w:tc>
      </w:tr>
      <w:tr>
        <w:tc>
          <w:p>
            <w:pPr>
              <w:jc w:val="left"/>
            </w:pPr>
            <w:r>
              <w:t xml:space="preserve">Arquitectura</w:t>
            </w:r>
          </w:p>
        </w:tc>
        <w:tc>
          <w:p>
            <w:pPr>
              <w:jc w:val="left"/>
            </w:pPr>
            <w:r>
              <w:t xml:space="preserve">Pendiente</w:t>
            </w:r>
          </w:p>
        </w:tc>
        <w:tc>
          <w:p>
            <w:pPr>
              <w:jc w:val="left"/>
            </w:pPr>
            <w:r>
              <w:t xml:space="preserve">Pendiente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Confidencialidad</w:t>
      </w:r>
    </w:p>
    <w:p>
      <w:pPr>
        <w:spacing w:after="120"/>
        <w:jc w:val="left"/>
      </w:pPr>
      <w:r>
        <w:t xml:space="preserve">Uso interno Banco Pichincha. Este documento contiene información técnica de arquitectura y operación del servicio y no debe compartirse fuera de los canales autorizados.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Tabla de contenido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1. Resumen ejecutivo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2. Alcance y objetivo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3. Información general del servicio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4. Integraciones y dependencias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5. Endpoint y consumo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6. Contrato de entrada y salida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7. Reglas funcionales y validaciones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8. Manejo de errores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9. Diagrama de secuencia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10. Calidad y seguridad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11. Enlaces corporativos verificados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12. Pendientes de publicación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Resumen ejecutivo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ORQClientes0003</w:t>
      </w:r>
      <w:r>
        <w:t xml:space="preserve"> expone la operación SOAP </w:t>
      </w:r>
      <w:r>
        <w:rPr>
          <w:rFonts w:ascii="Courier New" w:cs="Courier New" w:eastAsia="Courier New" w:hAnsi="Courier New"/>
          <w:shd w:fill="F1F5F9" w:color="auto" w:val="clear"/>
        </w:rPr>
        <w:t xml:space="preserve">ConsultarProductosActivos01</w:t>
      </w:r>
      <w:r>
        <w:t xml:space="preserve"> para consolidar productos activos de un cliente (cuentas, préstamos y tarjetas) bajo un contrato único de salida. La orquestación aplica validaciones funcionales, resolución de CIF y consumo de múltiples servicios downstream.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Alcance y objetivo</w:t>
      </w:r>
    </w:p>
    <w:p>
      <w:pPr>
        <w:pStyle w:val="Heading3"/>
        <w:spacing w:after="200"/>
        <w:jc w:val="left"/>
      </w:pPr>
      <w:r>
        <w:t xml:space="preserve">Objetivo</w:t>
      </w:r>
    </w:p>
    <w:p>
      <w:pPr>
        <w:spacing w:after="120"/>
        <w:jc w:val="left"/>
      </w:pPr>
      <w:r>
        <w:t xml:space="preserve">Exponer y orquestar la operación SOAP </w:t>
      </w:r>
      <w:r>
        <w:rPr>
          <w:rFonts w:ascii="Courier New" w:cs="Courier New" w:eastAsia="Courier New" w:hAnsi="Courier New"/>
          <w:shd w:fill="F1F5F9" w:color="auto" w:val="clear"/>
        </w:rPr>
        <w:t xml:space="preserve">ConsultarProductosActivos01</w:t>
      </w:r>
      <w:r>
        <w:t xml:space="preserve">, aplicando validaciones de negocio y retornando una respuesta estandarizada con </w:t>
      </w:r>
      <w:r>
        <w:rPr>
          <w:rFonts w:ascii="Courier New" w:cs="Courier New" w:eastAsia="Courier New" w:hAnsi="Courier New"/>
          <w:shd w:fill="F1F5F9" w:color="auto" w:val="clear"/>
        </w:rPr>
        <w:t xml:space="preserve">headerOut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bodyOut</w:t>
      </w:r>
      <w:r>
        <w:t xml:space="preserve"> y </w:t>
      </w:r>
      <w:r>
        <w:rPr>
          <w:rFonts w:ascii="Courier New" w:cs="Courier New" w:eastAsia="Courier New" w:hAnsi="Courier New"/>
          <w:shd w:fill="F1F5F9" w:color="auto" w:val="clear"/>
        </w:rPr>
        <w:t xml:space="preserve">error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Alcance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Validar datos de entrada obligatorios.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Determinar estrategia de ejecución por estado de flujo.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Integrar servicios de clientes/productos para construir respuesta consolidada.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Normalizar salida de errores funcionales y técnicos.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Información general del servicio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77"/>
        <w:gridCol w:w="48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t xml:space="preserve">Servicio</w:t>
            </w:r>
          </w:p>
        </w:tc>
        <w:tc>
          <w:p>
            <w:pPr>
              <w:jc w:val="left"/>
            </w:pPr>
            <w:r>
              <w:t xml:space="preserve">ORQClientes0003</w:t>
            </w:r>
          </w:p>
        </w:tc>
      </w:tr>
      <w:tr>
        <w:tc>
          <w:p>
            <w:pPr>
              <w:jc w:val="left"/>
            </w:pPr>
            <w:r>
              <w:t xml:space="preserve">Operación</w:t>
            </w:r>
          </w:p>
        </w:tc>
        <w:tc>
          <w:p>
            <w:pPr>
              <w:jc w:val="left"/>
            </w:pPr>
            <w:r>
              <w:t xml:space="preserve">ConsultarProductosActivos01</w:t>
            </w:r>
          </w:p>
        </w:tc>
      </w:tr>
      <w:tr>
        <w:tc>
          <w:p>
            <w:pPr>
              <w:jc w:val="left"/>
            </w:pPr>
            <w:r>
              <w:t xml:space="preserve">Tipo de integración</w:t>
            </w:r>
          </w:p>
        </w:tc>
        <w:tc>
          <w:p>
            <w:pPr>
              <w:jc w:val="left"/>
            </w:pPr>
            <w:r>
              <w:t xml:space="preserve">SOAP document/literal</w:t>
            </w:r>
          </w:p>
        </w:tc>
      </w:tr>
      <w:tr>
        <w:tc>
          <w:p>
            <w:pPr>
              <w:jc w:val="left"/>
            </w:pPr>
            <w:r>
              <w:t xml:space="preserve">Stack técnico</w:t>
            </w:r>
          </w:p>
        </w:tc>
        <w:tc>
          <w:p>
            <w:pPr>
              <w:jc w:val="left"/>
            </w:pPr>
            <w:r>
              <w:t xml:space="preserve">Spring Boot 3.5.x, Java 21, WebFlux</w:t>
            </w:r>
          </w:p>
        </w:tc>
      </w:tr>
      <w:tr>
        <w:tc>
          <w:p>
            <w:pPr>
              <w:jc w:val="left"/>
            </w:pPr>
            <w:r>
              <w:t xml:space="preserve">Estrategia de flujo permitida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iniciar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Integraciones y dependencias</w:t>
      </w:r>
    </w:p>
    <w:p>
      <w:pPr>
        <w:pStyle w:val="Heading3"/>
        <w:spacing w:after="200"/>
        <w:jc w:val="left"/>
      </w:pPr>
      <w:r>
        <w:t xml:space="preserve">Servicios involucrados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WSClientes0024</w:t>
      </w:r>
      <w:r>
        <w:t xml:space="preserve"> (consulta de CIF)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WSClientes0114</w:t>
      </w:r>
      <w:r>
        <w:t xml:space="preserve"> (cuentas)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WSClientes0002</w:t>
      </w:r>
      <w:r>
        <w:t xml:space="preserve"> (préstamos)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WSClientes0003</w:t>
      </w:r>
      <w:r>
        <w:t xml:space="preserve"> (tarjetas)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WSClientes0220</w:t>
      </w:r>
      <w:r>
        <w:t xml:space="preserve"> (tarjetas OPS)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WSProductos0024</w:t>
      </w:r>
      <w:r>
        <w:t xml:space="preserve"> (alias)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WSProductos0023</w:t>
      </w:r>
      <w:r>
        <w:t xml:space="preserve"> (configuración)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WSProductos0118</w:t>
      </w:r>
      <w:r>
        <w:t xml:space="preserve"> (validación de cuentas)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WSProductos0123</w:t>
      </w:r>
      <w:r>
        <w:t xml:space="preserve"> (catálogo/BIN de tarjetas)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Endpoint y consumo</w:t>
      </w:r>
    </w:p>
    <w:p>
      <w:pPr>
        <w:pStyle w:val="Heading3"/>
        <w:spacing w:after="200"/>
        <w:jc w:val="left"/>
      </w:pPr>
      <w:r>
        <w:t xml:space="preserve">URL de acceso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https://tpr-msa-sp-orqclientes0003-enp.apps.ocpdev.uiotest.bpichinchatest.test/IntegrationBus/soap/ORQClientes0003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Ejecución cURL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--location "https://tpr-msa-sp-orqclientes0003-enp.apps.ocpdev.uiotest.bpichinchatest.test/IntegrationBus/soap/ORQClientes0003"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--header "Content-Type: text/xml; charset=utf-8"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--header "SOAPAction: \"http://bpichincha.com/servicios/ConsultarProductosActivos01\""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--data "$body"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Contrato de entrada y salida</w:t>
      </w:r>
    </w:p>
    <w:p>
      <w:pPr>
        <w:pStyle w:val="Heading3"/>
        <w:spacing w:after="200"/>
        <w:jc w:val="left"/>
      </w:pPr>
      <w:r>
        <w:t xml:space="preserve">6.1 Request completo - ConsultarProductosActivos01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&lt;soapenv:Envelope xmlns:soapenv="http://schemas.xmlsoap.org/soap/envelope/" xmlns:ser="http://bpichincha.com/servicios"&gt;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&lt;soapenv:Header/&gt;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&lt;soapenv:Body&gt;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&lt;ser:ConsultarProductosActivos01&gt;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&lt;headerIn&gt;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&lt;dispositivo&gt;01010101010101010101010101010101&lt;/dispositivo&gt;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&lt;empresa&gt;0010&lt;/empresa&gt;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&lt;canal&gt;03&lt;/canal&gt;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&lt;medio&gt;030006&lt;/medio&gt;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&lt;aplicacion&gt;00663&lt;/aplicacion&gt;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&lt;agencia/&gt;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&lt;tipoTransaccion&gt;301000301&lt;/tipoTransaccion&gt;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&lt;geolocalizacion/&gt;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&lt;usuario&gt;USINTERT&lt;/usuario&gt;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&lt;unicidad&gt;UZhDOa2GXtkAK2/QovFagnnS+nQSGAF/SKyTIIv1axc=&lt;/unicidad&gt;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&lt;guid&gt;MONITOREO-FBUS&lt;/guid&gt;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&lt;fechaHora&gt;202210201505651262&lt;/fechaHora&gt;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&lt;filler/&gt;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&lt;idioma&gt;es-EC&lt;/idioma&gt;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&lt;sesion&gt;ASDASD77R01YH&lt;/sesion&gt;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&lt;ip&gt;10.192.168.45&lt;/ip&gt;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&lt;idCliente&gt;0&lt;/idCliente&gt;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&lt;tipoIdCliente/&gt;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&lt;/headerIn&gt;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&lt;bodyIn&gt;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&lt;cif/&gt;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&lt;identificacion&gt;0603975863&lt;/identificacion&gt;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&lt;tipoIdentificacion&gt;0001&lt;/tipoIdentificacion&gt;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&lt;tipoProducto&gt;T&lt;/tipoProducto&gt;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&lt;flujo&gt;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&lt;estado&gt;iniciar&lt;/estado&gt;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&lt;campos&gt;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&lt;campo&gt;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&lt;clave/&gt;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&lt;valor/&gt;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&lt;/campo&gt;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&lt;/campos&gt;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&lt;/flujo&gt;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&lt;/bodyIn&gt;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&lt;/ser:ConsultarProductosActivos01&gt;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&lt;/soapenv:Body&gt;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&lt;/soapenv:Envelope&gt;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Response ejemplo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&lt;?xml version="1.0" encoding="UTF-8" standalone="yes"?&gt;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&lt;soapenv:Envelope xmlns:soapenv="http://schemas.xmlsoap.org/soap/envelope/" xmlns:ns2="http://bpichincha.com/servicios"&gt;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&lt;soapenv:Body&gt;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&lt;ns2:ConsultarProductosActivos01Response&gt;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&lt;headerOut&gt;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&lt;dispositivo&gt;01010101010101010101010101010101&lt;/dispositivo&gt;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&lt;empresa&gt;0010&lt;/empresa&gt;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&lt;canal&gt;03&lt;/canal&gt;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&lt;medio&gt;030006&lt;/medio&gt;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&lt;aplicacion&gt;00663&lt;/aplicacion&gt;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&lt;guid&gt;MONITOREO-FBUS&lt;/guid&gt;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&lt;/headerOut&gt;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&lt;bodyOut&gt;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&lt;productos&gt;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&lt;ahorros&gt;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&lt;ahorro&gt;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&lt;cuenta&gt;2204001607&lt;/cuenta&gt;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&lt;cuentaMask&gt;220400XXXX&lt;/cuentaMask&gt;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&lt;producto&gt;2232&lt;/producto&gt;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&lt;subProducto&gt;0003&lt;/subProducto&gt;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&lt;tipo&gt;Cuenta de AhorroTransaccional&lt;/tipo&gt;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&lt;moneda&gt;USD&lt;/moneda&gt;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&lt;saldoDisponible&gt;217392.11&lt;/saldoDisponible&gt;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&lt;estadoFavorito&gt;0&lt;/estadoFavorito&gt;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&lt;/ahorro&gt;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&lt;/ahorros&gt;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&lt;/productos&gt;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&lt;flujo&gt;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&lt;estado&gt;finalizar&lt;/estado&gt;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&lt;campos&gt;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&lt;campo&gt;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&lt;clave/&gt;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&lt;valor/&gt;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&lt;/campo&gt;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&lt;/campos&gt;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&lt;/flujo&gt;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&lt;/bodyOut&gt;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&lt;error&gt;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&lt;codigo&gt;0&lt;/codigo&gt;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&lt;mensaje&gt;OK&lt;/mensaje&gt;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&lt;mensajeNegocio/&gt;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&lt;tipo&gt;INFO&lt;/tipo&gt;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&lt;recurso&gt;tpr-msa-sp-orqclientes0003/ConsultarProductosActivos01&lt;/recurso&gt;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&lt;componente&gt;ConsultarProductosActivos01&lt;/componente&gt;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&lt;backend&gt;00638&lt;/backend&gt;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&lt;/error&gt;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&lt;/ns2:ConsultarProductosActivos01Response&gt;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&lt;/soapenv:Body&gt;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&lt;/soapenv:Envelope&gt;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Reglas funcionales y validaciones</w:t>
      </w:r>
    </w:p>
    <w:p>
      <w:pPr>
        <w:pStyle w:val="Heading3"/>
        <w:spacing w:after="200"/>
        <w:jc w:val="left"/>
      </w:pPr>
      <w:r>
        <w:t xml:space="preserve">Reglas principales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bodyIn.identificacion</w:t>
      </w:r>
      <w:r>
        <w:t xml:space="preserve"> obligatorio y distinto de </w:t>
      </w:r>
      <w:r>
        <w:rPr>
          <w:rFonts w:ascii="Courier New" w:cs="Courier New" w:eastAsia="Courier New" w:hAnsi="Courier New"/>
          <w:shd w:fill="F1F5F9" w:color="auto" w:val="clear"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bodyIn.tipoIdentificacion</w:t>
      </w:r>
      <w:r>
        <w:t xml:space="preserve"> obligatorio y distinto de </w:t>
      </w:r>
      <w:r>
        <w:rPr>
          <w:rFonts w:ascii="Courier New" w:cs="Courier New" w:eastAsia="Courier New" w:hAnsi="Courier New"/>
          <w:shd w:fill="F1F5F9" w:color="auto" w:val="clear"/>
        </w:rPr>
        <w:t xml:space="preserve">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bodyIn.tipoProducto</w:t>
      </w:r>
      <w:r>
        <w:t xml:space="preserve"> debe pertenecer al catálogo permitido.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bodyIn.flujo.estado</w:t>
      </w:r>
      <w:r>
        <w:t xml:space="preserve"> debe ser </w:t>
      </w:r>
      <w:r>
        <w:rPr>
          <w:rFonts w:ascii="Courier New" w:cs="Courier New" w:eastAsia="Courier New" w:hAnsi="Courier New"/>
          <w:shd w:fill="F1F5F9" w:color="auto" w:val="clear"/>
        </w:rPr>
        <w:t xml:space="preserve">iniciar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 </w:t>
      </w:r>
      <w:r>
        <w:rPr>
          <w:rFonts w:ascii="Courier New" w:cs="Courier New" w:eastAsia="Courier New" w:hAnsi="Courier New"/>
          <w:shd w:fill="F1F5F9" w:color="auto" w:val="clear"/>
        </w:rPr>
        <w:t xml:space="preserve">bodyIn.cif</w:t>
      </w:r>
      <w:r>
        <w:t xml:space="preserve"> llega vacío, se resuelve por integración.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Catálogo de tipoProducto permitido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CC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IV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TJ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TJA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CAC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CAV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Campos clave a validar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3"/>
        <w:gridCol w:w="2808"/>
        <w:gridCol w:w="42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Ubicación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Validación esperada</w:t>
            </w:r>
          </w:p>
        </w:tc>
      </w:tr>
      <w:tr>
        <w:tc>
          <w:p>
            <w:pPr>
              <w:jc w:val="left"/>
            </w:pPr>
            <w:r>
              <w:t xml:space="preserve">identificacion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bodyIn.identificacion</w:t>
            </w:r>
          </w:p>
        </w:tc>
        <w:tc>
          <w:p>
            <w:pPr>
              <w:jc w:val="left"/>
            </w:pPr>
            <w:r>
              <w:t xml:space="preserve">Obligatorio, no vacío, diferente de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tipoIdentificacion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bodyIn.tipoIdentificacion</w:t>
            </w:r>
          </w:p>
        </w:tc>
        <w:tc>
          <w:p>
            <w:pPr>
              <w:jc w:val="left"/>
            </w:pPr>
            <w:r>
              <w:t xml:space="preserve">Obligatorio, no vacío, diferente de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tipoProducto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bodyIn.tipoProducto</w:t>
            </w:r>
          </w:p>
        </w:tc>
        <w:tc>
          <w:p>
            <w:pPr>
              <w:jc w:val="left"/>
            </w:pPr>
            <w:r>
              <w:t xml:space="preserve">Debe pertenecer al catálogo permitido.</w:t>
            </w:r>
          </w:p>
        </w:tc>
      </w:tr>
      <w:tr>
        <w:tc>
          <w:p>
            <w:pPr>
              <w:jc w:val="left"/>
            </w:pPr>
            <w:r>
              <w:t xml:space="preserve">estado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bodyIn.flujo.estado</w:t>
            </w:r>
          </w:p>
        </w:tc>
        <w:tc>
          <w:p>
            <w:pPr>
              <w:jc w:val="left"/>
            </w:pPr>
            <w:r>
              <w:t xml:space="preserve">Debe ser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iniciar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cif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bodyIn.cif</w:t>
            </w:r>
          </w:p>
        </w:tc>
        <w:tc>
          <w:p>
            <w:pPr>
              <w:jc w:val="left"/>
            </w:pPr>
            <w:r>
              <w:t xml:space="preserve">Opcional de entrada; si viene vacío, se consulta externamente.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Manejo de errores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7"/>
        <w:gridCol w:w="3825"/>
        <w:gridCol w:w="1409"/>
        <w:gridCol w:w="30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Código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Mensaje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Operación exitosa (OK)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Flujo completo ejecutado correctamente.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Valor del campo identificacion vacío o inválido / No fue posible obtener CIF del cliente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Validaciones funcionales o falla de resolución de CIF.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Valor del campo tipoIdentificacion vacío o inválido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Validación de entrada.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Opción de búsqueda no permitida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Validación de tipo de producto.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Cliente no registra préstamos activos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Resultado funcional downstream.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Configuración de filtros / access channel incompleta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Error de parametrización.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Cliente no posee cuentas activas para transferencia local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Resultado funcional downstream.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Cliente no presenta cuentas activas para transaccionar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Resultado funcional downstream.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Cliente no posee cuentas para acreditación de avance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Resultado funcional downstream.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Valor del estado del flujo no parametrizado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Estado permitido: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iniciar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99</w:t>
            </w:r>
          </w:p>
        </w:tc>
        <w:tc>
          <w:p>
            <w:pPr>
              <w:jc w:val="left"/>
            </w:pPr>
            <w:r>
              <w:t xml:space="preserve">Respuesta inválida de WSProductos0118</w:t>
            </w:r>
          </w:p>
        </w:tc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Error de validación de downstream.</w:t>
            </w:r>
          </w:p>
        </w:tc>
      </w:tr>
      <w:tr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Unexpected error</w:t>
            </w:r>
          </w:p>
        </w:tc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Error técnico no controlado.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Diagrama de secuencia</w:t>
      </w:r>
    </w:p>
    <w:p>
      <w:pPr>
        <w:spacing w:after="16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Calidad y seguridad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88"/>
        <w:gridCol w:w="4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p>
            <w:pPr>
              <w:jc w:val="left"/>
            </w:pPr>
            <w:r>
              <w:t xml:space="preserve">Pruebas unitarias (JUnit 5 + Mockito)</w:t>
            </w:r>
          </w:p>
        </w:tc>
        <w:tc>
          <w:p>
            <w:pPr>
              <w:jc w:val="left"/>
            </w:pPr>
            <w:r>
              <w:t xml:space="preserve">Implementado</w:t>
            </w:r>
          </w:p>
        </w:tc>
      </w:tr>
      <w:tr>
        <w:tc>
          <w:p>
            <w:pPr>
              <w:jc w:val="left"/>
            </w:pPr>
            <w:r>
              <w:t xml:space="preserve">Cobertura Jacoco</w:t>
            </w:r>
          </w:p>
        </w:tc>
        <w:tc>
          <w:p>
            <w:pPr>
              <w:jc w:val="left"/>
            </w:pPr>
            <w:r>
              <w:t xml:space="preserve">Implementado</w:t>
            </w:r>
          </w:p>
        </w:tc>
      </w:tr>
      <w:tr>
        <w:tc>
          <w:p>
            <w:pPr>
              <w:jc w:val="left"/>
            </w:pPr>
            <w:r>
              <w:t xml:space="preserve">Sonar</w:t>
            </w:r>
          </w:p>
        </w:tc>
        <w:tc>
          <w:p>
            <w:pPr>
              <w:jc w:val="left"/>
            </w:pPr>
            <w:r>
              <w:t xml:space="preserve">Pendiente de URL de proyecto</w:t>
            </w:r>
          </w:p>
        </w:tc>
      </w:tr>
      <w:tr>
        <w:tc>
          <w:p>
            <w:pPr>
              <w:jc w:val="left"/>
            </w:pPr>
            <w:r>
              <w:t xml:space="preserve">Snyk</w:t>
            </w:r>
          </w:p>
        </w:tc>
        <w:tc>
          <w:p>
            <w:pPr>
              <w:jc w:val="left"/>
            </w:pPr>
            <w:r>
              <w:t xml:space="preserve">Pendiente de URL de proyecto</w:t>
            </w:r>
          </w:p>
        </w:tc>
      </w:tr>
      <w:tr>
        <w:tc>
          <w:p>
            <w:pPr>
              <w:jc w:val="left"/>
            </w:pPr>
            <w:r>
              <w:t xml:space="preserve">StackHawk</w:t>
            </w:r>
          </w:p>
        </w:tc>
        <w:tc>
          <w:p>
            <w:pPr>
              <w:jc w:val="left"/>
            </w:pPr>
            <w:r>
              <w:t xml:space="preserve">Host configurado en ambiente Development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Enlaces corporativos verificados</w:t>
      </w:r>
    </w:p>
    <w:p>
      <w:pPr>
        <w:spacing w:after="120"/>
        <w:jc w:val="left"/>
      </w:pPr>
      <w:r>
        <w:t xml:space="preserve">Estos enlaces provienen de configuración versionada del repositorio.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Pipeline template: </w:t>
      </w:r>
      <w:r>
        <w:rPr>
          <w:rFonts w:ascii="Courier New" w:cs="Courier New" w:eastAsia="Courier New" w:hAnsi="Courier New"/>
          <w:shd w:fill="F1F5F9" w:color="auto" w:val="clear"/>
        </w:rPr>
        <w:t xml:space="preserve">BP-DevOps-Infrastructure/common-pipeline-template-oc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Maven feed corporativo: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https://pkgs.dev.azure.com/BancoPichinchaEC/0f20bf47-c965-46fe-8bd4-91df57fbb2e7/_packaging/Framework/maven/v1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StackHawk host (Development):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https://tpr-msa-sp-orqclientes0003-enp.apps.ocpdev.uiotest.bpichinchatest.test/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Pendientes de publicación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URL oficial del repositorio en Azure DevOps.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URL oficial de tablero/proyecto Sonar.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URL oficial de proyecto Snyk.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Código de historia y responsables de aprobación.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d5ed50dd199c041d502fd507925c74842ab8e7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2026-07-02T21:25:20.402Z</dcterms:created>
  <dcterms:modified xsi:type="dcterms:W3CDTF">2026-07-02T21:25:20.402Z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