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L’utente deve cercare un viaggio. Inizia a pormi domande sul perché la tastiera non sia funzionante, gli viene spiegato il motivo. Seleziona un conducente, gli viene poi chiesto di accettare il viaggio accettato dal conducente, è confuso ma riesce a capire cosa fare dopo nostre delucidazioni.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sia in ritardo. All’utente viene chiesto di segnalare l’autista per l’inconveniente. Lo segnala senza problemi.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gli viene chiesto di controllare quanto carbonio è stato risparmiato. Trova le informazioni nella sezione Cronologia e statistiche senza difficoltà.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al viaggio simulato, di scrivere un commento e di assegnare 1 stella all’autista. Completa l’operazione velocemente ma rimane confuso quando la tastiera non scrive.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Profilo utente:</w:t>
        <w:br w:type="textWrapping"/>
      </w:r>
      <w:r w:rsidDel="00000000" w:rsidR="00000000" w:rsidRPr="00000000">
        <w:rPr>
          <w:rtl w:val="0"/>
        </w:rPr>
        <w:t xml:space="preserve">Utente di 20 anni, ha completato i task rapidamente, ma è stato distratto da alcuni elementi, come la tastiera che non funzionava correttamente. Inoltre, non gli era del tutto chiaro il processo di accettazione del viaggio accettato del conducente.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