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6B3C"/>
          <w:sz w:val="72"/>
          <w:szCs w:val="72"/>
        </w:rPr>
        <w:t xml:space="preserve">FlexiBooking</w:t>
      </w:r>
    </w:p>
    <w:p>
      <w:pPr>
        <w:spacing w:after="80" w:before="0"/>
        <w:jc w:val="center"/>
      </w:pPr>
      <w:r>
        <w:rPr>
          <w:rFonts w:ascii="Arial" w:cs="Arial" w:eastAsia="Arial" w:hAnsi="Arial"/>
          <w:b/>
          <w:bCs/>
          <w:color w:val="1F2937"/>
          <w:sz w:val="30"/>
          <w:szCs w:val="30"/>
        </w:rPr>
        <w:t xml:space="preserve">Plugin Specifications and Architectural Guidelines</w:t>
      </w:r>
    </w:p>
    <w:p>
      <w:pPr>
        <w:spacing w:after="60" w:before="0"/>
        <w:jc w:val="center"/>
      </w:pPr>
      <w:r>
        <w:rPr>
          <w:rFonts w:ascii="Arial" w:cs="Arial" w:eastAsia="Arial" w:hAnsi="Arial"/>
          <w:color w:val="1F2937"/>
          <w:sz w:val="28"/>
          <w:szCs w:val="28"/>
        </w:rPr>
        <w:t xml:space="preserve">for SaaS Evolution</w:t>
      </w:r>
    </w:p>
    <w:p>
      <w:pPr>
        <w:spacing w:after="20" w:before="20"/>
      </w:pPr>
    </w:p>
    <w:p>
      <w:pPr>
        <w:pBdr>
          <w:bottom w:val="single" w:color="E5E7EB" w:sz="4"/>
        </w:pBdr>
        <w:spacing w:after="60" w:before="60"/>
        <w:jc w:val="center"/>
      </w:pPr>
    </w:p>
    <w:p>
      <w:pPr>
        <w:spacing w:after="20" w:before="20"/>
      </w:pPr>
    </w:p>
    <w:p>
      <w:pPr>
        <w:spacing w:after="40" w:before="60"/>
        <w:jc w:val="center"/>
      </w:pPr>
      <w:r>
        <w:rPr>
          <w:rFonts w:ascii="Arial" w:cs="Arial" w:eastAsia="Arial" w:hAnsi="Arial"/>
          <w:i/>
          <w:iCs/>
          <w:color w:val="6B7280"/>
          <w:sz w:val="20"/>
          <w:szCs w:val="20"/>
        </w:rPr>
        <w:t xml:space="preserve">Working document — updated version with extended benchmarks,</w:t>
      </w:r>
    </w:p>
    <w:p>
      <w:pPr>
        <w:spacing w:after="40" w:before="0"/>
        <w:jc w:val="center"/>
      </w:pPr>
      <w:r>
        <w:rPr>
          <w:rFonts w:ascii="Arial" w:cs="Arial" w:eastAsia="Arial" w:hAnsi="Arial"/>
          <w:i/>
          <w:iCs/>
          <w:color w:val="6B7280"/>
          <w:sz w:val="20"/>
          <w:szCs w:val="20"/>
        </w:rPr>
        <w:t xml:space="preserve">channel manager logic and structured architectural section</w:t>
      </w:r>
    </w:p>
    <w:p>
      <w:pPr>
        <w:spacing w:after="20" w:before="20"/>
      </w:pPr>
    </w:p>
    <w:p>
      <w:pPr>
        <w:spacing w:after="40" w:before="60"/>
        <w:jc w:val="center"/>
      </w:pPr>
      <w:r>
        <w:rPr>
          <w:rFonts w:ascii="Arial" w:cs="Arial" w:eastAsia="Arial" w:hAnsi="Arial"/>
          <w:color w:val="374151"/>
          <w:sz w:val="20"/>
          <w:szCs w:val="20"/>
        </w:rPr>
        <w:t xml:space="preserve">Scope: tourism services, accommodation and other bookable services</w:t>
      </w:r>
    </w:p>
    <w:p>
      <w:pPr>
        <w:spacing w:after="40" w:before="0"/>
        <w:jc w:val="center"/>
      </w:pPr>
      <w:r>
        <w:rPr>
          <w:rFonts w:ascii="Arial" w:cs="Arial" w:eastAsia="Arial" w:hAnsi="Arial"/>
          <w:color w:val="374151"/>
          <w:sz w:val="20"/>
          <w:szCs w:val="20"/>
        </w:rPr>
        <w:t xml:space="preserve">Intended use: product team, development, operations and internal stakeholders</w:t>
      </w:r>
    </w:p>
    <w:p>
      <w:pPr>
        <w:spacing w:after="40" w:before="0"/>
        <w:jc w:val="center"/>
      </w:pPr>
      <w:r>
        <w:rPr>
          <w:rFonts w:ascii="Arial" w:cs="Arial" w:eastAsia="Arial" w:hAnsi="Arial"/>
          <w:color w:val="6B7280"/>
          <w:sz w:val="20"/>
          <w:szCs w:val="20"/>
        </w:rPr>
        <w:t xml:space="preserve">Date: April 2026</w:t>
      </w:r>
    </w:p>
    <w:p>
      <w:pPr>
        <w:spacing w:after="60" w:before="60"/>
      </w:pPr>
    </w:p>
    <w:p>
      <w:pPr>
        <w:pStyle w:val="Heading2"/>
        <w:spacing w:after="120" w:before="400"/>
      </w:pPr>
      <w:r>
        <w:rPr>
          <w:rFonts w:ascii="Arial" w:cs="Arial" w:eastAsia="Arial" w:hAnsi="Arial"/>
          <w:b/>
          <w:bCs/>
          <w:color w:val="1F2937"/>
          <w:sz w:val="28"/>
          <w:szCs w:val="28"/>
        </w:rPr>
        <w:t xml:space="preserve">Purpose of this Document</w:t>
      </w:r>
    </w:p>
    <w:p>
      <w:pPr>
        <w:spacing w:after="100" w:before="60"/>
      </w:pPr>
      <w:r>
        <w:rPr>
          <w:rFonts w:ascii="Arial" w:cs="Arial" w:eastAsia="Arial" w:hAnsi="Arial"/>
          <w:i w:val="false"/>
          <w:iCs w:val="false"/>
          <w:color w:val="374151"/>
          <w:sz w:val="20"/>
          <w:szCs w:val="20"/>
        </w:rPr>
        <w:t xml:space="preserve">This document has two objectives. The first part clearly defines the advanced features to be managed in the FlexiBooking plugin. The second part translates these requirements into a logical and architectural structure for FlexiBooking SaaS, including market benchmarks, modelling rules, channel manager implications and a proposal for canonical entities.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EFF6FF" w:val="clear"/>
            <w:tcMar>
              <w:top w:type="dxa" w:w="70"/>
              <w:left w:type="dxa" w:w="130"/>
              <w:bottom w:type="dxa" w:w="70"/>
              <w:right w:type="dxa" w:w="100"/>
            </w:tcMar>
          </w:tcPr>
          <w:p>
            <w:r>
              <w:rPr>
                <w:rFonts w:ascii="Arial" w:cs="Arial" w:eastAsia="Arial" w:hAnsi="Arial"/>
                <w:b/>
                <w:bCs/>
                <w:color w:val="1F2937"/>
                <w:sz w:val="19"/>
                <w:szCs w:val="19"/>
              </w:rPr>
              <w:t xml:space="preserve">Part 1</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FlexiBooking Plugin Specifications — Explanation of operational features with concrete examples, use cases and notes for product, support and development.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30"/>
              <w:bottom w:type="dxa" w:w="70"/>
              <w:right w:type="dxa" w:w="100"/>
            </w:tcMar>
          </w:tcPr>
          <w:p>
            <w:r>
              <w:rPr>
                <w:rFonts w:ascii="Arial" w:cs="Arial" w:eastAsia="Arial" w:hAnsi="Arial"/>
                <w:b/>
                <w:bCs/>
                <w:color w:val="1F2937"/>
                <w:sz w:val="19"/>
                <w:szCs w:val="19"/>
              </w:rPr>
              <w:t xml:space="preserve">Part 2</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FlexiBooking SaaS Evolution Specifications — Logical premise, benchmarks, software architecture, canonical entities, state rules, feature-layer matrix, channel manager and official use cases.</w:t>
            </w:r>
          </w:p>
        </w:tc>
      </w:tr>
    </w:tbl>
    <w:p>
      <w:pPr>
        <w:spacing w:after="40" w:before="40"/>
      </w:pPr>
    </w:p>
    <w:p>
      <w:r>
        <w:br w:type="page"/>
      </w:r>
    </w:p>
    <w:p>
      <w:pPr>
        <w:pStyle w:val="Heading1"/>
        <w:pBdr>
          <w:bottom w:val="single" w:color="1A6B3C" w:sz="8" w:space="4"/>
        </w:pBdr>
        <w:spacing w:after="160" w:before="560"/>
      </w:pPr>
      <w:r>
        <w:rPr>
          <w:rFonts w:ascii="Arial" w:cs="Arial" w:eastAsia="Arial" w:hAnsi="Arial"/>
          <w:b/>
          <w:bCs/>
          <w:color w:val="1A6B3C"/>
          <w:sz w:val="38"/>
          <w:szCs w:val="38"/>
        </w:rPr>
        <w:t xml:space="preserve">Executive Summary</w:t>
      </w:r>
    </w:p>
    <w:p>
      <w:pPr>
        <w:spacing w:after="100" w:before="60"/>
      </w:pPr>
      <w:r>
        <w:rPr>
          <w:rFonts w:ascii="Arial" w:cs="Arial" w:eastAsia="Arial" w:hAnsi="Arial"/>
          <w:i w:val="false"/>
          <w:iCs w:val="false"/>
          <w:color w:val="374151"/>
          <w:sz w:val="20"/>
          <w:szCs w:val="20"/>
        </w:rPr>
        <w:t xml:space="preserve">FlexiBooking is built around a model centred on services and extras, with the goal of managing the sale of tourism services. The advanced features already identified — shared extras, product as extra, service chaining, shared availability, options, virtual services, bundles — cover a very significant portion of real-world market cases.</w:t>
      </w:r>
    </w:p>
    <w:p>
      <w:pPr>
        <w:spacing w:after="100" w:before="60"/>
      </w:pPr>
      <w:r>
        <w:rPr>
          <w:rFonts w:ascii="Arial" w:cs="Arial" w:eastAsia="Arial" w:hAnsi="Arial"/>
          <w:i w:val="false"/>
          <w:iCs w:val="false"/>
          <w:color w:val="374151"/>
          <w:sz w:val="20"/>
          <w:szCs w:val="20"/>
        </w:rPr>
        <w:t xml:space="preserve">Moving to SaaS requires an evolution: it is not enough to add new features; what is needed is a technical structure that separates catalogue, commercial relationships, resources, consumption rules, time-based availability, pricing, lifecycle and distribution.</w:t>
      </w:r>
    </w:p>
    <w:p>
      <w:pPr>
        <w:spacing w:after="100" w:before="60"/>
      </w:pPr>
      <w:r>
        <w:rPr>
          <w:rFonts w:ascii="Arial" w:cs="Arial" w:eastAsia="Arial" w:hAnsi="Arial"/>
          <w:i w:val="false"/>
          <w:iCs w:val="false"/>
          <w:color w:val="374151"/>
          <w:sz w:val="20"/>
          <w:szCs w:val="20"/>
        </w:rPr>
        <w:t xml:space="preserve">The objective of the second part of this document is precisely this: to transform business use cases into a configurable, reusable engine compatible with tourism services, accommodation and other bookable services, while maintaining commercial clarity, operational control and robustness for analytics, reporting and channel management.</w:t>
      </w:r>
    </w:p>
    <w:p>
      <w:pPr>
        <w:spacing w:after="40" w:before="40"/>
      </w:pPr>
    </w:p>
    <w:p>
      <w:r>
        <w:br w:type="page"/>
      </w:r>
    </w:p>
    <w:p>
      <w:pPr>
        <w:pStyle w:val="Heading1"/>
        <w:pBdr>
          <w:bottom w:val="single" w:color="1A6B3C" w:sz="8" w:space="4"/>
        </w:pBdr>
        <w:spacing w:after="160" w:before="560"/>
      </w:pPr>
      <w:r>
        <w:rPr>
          <w:rFonts w:ascii="Arial" w:cs="Arial" w:eastAsia="Arial" w:hAnsi="Arial"/>
          <w:b/>
          <w:bCs/>
          <w:color w:val="1A6B3C"/>
          <w:sz w:val="38"/>
          <w:szCs w:val="38"/>
        </w:rPr>
        <w:t xml:space="preserve">Part 1 — FlexiBooking Plugin Specifications</w:t>
      </w:r>
    </w:p>
    <w:p>
      <w:pPr>
        <w:spacing w:after="100" w:before="60"/>
      </w:pPr>
      <w:r>
        <w:rPr>
          <w:rFonts w:ascii="Arial" w:cs="Arial" w:eastAsia="Arial" w:hAnsi="Arial"/>
          <w:i w:val="false"/>
          <w:iCs w:val="false"/>
          <w:color w:val="374151"/>
          <w:sz w:val="20"/>
          <w:szCs w:val="20"/>
        </w:rPr>
        <w:t xml:space="preserve">In this first part the focus remains on the FlexiBooking plugin in its functional evolution. Features are explained using clear language, concrete examples and logical differences between each scenario. The goal is not yet to define the final SaaS architecture, but to unambiguously establish what the product must be capable of representing from a business perspective.</w:t>
      </w:r>
    </w:p>
    <w:p>
      <w:pPr>
        <w:pStyle w:val="Heading2"/>
        <w:spacing w:after="120" w:before="400"/>
      </w:pPr>
      <w:r>
        <w:rPr>
          <w:rFonts w:ascii="Arial" w:cs="Arial" w:eastAsia="Arial" w:hAnsi="Arial"/>
          <w:b/>
          <w:bCs/>
          <w:color w:val="1F2937"/>
          <w:sz w:val="28"/>
          <w:szCs w:val="28"/>
        </w:rPr>
        <w:t xml:space="preserve">1.1 Functional Context of the Plugin</w:t>
      </w:r>
    </w:p>
    <w:p>
      <w:pPr>
        <w:spacing w:after="100" w:before="60"/>
      </w:pPr>
      <w:r>
        <w:rPr>
          <w:rFonts w:ascii="Arial" w:cs="Arial" w:eastAsia="Arial" w:hAnsi="Arial"/>
          <w:i w:val="false"/>
          <w:iCs w:val="false"/>
          <w:color w:val="374151"/>
          <w:sz w:val="20"/>
          <w:szCs w:val="20"/>
        </w:rPr>
        <w:t xml:space="preserve">The plugin manages the sale of bookable services, primarily in the tourism sector, using services and extras as its base concepts. As use cases grow, more advanced logic becomes necessary for inventory management, commercial composition and availability control. This logic is not only needed to sell more effectively — it is also critical for preventing overbooking, accurately modelling the catalogue and correctly reading business data.</w:t>
      </w:r>
    </w:p>
    <w:p>
      <w:pPr>
        <w:pStyle w:val="Heading2"/>
        <w:spacing w:after="120" w:before="400"/>
      </w:pPr>
      <w:r>
        <w:rPr>
          <w:rFonts w:ascii="Arial" w:cs="Arial" w:eastAsia="Arial" w:hAnsi="Arial"/>
          <w:b/>
          <w:bCs/>
          <w:color w:val="1F2937"/>
          <w:sz w:val="28"/>
          <w:szCs w:val="28"/>
        </w:rPr>
        <w:t xml:space="preserve">1.2 Feature Summary Map</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600"/>
        <w:gridCol w:w="2160"/>
      </w:tblGrid>
      <w:tr>
        <w:trPr>
          <w:tblHeader/>
        </w:trPr>
        <w:tc>
          <w:tcPr>
            <w:tcW w:type="dxa" w:w="21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Feature</w:t>
            </w:r>
          </w:p>
        </w:tc>
        <w:tc>
          <w:tcPr>
            <w:tcW w:type="dxa" w:w="25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Problem Solved</w:t>
            </w:r>
          </w:p>
        </w:tc>
        <w:tc>
          <w:tcPr>
            <w:tcW w:type="dxa" w:w="26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Key Example</w:t>
            </w:r>
          </w:p>
        </w:tc>
        <w:tc>
          <w:tcPr>
            <w:tcW w:type="dxa" w:w="21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Logic Family</w:t>
            </w:r>
          </w:p>
        </w:tc>
      </w:tr>
      <w:tr>
        <w:tc>
          <w:tcPr>
            <w:tcW w:type="dxa" w:w="2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Shared inventory extras</w:t>
            </w:r>
          </w:p>
        </w:tc>
        <w:tc>
          <w:tcPr>
            <w:tcW w:type="dxa" w:w="2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An accessory is sellable across multiple services but uses a single shared stock.</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Wellness kit across multiple thermal spa entries</w:t>
            </w:r>
          </w:p>
        </w:tc>
        <w:tc>
          <w:tcPr>
            <w:tcW w:type="dxa" w:w="21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Shared inventory</w:t>
            </w:r>
          </w:p>
        </w:tc>
      </w:tr>
      <w:tr>
        <w:tc>
          <w:tcPr>
            <w:tcW w:type="dxa" w:w="2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Product as extra</w:t>
            </w:r>
          </w:p>
        </w:tc>
        <w:tc>
          <w:tcPr>
            <w:tcW w:type="dxa" w:w="2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 product can also be sold as an add-on to another product.</w:t>
            </w:r>
          </w:p>
        </w:tc>
        <w:tc>
          <w:tcPr>
            <w:tcW w:type="dxa" w:w="2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Massage sold during purchase of thermal spa entry</w:t>
            </w:r>
          </w:p>
        </w:tc>
        <w:tc>
          <w:tcPr>
            <w:tcW w:type="dxa" w:w="21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Commercial composition</w:t>
            </w:r>
          </w:p>
        </w:tc>
      </w:tr>
      <w:tr>
        <w:tc>
          <w:tcPr>
            <w:tcW w:type="dxa" w:w="2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Service chaining</w:t>
            </w:r>
          </w:p>
        </w:tc>
        <w:tc>
          <w:tcPr>
            <w:tcW w:type="dxa" w:w="2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Two services compete for the same exclusive resource.</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Shared boat vs private boat</w:t>
            </w:r>
          </w:p>
        </w:tc>
        <w:tc>
          <w:tcPr>
            <w:tcW w:type="dxa" w:w="21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Operational exclusivity</w:t>
            </w:r>
          </w:p>
        </w:tc>
      </w:tr>
      <w:tr>
        <w:tc>
          <w:tcPr>
            <w:tcW w:type="dxa" w:w="2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Shared availability</w:t>
            </w:r>
          </w:p>
        </w:tc>
        <w:tc>
          <w:tcPr>
            <w:tcW w:type="dxa" w:w="2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Multiple services draw from the same numerical capacity.</w:t>
            </w:r>
          </w:p>
        </w:tc>
        <w:tc>
          <w:tcPr>
            <w:tcW w:type="dxa" w:w="2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Three wine tastings sharing 10 total seats</w:t>
            </w:r>
          </w:p>
        </w:tc>
        <w:tc>
          <w:tcPr>
            <w:tcW w:type="dxa" w:w="21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Capacity pool</w:t>
            </w:r>
          </w:p>
        </w:tc>
      </w:tr>
      <w:tr>
        <w:tc>
          <w:tcPr>
            <w:tcW w:type="dxa" w:w="2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Service with options</w:t>
            </w:r>
          </w:p>
        </w:tc>
        <w:tc>
          <w:tcPr>
            <w:tcW w:type="dxa" w:w="2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 single service with mutually exclusive variants.</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Light or full entry</w:t>
            </w:r>
          </w:p>
        </w:tc>
        <w:tc>
          <w:tcPr>
            <w:tcW w:type="dxa" w:w="21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Offer variants</w:t>
            </w:r>
          </w:p>
        </w:tc>
      </w:tr>
      <w:tr>
        <w:tc>
          <w:tcPr>
            <w:tcW w:type="dxa" w:w="2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Virtual services</w:t>
            </w:r>
          </w:p>
        </w:tc>
        <w:tc>
          <w:tcPr>
            <w:tcW w:type="dxa" w:w="2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 derived offer governs or aggregates real services.</w:t>
            </w:r>
          </w:p>
        </w:tc>
        <w:tc>
          <w:tcPr>
            <w:tcW w:type="dxa" w:w="2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Virtual 10-seat boat derived from 4-seat + 6-seat boat</w:t>
            </w:r>
          </w:p>
        </w:tc>
        <w:tc>
          <w:tcPr>
            <w:tcW w:type="dxa" w:w="21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Derived offer / availability propagation</w:t>
            </w:r>
          </w:p>
        </w:tc>
      </w:tr>
      <w:tr>
        <w:tc>
          <w:tcPr>
            <w:tcW w:type="dxa" w:w="2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Bundles and combos</w:t>
            </w:r>
          </w:p>
        </w:tc>
        <w:tc>
          <w:tcPr>
            <w:tcW w:type="dxa" w:w="2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Multiple services sold as a single package.</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Entry + massage + lunch</w:t>
            </w:r>
          </w:p>
        </w:tc>
        <w:tc>
          <w:tcPr>
            <w:tcW w:type="dxa" w:w="21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Commercial package</w:t>
            </w:r>
          </w:p>
        </w:tc>
      </w:tr>
    </w:tbl>
    <w:p>
      <w:pPr>
        <w:spacing w:after="40" w:before="40"/>
      </w:pPr>
    </w:p>
    <w:p>
      <w:pPr>
        <w:pStyle w:val="Heading2"/>
        <w:spacing w:after="120" w:before="400"/>
      </w:pPr>
      <w:r>
        <w:rPr>
          <w:rFonts w:ascii="Arial" w:cs="Arial" w:eastAsia="Arial" w:hAnsi="Arial"/>
          <w:b/>
          <w:bCs/>
          <w:color w:val="1F2937"/>
          <w:sz w:val="28"/>
          <w:szCs w:val="28"/>
        </w:rPr>
        <w:t xml:space="preserve">1.3 Shared Inventory Extras</w:t>
      </w:r>
    </w:p>
    <w:p>
      <w:pPr>
        <w:pStyle w:val="Heading3"/>
        <w:spacing w:after="80" w:before="280"/>
      </w:pPr>
      <w:r>
        <w:rPr>
          <w:rFonts w:ascii="Arial" w:cs="Arial" w:eastAsia="Arial" w:hAnsi="Arial"/>
          <w:b/>
          <w:bCs/>
          <w:color w:val="2563EB"/>
          <w:sz w:val="23"/>
          <w:szCs w:val="23"/>
        </w:rPr>
        <w:t xml:space="preserve">Objective</w:t>
      </w:r>
    </w:p>
    <w:p>
      <w:pPr>
        <w:spacing w:after="100" w:before="60"/>
      </w:pPr>
      <w:r>
        <w:rPr>
          <w:rFonts w:ascii="Arial" w:cs="Arial" w:eastAsia="Arial" w:hAnsi="Arial"/>
          <w:i w:val="false"/>
          <w:iCs w:val="false"/>
          <w:color w:val="374151"/>
          <w:sz w:val="20"/>
          <w:szCs w:val="20"/>
        </w:rPr>
        <w:t xml:space="preserve">Allow an extra to be linked to multiple services while maintaining a single global availability, preventing overbooking and stock duplication.</w:t>
      </w:r>
    </w:p>
    <w:p>
      <w:pPr>
        <w:pStyle w:val="ListParagraph"/>
        <w:numPr>
          <w:ilvl w:val="0"/>
          <w:numId w:val="2"/>
        </w:numPr>
        <w:spacing w:after="40" w:before="40"/>
      </w:pPr>
      <w:r>
        <w:rPr>
          <w:rFonts w:ascii="Arial" w:cs="Arial" w:eastAsia="Arial" w:hAnsi="Arial"/>
          <w:color w:val="374151"/>
          <w:sz w:val="20"/>
          <w:szCs w:val="20"/>
        </w:rPr>
        <w:t xml:space="preserve">Example: a thermal park sells morning, afternoon and evening entries. The wellness kit can be purchased with all three, but only 100 kits are available in total.</w:t>
      </w:r>
    </w:p>
    <w:p>
      <w:pPr>
        <w:pStyle w:val="ListParagraph"/>
        <w:numPr>
          <w:ilvl w:val="0"/>
          <w:numId w:val="2"/>
        </w:numPr>
        <w:spacing w:after="40" w:before="40"/>
      </w:pPr>
      <w:r>
        <w:rPr>
          <w:rFonts w:ascii="Arial" w:cs="Arial" w:eastAsia="Arial" w:hAnsi="Arial"/>
          <w:color w:val="374151"/>
          <w:sz w:val="20"/>
          <w:szCs w:val="20"/>
        </w:rPr>
        <w:t xml:space="preserve">When a user purchases the wellness kit from any service, the system must decrement the same global availability.</w:t>
      </w:r>
    </w:p>
    <w:p>
      <w:pPr>
        <w:pStyle w:val="ListParagraph"/>
        <w:numPr>
          <w:ilvl w:val="0"/>
          <w:numId w:val="2"/>
        </w:numPr>
        <w:spacing w:after="40" w:before="40"/>
      </w:pPr>
      <w:r>
        <w:rPr>
          <w:rFonts w:ascii="Arial" w:cs="Arial" w:eastAsia="Arial" w:hAnsi="Arial"/>
          <w:color w:val="374151"/>
          <w:sz w:val="20"/>
          <w:szCs w:val="20"/>
        </w:rPr>
        <w:t xml:space="preserve">The correct logic is not "three identical extras copied across three services" but "one unique extra linked to multiple services with shared inventory".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4"/>
              <w:bottom w:val="none" w:color="FFFFFF" w:sz="0"/>
              <w:right w:val="none" w:color="FFFFFF" w:sz="0"/>
            </w:tcBorders>
            <w:shd w:fill="F0FDF4"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This mapping also matters for reporting: the kit remains a single business object with centralised stock, cost and consumption tracking.</w:t>
            </w:r>
          </w:p>
        </w:tc>
      </w:tr>
    </w:tbl>
    <w:p>
      <w:pPr>
        <w:pStyle w:val="Heading2"/>
        <w:spacing w:after="120" w:before="400"/>
      </w:pPr>
      <w:r>
        <w:rPr>
          <w:rFonts w:ascii="Arial" w:cs="Arial" w:eastAsia="Arial" w:hAnsi="Arial"/>
          <w:b/>
          <w:bCs/>
          <w:color w:val="1F2937"/>
          <w:sz w:val="28"/>
          <w:szCs w:val="28"/>
        </w:rPr>
        <w:t xml:space="preserve">1.4 Product as Extra of Another Product</w:t>
      </w:r>
    </w:p>
    <w:p>
      <w:pPr>
        <w:pStyle w:val="Heading3"/>
        <w:spacing w:after="80" w:before="280"/>
      </w:pPr>
      <w:r>
        <w:rPr>
          <w:rFonts w:ascii="Arial" w:cs="Arial" w:eastAsia="Arial" w:hAnsi="Arial"/>
          <w:b/>
          <w:bCs/>
          <w:color w:val="2563EB"/>
          <w:sz w:val="23"/>
          <w:szCs w:val="23"/>
        </w:rPr>
        <w:t xml:space="preserve">Objective</w:t>
      </w:r>
    </w:p>
    <w:p>
      <w:pPr>
        <w:spacing w:after="100" w:before="60"/>
      </w:pPr>
      <w:r>
        <w:rPr>
          <w:rFonts w:ascii="Arial" w:cs="Arial" w:eastAsia="Arial" w:hAnsi="Arial"/>
          <w:i w:val="false"/>
          <w:iCs w:val="false"/>
          <w:color w:val="374151"/>
          <w:sz w:val="20"/>
          <w:szCs w:val="20"/>
        </w:rPr>
        <w:t xml:space="preserve">Allow a standalone product to also be sold as an add-on during the purchase of another service, without losing its own identity.</w:t>
      </w:r>
    </w:p>
    <w:p>
      <w:pPr>
        <w:pStyle w:val="ListParagraph"/>
        <w:numPr>
          <w:ilvl w:val="0"/>
          <w:numId w:val="2"/>
        </w:numPr>
        <w:spacing w:after="40" w:before="40"/>
      </w:pPr>
      <w:r>
        <w:rPr>
          <w:rFonts w:ascii="Arial" w:cs="Arial" w:eastAsia="Arial" w:hAnsi="Arial"/>
          <w:color w:val="374151"/>
          <w:sz w:val="20"/>
          <w:szCs w:val="20"/>
        </w:rPr>
        <w:t xml:space="preserve">Example: the massage is sellable as a standalone product but also as an extra during the purchase of the thermal spa entry.</w:t>
      </w:r>
    </w:p>
    <w:p>
      <w:pPr>
        <w:pStyle w:val="ListParagraph"/>
        <w:numPr>
          <w:ilvl w:val="0"/>
          <w:numId w:val="2"/>
        </w:numPr>
        <w:spacing w:after="40" w:before="40"/>
      </w:pPr>
      <w:r>
        <w:rPr>
          <w:rFonts w:ascii="Arial" w:cs="Arial" w:eastAsia="Arial" w:hAnsi="Arial"/>
          <w:color w:val="374151"/>
          <w:sz w:val="20"/>
          <w:szCs w:val="20"/>
        </w:rPr>
        <w:t xml:space="preserve">The product-extra retains its own price, availability, optional calendar and booking logic.</w:t>
      </w:r>
    </w:p>
    <w:p>
      <w:pPr>
        <w:pStyle w:val="ListParagraph"/>
        <w:numPr>
          <w:ilvl w:val="0"/>
          <w:numId w:val="2"/>
        </w:numPr>
        <w:spacing w:after="40" w:before="40"/>
      </w:pPr>
      <w:r>
        <w:rPr>
          <w:rFonts w:ascii="Arial" w:cs="Arial" w:eastAsia="Arial" w:hAnsi="Arial"/>
          <w:color w:val="374151"/>
          <w:sz w:val="20"/>
          <w:szCs w:val="20"/>
        </w:rPr>
        <w:t xml:space="preserve">From the order perspective, the user perceives an upsell; from the system perspective, the product must remain recognisable as an autonomous entity.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4"/>
              <w:bottom w:val="none" w:color="FFFFFF" w:sz="0"/>
              <w:right w:val="none" w:color="FFFFFF" w:sz="0"/>
            </w:tcBorders>
            <w:shd w:fill="FFFBEB"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This feature enables cross-selling and higher average order value, but must not be confused with bundles or options.</w:t>
            </w:r>
          </w:p>
        </w:tc>
      </w:tr>
    </w:tbl>
    <w:p>
      <w:pPr>
        <w:pStyle w:val="Heading2"/>
        <w:spacing w:after="120" w:before="400"/>
      </w:pPr>
      <w:r>
        <w:rPr>
          <w:rFonts w:ascii="Arial" w:cs="Arial" w:eastAsia="Arial" w:hAnsi="Arial"/>
          <w:b/>
          <w:bCs/>
          <w:color w:val="1F2937"/>
          <w:sz w:val="28"/>
          <w:szCs w:val="28"/>
        </w:rPr>
        <w:t xml:space="preserve">1.5 Service Chaining</w:t>
      </w:r>
    </w:p>
    <w:p>
      <w:pPr>
        <w:pStyle w:val="Heading3"/>
        <w:spacing w:after="80" w:before="280"/>
      </w:pPr>
      <w:r>
        <w:rPr>
          <w:rFonts w:ascii="Arial" w:cs="Arial" w:eastAsia="Arial" w:hAnsi="Arial"/>
          <w:b/>
          <w:bCs/>
          <w:color w:val="2563EB"/>
          <w:sz w:val="23"/>
          <w:szCs w:val="23"/>
        </w:rPr>
        <w:t xml:space="preserve">Objective</w:t>
      </w:r>
    </w:p>
    <w:p>
      <w:pPr>
        <w:spacing w:after="100" w:before="60"/>
      </w:pPr>
      <w:r>
        <w:rPr>
          <w:rFonts w:ascii="Arial" w:cs="Arial" w:eastAsia="Arial" w:hAnsi="Arial"/>
          <w:i w:val="false"/>
          <w:iCs w:val="false"/>
          <w:color w:val="374151"/>
          <w:sz w:val="20"/>
          <w:szCs w:val="20"/>
        </w:rPr>
        <w:t xml:space="preserve">Manage services that use the same exclusive resource, so that selling one makes the other unsellable for the same slot or date.</w:t>
      </w:r>
    </w:p>
    <w:p>
      <w:pPr>
        <w:pStyle w:val="ListParagraph"/>
        <w:numPr>
          <w:ilvl w:val="0"/>
          <w:numId w:val="2"/>
        </w:numPr>
        <w:spacing w:after="40" w:before="40"/>
      </w:pPr>
      <w:r>
        <w:rPr>
          <w:rFonts w:ascii="Arial" w:cs="Arial" w:eastAsia="Arial" w:hAnsi="Arial"/>
          <w:color w:val="374151"/>
          <w:sz w:val="20"/>
          <w:szCs w:val="20"/>
        </w:rPr>
        <w:t xml:space="preserve">Example: an operator sells a shared boat experience and the same boat exclusively.</w:t>
      </w:r>
    </w:p>
    <w:p>
      <w:pPr>
        <w:pStyle w:val="ListParagraph"/>
        <w:numPr>
          <w:ilvl w:val="0"/>
          <w:numId w:val="2"/>
        </w:numPr>
        <w:spacing w:after="40" w:before="40"/>
      </w:pPr>
      <w:r>
        <w:rPr>
          <w:rFonts w:ascii="Arial" w:cs="Arial" w:eastAsia="Arial" w:hAnsi="Arial"/>
          <w:color w:val="374151"/>
          <w:sz w:val="20"/>
          <w:szCs w:val="20"/>
        </w:rPr>
        <w:t xml:space="preserve">If a customer purchases even one seat on the shared boat, the exclusive service must close on that date/slot.</w:t>
      </w:r>
    </w:p>
    <w:p>
      <w:pPr>
        <w:pStyle w:val="ListParagraph"/>
        <w:numPr>
          <w:ilvl w:val="0"/>
          <w:numId w:val="2"/>
        </w:numPr>
        <w:spacing w:after="40" w:before="40"/>
      </w:pPr>
      <w:r>
        <w:rPr>
          <w:rFonts w:ascii="Arial" w:cs="Arial" w:eastAsia="Arial" w:hAnsi="Arial"/>
          <w:color w:val="374151"/>
          <w:sz w:val="20"/>
          <w:szCs w:val="20"/>
        </w:rPr>
        <w:t xml:space="preserve">If the exclusive boat is sold, the shared service must close on that same date/slot.</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4"/>
              <w:bottom w:val="none" w:color="FFFFFF" w:sz="0"/>
              <w:right w:val="none" w:color="FFFFFF" w:sz="0"/>
            </w:tcBorders>
            <w:shd w:fill="FFFBEB"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This logic is not a numerical shared availability: it is a mutual exclusion rule based on the same resource.</w:t>
            </w:r>
          </w:p>
        </w:tc>
      </w:tr>
    </w:tbl>
    <w:p>
      <w:pPr>
        <w:pStyle w:val="Heading2"/>
        <w:spacing w:after="120" w:before="400"/>
      </w:pPr>
      <w:r>
        <w:rPr>
          <w:rFonts w:ascii="Arial" w:cs="Arial" w:eastAsia="Arial" w:hAnsi="Arial"/>
          <w:b/>
          <w:bCs/>
          <w:color w:val="1F2937"/>
          <w:sz w:val="28"/>
          <w:szCs w:val="28"/>
        </w:rPr>
        <w:t xml:space="preserve">1.6 Services with Shared Calendar and Availability</w:t>
      </w:r>
    </w:p>
    <w:p>
      <w:pPr>
        <w:pStyle w:val="Heading3"/>
        <w:spacing w:after="80" w:before="280"/>
      </w:pPr>
      <w:r>
        <w:rPr>
          <w:rFonts w:ascii="Arial" w:cs="Arial" w:eastAsia="Arial" w:hAnsi="Arial"/>
          <w:b/>
          <w:bCs/>
          <w:color w:val="2563EB"/>
          <w:sz w:val="23"/>
          <w:szCs w:val="23"/>
        </w:rPr>
        <w:t xml:space="preserve">Objective</w:t>
      </w:r>
    </w:p>
    <w:p>
      <w:pPr>
        <w:spacing w:after="100" w:before="60"/>
      </w:pPr>
      <w:r>
        <w:rPr>
          <w:rFonts w:ascii="Arial" w:cs="Arial" w:eastAsia="Arial" w:hAnsi="Arial"/>
          <w:i w:val="false"/>
          <w:iCs w:val="false"/>
          <w:color w:val="374151"/>
          <w:sz w:val="20"/>
          <w:szCs w:val="20"/>
        </w:rPr>
        <w:t xml:space="preserve">Allow multiple distinct services to share the same calendar and the same capacity, with synchronised decrements.</w:t>
      </w:r>
    </w:p>
    <w:p>
      <w:pPr>
        <w:pStyle w:val="ListParagraph"/>
        <w:numPr>
          <w:ilvl w:val="0"/>
          <w:numId w:val="2"/>
        </w:numPr>
        <w:spacing w:after="40" w:before="40"/>
      </w:pPr>
      <w:r>
        <w:rPr>
          <w:rFonts w:ascii="Arial" w:cs="Arial" w:eastAsia="Arial" w:hAnsi="Arial"/>
          <w:color w:val="374151"/>
          <w:sz w:val="20"/>
          <w:szCs w:val="20"/>
        </w:rPr>
        <w:t xml:space="preserve">Example: a winery sells light, classic and complete tastings on the same slots, with 10 total seats managed by the same operator.</w:t>
      </w:r>
    </w:p>
    <w:p>
      <w:pPr>
        <w:pStyle w:val="ListParagraph"/>
        <w:numPr>
          <w:ilvl w:val="0"/>
          <w:numId w:val="2"/>
        </w:numPr>
        <w:spacing w:after="40" w:before="40"/>
      </w:pPr>
      <w:r>
        <w:rPr>
          <w:rFonts w:ascii="Arial" w:cs="Arial" w:eastAsia="Arial" w:hAnsi="Arial"/>
          <w:color w:val="374151"/>
          <w:sz w:val="20"/>
          <w:szCs w:val="20"/>
        </w:rPr>
        <w:t xml:space="preserve">If 2 seats are booked for the light tasting, the remaining availability for the other two services becomes 8.</w:t>
      </w:r>
    </w:p>
    <w:p>
      <w:pPr>
        <w:pStyle w:val="ListParagraph"/>
        <w:numPr>
          <w:ilvl w:val="0"/>
          <w:numId w:val="2"/>
        </w:numPr>
        <w:spacing w:after="40" w:before="40"/>
      </w:pPr>
      <w:r>
        <w:rPr>
          <w:rFonts w:ascii="Arial" w:cs="Arial" w:eastAsia="Arial" w:hAnsi="Arial"/>
          <w:color w:val="374151"/>
          <w:sz w:val="20"/>
          <w:szCs w:val="20"/>
        </w:rPr>
        <w:t xml:space="preserve">The three services remain commercially distinct but read from and consume the same capacity.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4"/>
              <w:bottom w:val="none" w:color="FFFFFF" w:sz="0"/>
              <w:right w:val="none" w:color="FFFFFF" w:sz="0"/>
            </w:tcBorders>
            <w:shd w:fill="F0FDF4"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The difference from chaining is clear: here services do not exclude each other in a binary way — they compete for the same pool of seats.</w:t>
            </w:r>
          </w:p>
        </w:tc>
      </w:tr>
    </w:tbl>
    <w:p>
      <w:pPr>
        <w:pStyle w:val="Heading2"/>
        <w:spacing w:after="120" w:before="400"/>
      </w:pPr>
      <w:r>
        <w:rPr>
          <w:rFonts w:ascii="Arial" w:cs="Arial" w:eastAsia="Arial" w:hAnsi="Arial"/>
          <w:b/>
          <w:bCs/>
          <w:color w:val="1F2937"/>
          <w:sz w:val="28"/>
          <w:szCs w:val="28"/>
        </w:rPr>
        <w:t xml:space="preserve">1.7 Services with Different Options</w:t>
      </w:r>
    </w:p>
    <w:p>
      <w:pPr>
        <w:pStyle w:val="Heading3"/>
        <w:spacing w:after="80" w:before="280"/>
      </w:pPr>
      <w:r>
        <w:rPr>
          <w:rFonts w:ascii="Arial" w:cs="Arial" w:eastAsia="Arial" w:hAnsi="Arial"/>
          <w:b/>
          <w:bCs/>
          <w:color w:val="2563EB"/>
          <w:sz w:val="23"/>
          <w:szCs w:val="23"/>
        </w:rPr>
        <w:t xml:space="preserve">Objective</w:t>
      </w:r>
    </w:p>
    <w:p>
      <w:pPr>
        <w:spacing w:after="100" w:before="60"/>
      </w:pPr>
      <w:r>
        <w:rPr>
          <w:rFonts w:ascii="Arial" w:cs="Arial" w:eastAsia="Arial" w:hAnsi="Arial"/>
          <w:i w:val="false"/>
          <w:iCs w:val="false"/>
          <w:color w:val="374151"/>
          <w:sz w:val="20"/>
          <w:szCs w:val="20"/>
        </w:rPr>
        <w:t xml:space="preserve">Manage a single service with predefined, mutually exclusive purchase variants, avoiding the need to simulate these variants with separate services or extras.</w:t>
      </w:r>
    </w:p>
    <w:p>
      <w:pPr>
        <w:pStyle w:val="ListParagraph"/>
        <w:numPr>
          <w:ilvl w:val="0"/>
          <w:numId w:val="2"/>
        </w:numPr>
        <w:spacing w:after="40" w:before="40"/>
      </w:pPr>
      <w:r>
        <w:rPr>
          <w:rFonts w:ascii="Arial" w:cs="Arial" w:eastAsia="Arial" w:hAnsi="Arial"/>
          <w:color w:val="374151"/>
          <w:sz w:val="20"/>
          <w:szCs w:val="20"/>
        </w:rPr>
        <w:t xml:space="preserve">Example: thermal park entry with a light option (ticket only) and a full option (ticket + lunch + wellness kit).</w:t>
      </w:r>
    </w:p>
    <w:p>
      <w:pPr>
        <w:pStyle w:val="ListParagraph"/>
        <w:numPr>
          <w:ilvl w:val="0"/>
          <w:numId w:val="2"/>
        </w:numPr>
        <w:spacing w:after="40" w:before="40"/>
      </w:pPr>
      <w:r>
        <w:rPr>
          <w:rFonts w:ascii="Arial" w:cs="Arial" w:eastAsia="Arial" w:hAnsi="Arial"/>
          <w:color w:val="374151"/>
          <w:sz w:val="20"/>
          <w:szCs w:val="20"/>
        </w:rPr>
        <w:t xml:space="preserve">The user first chooses the service, then must select one option.</w:t>
      </w:r>
    </w:p>
    <w:p>
      <w:pPr>
        <w:pStyle w:val="ListParagraph"/>
        <w:numPr>
          <w:ilvl w:val="0"/>
          <w:numId w:val="2"/>
        </w:numPr>
        <w:spacing w:after="40" w:before="40"/>
      </w:pPr>
      <w:r>
        <w:rPr>
          <w:rFonts w:ascii="Arial" w:cs="Arial" w:eastAsia="Arial" w:hAnsi="Arial"/>
          <w:color w:val="374151"/>
          <w:sz w:val="20"/>
          <w:szCs w:val="20"/>
        </w:rPr>
        <w:t xml:space="preserve">Options have different prices but share the same availability of the base service.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4"/>
              <w:bottom w:val="none" w:color="FFFFFF" w:sz="0"/>
              <w:right w:val="none" w:color="FFFFFF" w:sz="0"/>
            </w:tcBorders>
            <w:shd w:fill="F0FDF4"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From an analytics perspective it is important to save both the service sold and the option chosen, as purchasing behaviour differs significantly.</w:t>
            </w:r>
          </w:p>
        </w:tc>
      </w:tr>
    </w:tbl>
    <w:p>
      <w:pPr>
        <w:pStyle w:val="Heading2"/>
        <w:spacing w:after="120" w:before="400"/>
      </w:pPr>
      <w:r>
        <w:rPr>
          <w:rFonts w:ascii="Arial" w:cs="Arial" w:eastAsia="Arial" w:hAnsi="Arial"/>
          <w:b/>
          <w:bCs/>
          <w:color w:val="1F2937"/>
          <w:sz w:val="28"/>
          <w:szCs w:val="28"/>
        </w:rPr>
        <w:t xml:space="preserve">1.8 Virtual Services</w:t>
      </w:r>
    </w:p>
    <w:p>
      <w:pPr>
        <w:pStyle w:val="Heading3"/>
        <w:spacing w:after="80" w:before="280"/>
      </w:pPr>
      <w:r>
        <w:rPr>
          <w:rFonts w:ascii="Arial" w:cs="Arial" w:eastAsia="Arial" w:hAnsi="Arial"/>
          <w:b/>
          <w:bCs/>
          <w:color w:val="2563EB"/>
          <w:sz w:val="23"/>
          <w:szCs w:val="23"/>
        </w:rPr>
        <w:t xml:space="preserve">Objective</w:t>
      </w:r>
    </w:p>
    <w:p>
      <w:pPr>
        <w:spacing w:after="100" w:before="60"/>
      </w:pPr>
      <w:r>
        <w:rPr>
          <w:rFonts w:ascii="Arial" w:cs="Arial" w:eastAsia="Arial" w:hAnsi="Arial"/>
          <w:i w:val="false"/>
          <w:iCs w:val="false"/>
          <w:color w:val="374151"/>
          <w:sz w:val="20"/>
          <w:szCs w:val="20"/>
        </w:rPr>
        <w:t xml:space="preserve">Introduce a derived offer that governs the availability of two or more linked real services. The virtual service is not a simple commercial alias — it is a sales rule that depends on multiple underlying services.</w:t>
      </w:r>
    </w:p>
    <w:p>
      <w:pPr>
        <w:spacing w:after="100" w:before="60"/>
      </w:pPr>
      <w:r>
        <w:rPr>
          <w:rFonts w:ascii="Arial" w:cs="Arial" w:eastAsia="Arial" w:hAnsi="Arial"/>
          <w:i w:val="false"/>
          <w:iCs w:val="false"/>
          <w:color w:val="374151"/>
          <w:sz w:val="20"/>
          <w:szCs w:val="20"/>
        </w:rPr>
        <w:t xml:space="preserve">The clearest case is as follows. An operator owns two real vessels:</w:t>
      </w:r>
    </w:p>
    <w:p>
      <w:pPr>
        <w:pStyle w:val="ListParagraph"/>
        <w:numPr>
          <w:ilvl w:val="0"/>
          <w:numId w:val="2"/>
        </w:numPr>
        <w:spacing w:after="40" w:before="40"/>
      </w:pPr>
      <w:r>
        <w:rPr>
          <w:rFonts w:ascii="Arial" w:cs="Arial" w:eastAsia="Arial" w:hAnsi="Arial"/>
          <w:color w:val="374151"/>
          <w:sz w:val="20"/>
          <w:szCs w:val="20"/>
        </w:rPr>
        <w:t xml:space="preserve">Boat A with 4 seats</w:t>
      </w:r>
    </w:p>
    <w:p>
      <w:pPr>
        <w:pStyle w:val="ListParagraph"/>
        <w:numPr>
          <w:ilvl w:val="0"/>
          <w:numId w:val="2"/>
        </w:numPr>
        <w:spacing w:after="40" w:before="40"/>
      </w:pPr>
      <w:r>
        <w:rPr>
          <w:rFonts w:ascii="Arial" w:cs="Arial" w:eastAsia="Arial" w:hAnsi="Arial"/>
          <w:color w:val="374151"/>
          <w:sz w:val="20"/>
          <w:szCs w:val="20"/>
        </w:rPr>
        <w:t xml:space="preserve">Boat B with 6 seats</w:t>
      </w:r>
    </w:p>
    <w:p>
      <w:pPr>
        <w:spacing w:after="100" w:before="60"/>
      </w:pPr>
      <w:r>
        <w:rPr>
          <w:rFonts w:ascii="Arial" w:cs="Arial" w:eastAsia="Arial" w:hAnsi="Arial"/>
          <w:i w:val="false"/>
          <w:iCs w:val="false"/>
          <w:color w:val="374151"/>
          <w:sz w:val="20"/>
          <w:szCs w:val="20"/>
        </w:rPr>
        <w:t xml:space="preserve">These two boats can be sold separately as two distinct real services. In parallel, the operator also wants to sell a third offer: a virtual service "10-seat boat", built from the simultaneous use of the 4-seat and 6-seat boat.</w:t>
      </w:r>
    </w:p>
    <w:p>
      <w:pPr>
        <w:spacing w:after="100" w:before="60"/>
      </w:pPr>
      <w:r>
        <w:rPr>
          <w:rFonts w:ascii="Arial" w:cs="Arial" w:eastAsia="Arial" w:hAnsi="Arial"/>
          <w:i w:val="false"/>
          <w:iCs w:val="false"/>
          <w:color w:val="374151"/>
          <w:sz w:val="20"/>
          <w:szCs w:val="20"/>
        </w:rPr>
        <w:t xml:space="preserve">The correct logic is as follows:</w:t>
      </w:r>
    </w:p>
    <w:p>
      <w:pPr>
        <w:pStyle w:val="ListParagraph"/>
        <w:numPr>
          <w:ilvl w:val="0"/>
          <w:numId w:val="2"/>
        </w:numPr>
        <w:spacing w:after="40" w:before="40"/>
      </w:pPr>
      <w:r>
        <w:rPr>
          <w:rFonts w:ascii="Arial" w:cs="Arial" w:eastAsia="Arial" w:hAnsi="Arial"/>
          <w:color w:val="374151"/>
          <w:sz w:val="20"/>
          <w:szCs w:val="20"/>
        </w:rPr>
        <w:t xml:space="preserve">If the virtual 10-seat service is sold, the system must close sales of both underlying real services, as both boats are consumed by the virtual service.</w:t>
      </w:r>
    </w:p>
    <w:p>
      <w:pPr>
        <w:pStyle w:val="ListParagraph"/>
        <w:numPr>
          <w:ilvl w:val="0"/>
          <w:numId w:val="2"/>
        </w:numPr>
        <w:spacing w:after="40" w:before="40"/>
      </w:pPr>
      <w:r>
        <w:rPr>
          <w:rFonts w:ascii="Arial" w:cs="Arial" w:eastAsia="Arial" w:hAnsi="Arial"/>
          <w:color w:val="374151"/>
          <w:sz w:val="20"/>
          <w:szCs w:val="20"/>
        </w:rPr>
        <w:t xml:space="preserve">If real service Boat A (4 seats) is sold, the virtual 10-seat service is no longer available, because not all required components are available. Boat B (6 seats) can however remain on sale as a standalone service.</w:t>
      </w:r>
    </w:p>
    <w:p>
      <w:pPr>
        <w:pStyle w:val="ListParagraph"/>
        <w:numPr>
          <w:ilvl w:val="0"/>
          <w:numId w:val="2"/>
        </w:numPr>
        <w:spacing w:after="40" w:before="40"/>
      </w:pPr>
      <w:r>
        <w:rPr>
          <w:rFonts w:ascii="Arial" w:cs="Arial" w:eastAsia="Arial" w:hAnsi="Arial"/>
          <w:color w:val="374151"/>
          <w:sz w:val="20"/>
          <w:szCs w:val="20"/>
        </w:rPr>
        <w:t xml:space="preserve">If real service Boat B (6 seats) is sold, the same logic applies in reverse: the virtual service closes, while Boat A (4 seats) can remain on sale.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4"/>
              <w:bottom w:val="none" w:color="FFFFFF" w:sz="0"/>
              <w:right w:val="none" w:color="FFFFFF" w:sz="0"/>
            </w:tcBorders>
            <w:shd w:fill="EFF6FF"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This mapping differs from both shared availability and pure chaining. We are not saying the three services read the same number of seats; we are saying the virtual service depends on the simultaneous availability of multiple real services and that its sellability propagates both downward and upward.</w:t>
            </w:r>
          </w:p>
        </w:tc>
      </w:tr>
    </w:tbl>
    <w:p>
      <w:pPr>
        <w:spacing w:after="20" w:before="20"/>
      </w:pPr>
    </w:p>
    <w:p>
      <w:pPr>
        <w:spacing w:after="100" w:before="60"/>
      </w:pPr>
      <w:r>
        <w:rPr>
          <w:rFonts w:ascii="Arial" w:cs="Arial" w:eastAsia="Arial" w:hAnsi="Arial"/>
          <w:i w:val="false"/>
          <w:iCs w:val="false"/>
          <w:color w:val="374151"/>
          <w:sz w:val="20"/>
          <w:szCs w:val="20"/>
        </w:rPr>
        <w:t xml:space="preserve">In business terms, the advantage is strong: a larger or richer offer can be sold without physically duplicating the inventory. In development terms, this feature requires a precise availability propagation rule.</w:t>
      </w:r>
    </w:p>
    <w:p>
      <w:pPr>
        <w:pStyle w:val="Heading2"/>
        <w:spacing w:after="120" w:before="400"/>
      </w:pPr>
      <w:r>
        <w:rPr>
          <w:rFonts w:ascii="Arial" w:cs="Arial" w:eastAsia="Arial" w:hAnsi="Arial"/>
          <w:b/>
          <w:bCs/>
          <w:color w:val="1F2937"/>
          <w:sz w:val="28"/>
          <w:szCs w:val="28"/>
        </w:rPr>
        <w:t xml:space="preserve">1.9 Bundles and Combos</w:t>
      </w:r>
    </w:p>
    <w:p>
      <w:pPr>
        <w:pStyle w:val="Heading3"/>
        <w:spacing w:after="80" w:before="280"/>
      </w:pPr>
      <w:r>
        <w:rPr>
          <w:rFonts w:ascii="Arial" w:cs="Arial" w:eastAsia="Arial" w:hAnsi="Arial"/>
          <w:b/>
          <w:bCs/>
          <w:color w:val="2563EB"/>
          <w:sz w:val="23"/>
          <w:szCs w:val="23"/>
        </w:rPr>
        <w:t xml:space="preserve">Objective</w:t>
      </w:r>
    </w:p>
    <w:p>
      <w:pPr>
        <w:spacing w:after="100" w:before="60"/>
      </w:pPr>
      <w:r>
        <w:rPr>
          <w:rFonts w:ascii="Arial" w:cs="Arial" w:eastAsia="Arial" w:hAnsi="Arial"/>
          <w:i w:val="false"/>
          <w:iCs w:val="false"/>
          <w:color w:val="374151"/>
          <w:sz w:val="20"/>
          <w:szCs w:val="20"/>
        </w:rPr>
        <w:t xml:space="preserve">Allow the creation of a standalone commercial product composed of multiple services, with a price equal to the sum of the individual items or with a discount.</w:t>
      </w:r>
    </w:p>
    <w:p>
      <w:pPr>
        <w:pStyle w:val="ListParagraph"/>
        <w:numPr>
          <w:ilvl w:val="0"/>
          <w:numId w:val="2"/>
        </w:numPr>
        <w:spacing w:after="40" w:before="40"/>
      </w:pPr>
      <w:r>
        <w:rPr>
          <w:rFonts w:ascii="Arial" w:cs="Arial" w:eastAsia="Arial" w:hAnsi="Arial"/>
          <w:color w:val="374151"/>
          <w:sz w:val="20"/>
          <w:szCs w:val="20"/>
        </w:rPr>
        <w:t xml:space="preserve">Example: "Complete Relax" package composed of thermal spa entry, massage and lunch.</w:t>
      </w:r>
    </w:p>
    <w:p>
      <w:pPr>
        <w:pStyle w:val="ListParagraph"/>
        <w:numPr>
          <w:ilvl w:val="0"/>
          <w:numId w:val="2"/>
        </w:numPr>
        <w:spacing w:after="40" w:before="40"/>
      </w:pPr>
      <w:r>
        <w:rPr>
          <w:rFonts w:ascii="Arial" w:cs="Arial" w:eastAsia="Arial" w:hAnsi="Arial"/>
          <w:color w:val="374151"/>
          <w:sz w:val="20"/>
          <w:szCs w:val="20"/>
        </w:rPr>
        <w:t xml:space="preserve">The bundle must be sellable as a specific, recognisable service.</w:t>
      </w:r>
    </w:p>
    <w:p>
      <w:pPr>
        <w:pStyle w:val="ListParagraph"/>
        <w:numPr>
          <w:ilvl w:val="0"/>
          <w:numId w:val="2"/>
        </w:numPr>
        <w:spacing w:after="40" w:before="40"/>
      </w:pPr>
      <w:r>
        <w:rPr>
          <w:rFonts w:ascii="Arial" w:cs="Arial" w:eastAsia="Arial" w:hAnsi="Arial"/>
          <w:color w:val="374151"/>
          <w:sz w:val="20"/>
          <w:szCs w:val="20"/>
        </w:rPr>
        <w:t xml:space="preserve">When the bundle is purchased, the system must record the sale of the bundle and correctly allocate the included services.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4"/>
              <w:bottom w:val="none" w:color="FFFFFF" w:sz="0"/>
              <w:right w:val="none" w:color="FFFFFF" w:sz="0"/>
            </w:tcBorders>
            <w:shd w:fill="FFFBEB"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The bundle is a distinct commercial mapping from both "product as extra" and "options". In a bundle you are purchasing a structured composition of multiple elements; you are not choosing a variant of a single service and you are not adding an optional upsell.</w:t>
            </w:r>
          </w:p>
        </w:tc>
      </w:tr>
    </w:tbl>
    <w:p>
      <w:pPr>
        <w:pStyle w:val="Heading2"/>
        <w:spacing w:after="120" w:before="400"/>
      </w:pPr>
      <w:r>
        <w:rPr>
          <w:rFonts w:ascii="Arial" w:cs="Arial" w:eastAsia="Arial" w:hAnsi="Arial"/>
          <w:b/>
          <w:bCs/>
          <w:color w:val="1F2937"/>
          <w:sz w:val="28"/>
          <w:szCs w:val="28"/>
        </w:rPr>
        <w:t xml:space="preserve">1.10 Why These Scenarios Must Remain Distinct</w:t>
      </w:r>
    </w:p>
    <w:p>
      <w:pPr>
        <w:spacing w:after="100" w:before="60"/>
      </w:pPr>
      <w:r>
        <w:rPr>
          <w:rFonts w:ascii="Arial" w:cs="Arial" w:eastAsia="Arial" w:hAnsi="Arial"/>
          <w:i w:val="false"/>
          <w:iCs w:val="false"/>
          <w:color w:val="374151"/>
          <w:sz w:val="20"/>
          <w:szCs w:val="20"/>
        </w:rPr>
        <w:t xml:space="preserve">From the end-user perspective, some of these scenarios may seem similar. From a product and management control perspective, however, they are different. They differ in how availability is scaled, how the catalogue is structured, how sales data is read, the margin per service and enterprise reporting.</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Scenario</w:t>
            </w:r>
          </w:p>
        </w:tc>
        <w:tc>
          <w:tcPr>
            <w:tcW w:type="dxa" w:w="32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What Must Be Tracked</w:t>
            </w:r>
          </w:p>
        </w:tc>
        <w:tc>
          <w:tcPr>
            <w:tcW w:type="dxa" w:w="41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Why It Matters for Reporting / Enterprise</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Shared extra</w:t>
            </w:r>
          </w:p>
        </w:tc>
        <w:tc>
          <w:tcPr>
            <w:tcW w:type="dxa" w:w="3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Single extra + stock consumption</w:t>
            </w:r>
          </w:p>
        </w:tc>
        <w:tc>
          <w:tcPr>
            <w:tcW w:type="dxa" w:w="41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Understand accessory consumption and real operational cost</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Product as extra</w:t>
            </w:r>
          </w:p>
        </w:tc>
        <w:tc>
          <w:tcPr>
            <w:tcW w:type="dxa" w:w="3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Base service + add-on purchased</w:t>
            </w:r>
          </w:p>
        </w:tc>
        <w:tc>
          <w:tcPr>
            <w:tcW w:type="dxa" w:w="41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Read upsell performance and attach rate</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Chaining</w:t>
            </w:r>
          </w:p>
        </w:tc>
        <w:tc>
          <w:tcPr>
            <w:tcW w:type="dxa" w:w="3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Service booked + excluded resource</w:t>
            </w:r>
          </w:p>
        </w:tc>
        <w:tc>
          <w:tcPr>
            <w:tcW w:type="dxa" w:w="41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Understand saturation of critical resources</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Shared availability</w:t>
            </w:r>
          </w:p>
        </w:tc>
        <w:tc>
          <w:tcPr>
            <w:tcW w:type="dxa" w:w="3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Service chosen + use of shared pool</w:t>
            </w:r>
          </w:p>
        </w:tc>
        <w:tc>
          <w:tcPr>
            <w:tcW w:type="dxa" w:w="41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Understand demand mix on the same capacity pool</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Options</w:t>
            </w:r>
          </w:p>
        </w:tc>
        <w:tc>
          <w:tcPr>
            <w:tcW w:type="dxa" w:w="3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Service + variant chosen</w:t>
            </w:r>
          </w:p>
        </w:tc>
        <w:tc>
          <w:tcPr>
            <w:tcW w:type="dxa" w:w="41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Understand light/full (or similar) preference</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Virtual</w:t>
            </w:r>
          </w:p>
        </w:tc>
        <w:tc>
          <w:tcPr>
            <w:tcW w:type="dxa" w:w="3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Derived service + involved real services</w:t>
            </w:r>
          </w:p>
        </w:tc>
        <w:tc>
          <w:tcPr>
            <w:tcW w:type="dxa" w:w="41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Understand aggregation effects and cannibalisation</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Bundle</w:t>
            </w:r>
          </w:p>
        </w:tc>
        <w:tc>
          <w:tcPr>
            <w:tcW w:type="dxa" w:w="3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Bundle sold + components delivered</w:t>
            </w:r>
          </w:p>
        </w:tc>
        <w:tc>
          <w:tcPr>
            <w:tcW w:type="dxa" w:w="41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Read package revenues and individual service consumption</w:t>
            </w:r>
          </w:p>
        </w:tc>
      </w:tr>
    </w:tbl>
    <w:p>
      <w:pPr>
        <w:spacing w:after="40" w:before="40"/>
      </w:pPr>
    </w:p>
    <w:p>
      <w:r>
        <w:br w:type="page"/>
      </w:r>
    </w:p>
    <w:p>
      <w:pPr>
        <w:pStyle w:val="Heading1"/>
        <w:pBdr>
          <w:bottom w:val="single" w:color="1A6B3C" w:sz="8" w:space="4"/>
        </w:pBdr>
        <w:spacing w:after="160" w:before="560"/>
      </w:pPr>
      <w:r>
        <w:rPr>
          <w:rFonts w:ascii="Arial" w:cs="Arial" w:eastAsia="Arial" w:hAnsi="Arial"/>
          <w:b/>
          <w:bCs/>
          <w:color w:val="1A6B3C"/>
          <w:sz w:val="38"/>
          <w:szCs w:val="38"/>
        </w:rPr>
        <w:t xml:space="preserve">Part 2 — FlexiBooking SaaS Evolution Specifications</w:t>
      </w:r>
    </w:p>
    <w:p>
      <w:pPr>
        <w:spacing w:after="100" w:before="60"/>
      </w:pPr>
      <w:r>
        <w:rPr>
          <w:rFonts w:ascii="Arial" w:cs="Arial" w:eastAsia="Arial" w:hAnsi="Arial"/>
          <w:i w:val="false"/>
          <w:iCs w:val="false"/>
          <w:color w:val="374151"/>
          <w:sz w:val="20"/>
          <w:szCs w:val="20"/>
        </w:rPr>
        <w:t xml:space="preserve">This second part translates the business scenarios into a proposed logical and software structure for FlexiBooking SaaS. The shift in perspective is essential: the plugin can afford to grow feature by feature; a multi-tenant, multi-vertical SaaS cannot. A SaaS core must be designed as a configurable engine with stable, reusable primitives.</w:t>
      </w:r>
    </w:p>
    <w:p>
      <w:pPr>
        <w:pStyle w:val="Heading2"/>
        <w:spacing w:after="120" w:before="400"/>
      </w:pPr>
      <w:r>
        <w:rPr>
          <w:rFonts w:ascii="Arial" w:cs="Arial" w:eastAsia="Arial" w:hAnsi="Arial"/>
          <w:b/>
          <w:bCs/>
          <w:color w:val="1F2937"/>
          <w:sz w:val="28"/>
          <w:szCs w:val="28"/>
        </w:rPr>
        <w:t xml:space="preserve">2.1 Logical Premise: Why This Evolution Is Needed</w:t>
      </w:r>
    </w:p>
    <w:p>
      <w:pPr>
        <w:spacing w:after="100" w:before="60"/>
      </w:pPr>
      <w:r>
        <w:rPr>
          <w:rFonts w:ascii="Arial" w:cs="Arial" w:eastAsia="Arial" w:hAnsi="Arial"/>
          <w:i w:val="false"/>
          <w:iCs w:val="false"/>
          <w:color w:val="374151"/>
          <w:sz w:val="20"/>
          <w:szCs w:val="20"/>
        </w:rPr>
        <w:t xml:space="preserve">FlexiBooking will not manage only tourism services. The future SaaS must be able to model and sell bookable inventory across multiple verticals, with priority on tourism services and experiences, accommodation, ancillary services, rentals, bookable spaces, transfers and other services that share the same logical primitives.</w:t>
      </w:r>
    </w:p>
    <w:p>
      <w:pPr>
        <w:spacing w:after="100" w:before="60"/>
      </w:pPr>
      <w:r>
        <w:rPr>
          <w:rFonts w:ascii="Arial" w:cs="Arial" w:eastAsia="Arial" w:hAnsi="Arial"/>
          <w:i w:val="false"/>
          <w:iCs w:val="false"/>
          <w:color w:val="374151"/>
          <w:sz w:val="20"/>
          <w:szCs w:val="20"/>
        </w:rPr>
        <w:t xml:space="preserve">This means the starting point can no longer be "a list of exceptional features". The starting point must become an engine that clearly separates what is sold, what is consumed, the temporal form of availability, commercial rules, the booking lifecycle and distribution across channels.</w:t>
      </w:r>
    </w:p>
    <w:p>
      <w:pPr>
        <w:spacing w:after="100" w:before="60"/>
      </w:pPr>
      <w:r>
        <w:rPr>
          <w:rFonts w:ascii="Arial" w:cs="Arial" w:eastAsia="Arial" w:hAnsi="Arial"/>
          <w:i w:val="false"/>
          <w:iCs w:val="false"/>
          <w:color w:val="374151"/>
          <w:sz w:val="20"/>
          <w:szCs w:val="20"/>
        </w:rPr>
        <w:t xml:space="preserve">In other words: the plugin can describe a scenario as "shared boat vs exclusive boat". The SaaS must instead be able to say: two offers target the same resource, with a private/exclusive allocation rule and a defined distribution policy.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4"/>
              <w:bottom w:val="none" w:color="FFFFFF" w:sz="0"/>
              <w:right w:val="none" w:color="FFFFFF" w:sz="0"/>
            </w:tcBorders>
            <w:shd w:fill="F0FDF4"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Correct domain positioning: The primary reference for the SaaS core is not appointment management. The correct reference is the management of bookable inventory in tourism, accommodation and other services. Appointment patterns are used only as secondary benchmarks when they help better model staff resources, timetables or operator assignment.</w:t>
            </w:r>
          </w:p>
        </w:tc>
      </w:tr>
    </w:tbl>
    <w:p>
      <w:pPr>
        <w:pStyle w:val="Heading2"/>
        <w:spacing w:after="120" w:before="400"/>
      </w:pPr>
      <w:r>
        <w:rPr>
          <w:rFonts w:ascii="Arial" w:cs="Arial" w:eastAsia="Arial" w:hAnsi="Arial"/>
          <w:b/>
          <w:bCs/>
          <w:color w:val="1F2937"/>
          <w:sz w:val="28"/>
          <w:szCs w:val="28"/>
        </w:rPr>
        <w:t xml:space="preserve">2.2 Reference Benchmarks</w:t>
      </w:r>
    </w:p>
    <w:p>
      <w:pPr>
        <w:spacing w:after="100" w:before="60"/>
      </w:pPr>
      <w:r>
        <w:rPr>
          <w:rFonts w:ascii="Arial" w:cs="Arial" w:eastAsia="Arial" w:hAnsi="Arial"/>
          <w:i w:val="false"/>
          <w:iCs w:val="false"/>
          <w:color w:val="374151"/>
          <w:sz w:val="20"/>
          <w:szCs w:val="20"/>
        </w:rPr>
        <w:t xml:space="preserve">The analysis has been extended to official benchmarks covering four families: resource-heavy tour/activity, accommodation and mixed inventory, pricing and distribution, and secondary benchmarks useful for specific patterns such as operator/employee assignment.</w:t>
      </w:r>
    </w:p>
    <w:p>
      <w:pPr>
        <w:pStyle w:val="Heading3"/>
        <w:spacing w:after="80" w:before="280"/>
      </w:pPr>
      <w:r>
        <w:rPr>
          <w:rFonts w:ascii="Arial" w:cs="Arial" w:eastAsia="Arial" w:hAnsi="Arial"/>
          <w:b/>
          <w:bCs/>
          <w:color w:val="2563EB"/>
          <w:sz w:val="23"/>
          <w:szCs w:val="23"/>
        </w:rPr>
        <w:t xml:space="preserve">2.2.1 Extended Benchmarks and What They Teach Us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100"/>
        <w:gridCol w:w="2960"/>
      </w:tblGrid>
      <w:tr>
        <w:trPr>
          <w:tblHeader/>
        </w:trPr>
        <w:tc>
          <w:tcPr>
            <w:tcW w:type="dxa" w:w="15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Benchmark</w:t>
            </w:r>
          </w:p>
        </w:tc>
        <w:tc>
          <w:tcPr>
            <w:tcW w:type="dxa" w:w="18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Primary Domain</w:t>
            </w:r>
          </w:p>
        </w:tc>
        <w:tc>
          <w:tcPr>
            <w:tcW w:type="dxa" w:w="31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Useful Indication for FlexiBooking SaaS</w:t>
            </w:r>
          </w:p>
        </w:tc>
        <w:tc>
          <w:tcPr>
            <w:tcW w:type="dxa" w:w="29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Why It Is Relevant</w:t>
            </w:r>
          </w:p>
        </w:tc>
      </w:tr>
      <w:tr>
        <w:tc>
          <w:tcPr>
            <w:tcW w:type="dxa" w:w="1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FareHarbor</w:t>
            </w:r>
          </w:p>
        </w:tc>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Tours / Activities</w:t>
            </w:r>
          </w:p>
        </w:tc>
        <w:tc>
          <w:tcPr>
            <w:tcW w:type="dxa" w:w="3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Shared inventory, resource tracking, auto-assignment</w:t>
            </w:r>
          </w:p>
        </w:tc>
        <w:tc>
          <w:tcPr>
            <w:tcW w:type="dxa" w:w="2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Confirms shared inventory and bookable spaces belong in the engine</w:t>
            </w:r>
          </w:p>
        </w:tc>
      </w:tr>
      <w:tr>
        <w:tc>
          <w:tcPr>
            <w:tcW w:type="dxa" w:w="1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Rezdy</w:t>
            </w:r>
          </w:p>
        </w:tc>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Tours / Activities</w:t>
            </w:r>
          </w:p>
        </w:tc>
        <w:tc>
          <w:tcPr>
            <w:tcW w:type="dxa" w:w="3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Shared/reserved/private resources, limits per price option</w:t>
            </w:r>
          </w:p>
        </w:tc>
        <w:tc>
          <w:tcPr>
            <w:tcW w:type="dxa" w:w="2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Clarifies shared capacity, session reservation and private resource</w:t>
            </w:r>
          </w:p>
        </w:tc>
      </w:tr>
      <w:tr>
        <w:tc>
          <w:tcPr>
            <w:tcW w:type="dxa" w:w="1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Checkfront</w:t>
            </w:r>
          </w:p>
        </w:tc>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Tours / Activities</w:t>
            </w:r>
          </w:p>
        </w:tc>
        <w:tc>
          <w:tcPr>
            <w:tcW w:type="dxa" w:w="3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Assets by quantity vs capacity, guest types, upsell logic</w:t>
            </w:r>
          </w:p>
        </w:tc>
        <w:tc>
          <w:tcPr>
            <w:tcW w:type="dxa" w:w="2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Separates whole asset, seats and guest categories</w:t>
            </w:r>
          </w:p>
        </w:tc>
      </w:tr>
      <w:tr>
        <w:tc>
          <w:tcPr>
            <w:tcW w:type="dxa" w:w="1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bookingkit</w:t>
            </w:r>
          </w:p>
        </w:tc>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Tours / Activities + reseller</w:t>
            </w:r>
          </w:p>
        </w:tc>
        <w:tc>
          <w:tcPr>
            <w:tcW w:type="dxa" w:w="3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Resource management, flexible durations, reseller quotas</w:t>
            </w:r>
          </w:p>
        </w:tc>
        <w:tc>
          <w:tcPr>
            <w:tcW w:type="dxa" w:w="2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Availability and reseller quota remain separate but coordinated</w:t>
            </w:r>
          </w:p>
        </w:tc>
      </w:tr>
      <w:tr>
        <w:tc>
          <w:tcPr>
            <w:tcW w:type="dxa" w:w="1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Bókun</w:t>
            </w:r>
          </w:p>
        </w:tc>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Tours / Activities + distribution</w:t>
            </w:r>
          </w:p>
        </w:tc>
        <w:tc>
          <w:tcPr>
            <w:tcW w:type="dxa" w:w="3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Resource management, channel manager, real-time availability</w:t>
            </w:r>
          </w:p>
        </w:tc>
        <w:tc>
          <w:tcPr>
            <w:tcW w:type="dxa" w:w="2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Links resource engine, reporting and OTA/reseller distribution</w:t>
            </w:r>
          </w:p>
        </w:tc>
      </w:tr>
      <w:tr>
        <w:tc>
          <w:tcPr>
            <w:tcW w:type="dxa" w:w="1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Xola</w:t>
            </w:r>
          </w:p>
        </w:tc>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Tours / Activities</w:t>
            </w:r>
          </w:p>
        </w:tc>
        <w:tc>
          <w:tcPr>
            <w:tcW w:type="dxa" w:w="3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Equipment management with capacity, count and custom assignment</w:t>
            </w:r>
          </w:p>
        </w:tc>
        <w:tc>
          <w:tcPr>
            <w:tcW w:type="dxa" w:w="2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Useful for equipment, vehicles and automatic or manual allocation</w:t>
            </w:r>
          </w:p>
        </w:tc>
      </w:tr>
      <w:tr>
        <w:tc>
          <w:tcPr>
            <w:tcW w:type="dxa" w:w="1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TrekkSoft</w:t>
            </w:r>
          </w:p>
        </w:tc>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Tours / Activities</w:t>
            </w:r>
          </w:p>
        </w:tc>
        <w:tc>
          <w:tcPr>
            <w:tcW w:type="dxa" w:w="3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Resource dependency rules, calendar, occupancy rate</w:t>
            </w:r>
          </w:p>
        </w:tc>
        <w:tc>
          <w:tcPr>
            <w:tcW w:type="dxa" w:w="2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Formalises resource dependency between multiple activities</w:t>
            </w:r>
          </w:p>
        </w:tc>
      </w:tr>
      <w:tr>
        <w:tc>
          <w:tcPr>
            <w:tcW w:type="dxa" w:w="1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Bookeo</w:t>
            </w:r>
          </w:p>
        </w:tc>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Tours / Activities + services</w:t>
            </w:r>
          </w:p>
        </w:tc>
        <w:tc>
          <w:tcPr>
            <w:tcW w:type="dxa" w:w="3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Regular/private/open schedule tours, virtual rostering, resources</w:t>
            </w:r>
          </w:p>
        </w:tc>
        <w:tc>
          <w:tcPr>
            <w:tcW w:type="dxa" w:w="2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Useful for first-come-first-served concurrency and resource assignment</w:t>
            </w:r>
          </w:p>
        </w:tc>
      </w:tr>
      <w:tr>
        <w:tc>
          <w:tcPr>
            <w:tcW w:type="dxa" w:w="1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Bookinglayer</w:t>
            </w:r>
          </w:p>
        </w:tc>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Accommodation + activities + services</w:t>
            </w:r>
          </w:p>
        </w:tc>
        <w:tc>
          <w:tcPr>
            <w:tcW w:type="dxa" w:w="3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Multi-domain product taxonomy, package builder, channel manager</w:t>
            </w:r>
          </w:p>
        </w:tc>
        <w:tc>
          <w:tcPr>
            <w:tcW w:type="dxa" w:w="2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Very close benchmark to FlexiBooking SaaS target</w:t>
            </w:r>
          </w:p>
        </w:tc>
      </w:tr>
      <w:tr>
        <w:tc>
          <w:tcPr>
            <w:tcW w:type="dxa" w:w="1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Oracle OPERA</w:t>
            </w:r>
          </w:p>
        </w:tc>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Hospitality enterprise</w:t>
            </w:r>
          </w:p>
        </w:tc>
        <w:tc>
          <w:tcPr>
            <w:tcW w:type="dxa" w:w="3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Physical/component/pseudo inventory, rate codes, package codes</w:t>
            </w:r>
          </w:p>
        </w:tc>
        <w:tc>
          <w:tcPr>
            <w:tcW w:type="dxa" w:w="2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Strong reference for virtual inventory, rate plans and package entitlement</w:t>
            </w:r>
          </w:p>
        </w:tc>
      </w:tr>
      <w:tr>
        <w:tc>
          <w:tcPr>
            <w:tcW w:type="dxa" w:w="1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Cloudbeds</w:t>
            </w:r>
          </w:p>
        </w:tc>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Hospitality + distribution</w:t>
            </w:r>
          </w:p>
        </w:tc>
        <w:tc>
          <w:tcPr>
            <w:tcW w:type="dxa" w:w="3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Remaining inventory vs amount allotted for sale, overbooking, rate plans</w:t>
            </w:r>
          </w:p>
        </w:tc>
        <w:tc>
          <w:tcPr>
            <w:tcW w:type="dxa" w:w="2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Separates real stock from stock sellable on channels</w:t>
            </w:r>
          </w:p>
        </w:tc>
      </w:tr>
      <w:tr>
        <w:tc>
          <w:tcPr>
            <w:tcW w:type="dxa" w:w="1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Mews</w:t>
            </w:r>
          </w:p>
        </w:tc>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Hospitality + services + spaces</w:t>
            </w:r>
          </w:p>
        </w:tc>
        <w:tc>
          <w:tcPr>
            <w:tcW w:type="dxa" w:w="3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Bookable spaces/services, restrictions API, rate management</w:t>
            </w:r>
          </w:p>
        </w:tc>
        <w:tc>
          <w:tcPr>
            <w:tcW w:type="dxa" w:w="2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 modern PMS that treats rooms, spaces and services in the same engine</w:t>
            </w:r>
          </w:p>
        </w:tc>
      </w:tr>
      <w:tr>
        <w:tc>
          <w:tcPr>
            <w:tcW w:type="dxa" w:w="1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SiteMinder</w:t>
            </w:r>
          </w:p>
        </w:tc>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Hospitality channel manager</w:t>
            </w:r>
          </w:p>
        </w:tc>
        <w:tc>
          <w:tcPr>
            <w:tcW w:type="dxa" w:w="3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Availability per room type, restrictions, stop sell, CTA/CTD</w:t>
            </w:r>
          </w:p>
        </w:tc>
        <w:tc>
          <w:tcPr>
            <w:tcW w:type="dxa" w:w="2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Best benchmark for channel-ready rules</w:t>
            </w:r>
          </w:p>
        </w:tc>
      </w:tr>
      <w:tr>
        <w:tc>
          <w:tcPr>
            <w:tcW w:type="dxa" w:w="15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Guesty</w:t>
            </w:r>
          </w:p>
        </w:tc>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Hospitality / rate plans</w:t>
            </w:r>
          </w:p>
        </w:tc>
        <w:tc>
          <w:tcPr>
            <w:tcW w:type="dxa" w:w="31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Rate plan as commercial package above rates and availability</w:t>
            </w:r>
          </w:p>
        </w:tc>
        <w:tc>
          <w:tcPr>
            <w:tcW w:type="dxa" w:w="2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Separates product option set from tariff plan</w:t>
            </w:r>
          </w:p>
        </w:tc>
      </w:tr>
      <w:tr>
        <w:tc>
          <w:tcPr>
            <w:tcW w:type="dxa" w:w="15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WPAmelia (secondary)</w:t>
            </w:r>
          </w:p>
        </w:tc>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Employee/operator pattern</w:t>
            </w:r>
          </w:p>
        </w:tc>
        <w:tc>
          <w:tcPr>
            <w:tcW w:type="dxa" w:w="31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Employee as human resource with schedules, breaks, services, location</w:t>
            </w:r>
          </w:p>
        </w:tc>
        <w:tc>
          <w:tcPr>
            <w:tcW w:type="dxa" w:w="2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Useful as addon pattern for operator modelling</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4"/>
              <w:bottom w:val="none" w:color="FFFFFF" w:sz="0"/>
              <w:right w:val="none" w:color="FFFFFF" w:sz="0"/>
            </w:tcBorders>
            <w:shd w:fill="EFF6FF"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Cross-reading of benchmarks: Three common patterns emerge — (1) the inventory engine must represent both shared capacity and exclusive or derived resources; (2) pricing and restrictions must not be mixed with raw availability, especially in hospitality and channel manager contexts; (3) distribution requires its own rules: channel mapping, allotment, closeout, negotiated rates, rate plans and update synchronisation.</w:t>
            </w:r>
          </w:p>
        </w:tc>
      </w:tr>
    </w:tbl>
    <w:p>
      <w:pPr>
        <w:pStyle w:val="Heading2"/>
        <w:spacing w:after="120" w:before="400"/>
      </w:pPr>
      <w:r>
        <w:rPr>
          <w:rFonts w:ascii="Arial" w:cs="Arial" w:eastAsia="Arial" w:hAnsi="Arial"/>
          <w:b/>
          <w:bCs/>
          <w:color w:val="1F2937"/>
          <w:sz w:val="28"/>
          <w:szCs w:val="28"/>
        </w:rPr>
        <w:t xml:space="preserve">2.3 Logical Conclusion from Benchmarks</w:t>
      </w:r>
    </w:p>
    <w:p>
      <w:pPr>
        <w:spacing w:after="100" w:before="60"/>
      </w:pPr>
      <w:r>
        <w:rPr>
          <w:rFonts w:ascii="Arial" w:cs="Arial" w:eastAsia="Arial" w:hAnsi="Arial"/>
          <w:i w:val="false"/>
          <w:iCs w:val="false"/>
          <w:color w:val="374151"/>
          <w:sz w:val="20"/>
          <w:szCs w:val="20"/>
        </w:rPr>
        <w:t xml:space="preserve">The conclusion emerging from the benchmarks is very consistent: almost all mature platforms separate at least four levels. First, the catalogue and the commercial form of the offer. Second, the resources or capacity actually consumed. Third, prices, rate plans and commercial restrictions. Fourth, distribution and synchronisation with channels.</w:t>
      </w:r>
    </w:p>
    <w:p>
      <w:pPr>
        <w:spacing w:after="100" w:before="60"/>
      </w:pPr>
      <w:r>
        <w:rPr>
          <w:rFonts w:ascii="Arial" w:cs="Arial" w:eastAsia="Arial" w:hAnsi="Arial"/>
          <w:i w:val="false"/>
          <w:iCs w:val="false"/>
          <w:color w:val="374151"/>
          <w:sz w:val="20"/>
          <w:szCs w:val="20"/>
        </w:rPr>
        <w:t xml:space="preserve">For FlexiBooking this leads to a precise consequence. Current features must not be abandoned — they must remain visible as business language. But technically they must become configurations of a single engine.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C" w:sz="14"/>
              <w:bottom w:val="none" w:color="FFFFFF" w:sz="0"/>
              <w:right w:val="none" w:color="FFFFFF" w:sz="0"/>
            </w:tcBorders>
            <w:shd w:fill="F0FDF4"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Recommended logical model: business features remain visible, but the engine is separated into independent layers.</w:t>
            </w:r>
          </w:p>
        </w:tc>
      </w:tr>
    </w:tbl>
    <w:p>
      <w:pPr>
        <w:pStyle w:val="Heading2"/>
        <w:spacing w:after="120" w:before="400"/>
      </w:pPr>
      <w:r>
        <w:rPr>
          <w:rFonts w:ascii="Arial" w:cs="Arial" w:eastAsia="Arial" w:hAnsi="Arial"/>
          <w:b/>
          <w:bCs/>
          <w:color w:val="1F2937"/>
          <w:sz w:val="28"/>
          <w:szCs w:val="28"/>
        </w:rPr>
        <w:t xml:space="preserve">2.4 What "Refounding the Technical Model" Really Means</w:t>
      </w:r>
    </w:p>
    <w:p>
      <w:pPr>
        <w:spacing w:after="100" w:before="60"/>
      </w:pPr>
      <w:r>
        <w:rPr>
          <w:rFonts w:ascii="Arial" w:cs="Arial" w:eastAsia="Arial" w:hAnsi="Arial"/>
          <w:i w:val="false"/>
          <w:iCs w:val="false"/>
          <w:color w:val="374151"/>
          <w:sz w:val="20"/>
          <w:szCs w:val="20"/>
        </w:rPr>
        <w:t xml:space="preserve">In practical terms, "refounding the technical model" does not mean rewriting everything. It means stopping the practice of implementing each scenario as an independent code branch and starting to describe it as a combination of reusable entities and rules.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Business Scenario</w:t>
            </w:r>
          </w:p>
        </w:tc>
        <w:tc>
          <w:tcPr>
            <w:tcW w:type="dxa" w:w="32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Correct Logical Reading</w:t>
            </w:r>
          </w:p>
        </w:tc>
        <w:tc>
          <w:tcPr>
            <w:tcW w:type="dxa" w:w="39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Recommended Technical Translation</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Shared extra</w:t>
            </w:r>
          </w:p>
        </w:tc>
        <w:tc>
          <w:tcPr>
            <w:tcW w:type="dxa" w:w="3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An optional item consumes a shared stock</w:t>
            </w:r>
          </w:p>
        </w:tc>
        <w:tc>
          <w:tcPr>
            <w:tcW w:type="dxa" w:w="3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OfferRelation(optional) + ResourcePool(shared stock)</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Product as extra</w:t>
            </w:r>
          </w:p>
        </w:tc>
        <w:tc>
          <w:tcPr>
            <w:tcW w:type="dxa" w:w="3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An offer can also be sold as an optional child</w:t>
            </w:r>
          </w:p>
        </w:tc>
        <w:tc>
          <w:tcPr>
            <w:tcW w:type="dxa" w:w="3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SellableOffer + OfferRelation(optional child)</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Service chaining</w:t>
            </w:r>
          </w:p>
        </w:tc>
        <w:tc>
          <w:tcPr>
            <w:tcW w:type="dxa" w:w="3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Two offers target the same resource with exclusive logic</w:t>
            </w:r>
          </w:p>
        </w:tc>
        <w:tc>
          <w:tcPr>
            <w:tcW w:type="dxa" w:w="3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ResourcePool + AllocationRule(private / reserved)</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Shared availability</w:t>
            </w:r>
          </w:p>
        </w:tc>
        <w:tc>
          <w:tcPr>
            <w:tcW w:type="dxa" w:w="3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Multiple offers scale the same capacity</w:t>
            </w:r>
          </w:p>
        </w:tc>
        <w:tc>
          <w:tcPr>
            <w:tcW w:type="dxa" w:w="3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ResourcePool + ConsumptionRule(proportional)</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Options</w:t>
            </w:r>
          </w:p>
        </w:tc>
        <w:tc>
          <w:tcPr>
            <w:tcW w:type="dxa" w:w="3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The same offer has mutually exclusive variants</w:t>
            </w:r>
          </w:p>
        </w:tc>
        <w:tc>
          <w:tcPr>
            <w:tcW w:type="dxa" w:w="3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SellableOffer + OptionSet + same backing capacity</w:t>
            </w:r>
          </w:p>
        </w:tc>
      </w:tr>
      <w:tr>
        <w:tc>
          <w:tcPr>
            <w:tcW w:type="dxa" w:w="2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Virtual</w:t>
            </w:r>
          </w:p>
        </w:tc>
        <w:tc>
          <w:tcPr>
            <w:tcW w:type="dxa" w:w="32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Derived offer depending on multiple real offers</w:t>
            </w:r>
          </w:p>
        </w:tc>
        <w:tc>
          <w:tcPr>
            <w:tcW w:type="dxa" w:w="39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DerivedOffer + AvailabilityPropagationRule</w:t>
            </w:r>
          </w:p>
        </w:tc>
      </w:tr>
      <w:tr>
        <w:tc>
          <w:tcPr>
            <w:tcW w:type="dxa" w:w="2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Bundle / combo</w:t>
            </w:r>
          </w:p>
        </w:tc>
        <w:tc>
          <w:tcPr>
            <w:tcW w:type="dxa" w:w="32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Commercial container with included children</w:t>
            </w:r>
          </w:p>
        </w:tc>
        <w:tc>
          <w:tcPr>
            <w:tcW w:type="dxa" w:w="39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BundleOffer + IncludedOfferLines + FulfilmentLines</w:t>
            </w:r>
          </w:p>
        </w:tc>
      </w:tr>
    </w:tbl>
    <w:p>
      <w:pPr>
        <w:pStyle w:val="Heading2"/>
        <w:spacing w:after="120" w:before="400"/>
      </w:pPr>
      <w:r>
        <w:rPr>
          <w:rFonts w:ascii="Arial" w:cs="Arial" w:eastAsia="Arial" w:hAnsi="Arial"/>
          <w:b/>
          <w:bCs/>
          <w:color w:val="1F2937"/>
          <w:sz w:val="28"/>
          <w:szCs w:val="28"/>
        </w:rPr>
        <w:t xml:space="preserve">2.5 Recommended Architectural Layers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EFF6FF" w:val="clear"/>
            <w:tcMar>
              <w:top w:type="dxa" w:w="70"/>
              <w:left w:type="dxa" w:w="130"/>
              <w:bottom w:type="dxa" w:w="70"/>
              <w:right w:type="dxa" w:w="100"/>
            </w:tcMar>
          </w:tcPr>
          <w:p>
            <w:r>
              <w:rPr>
                <w:rFonts w:ascii="Arial" w:cs="Arial" w:eastAsia="Arial" w:hAnsi="Arial"/>
                <w:b/>
                <w:bCs/>
                <w:color w:val="1F2937"/>
                <w:sz w:val="19"/>
                <w:szCs w:val="19"/>
              </w:rPr>
              <w:t xml:space="preserve">Offer / Catalog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Answers "what do I sell?". Contains services, extras, accommodation types, bundles, virtual offers, options and commercial aliases.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30"/>
              <w:bottom w:type="dxa" w:w="70"/>
              <w:right w:type="dxa" w:w="100"/>
            </w:tcMar>
          </w:tcPr>
          <w:p>
            <w:r>
              <w:rPr>
                <w:rFonts w:ascii="Arial" w:cs="Arial" w:eastAsia="Arial" w:hAnsi="Arial"/>
                <w:b/>
                <w:bCs/>
                <w:color w:val="1F2937"/>
                <w:sz w:val="19"/>
                <w:szCs w:val="19"/>
              </w:rPr>
              <w:t xml:space="preserve">Composition / Offer Relation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Defines how offers relate: optional, required, preselected, included, hidden included, grouped, mutually exclusive, derived.</w:t>
            </w:r>
          </w:p>
        </w:tc>
      </w:tr>
      <w:tr>
        <w:tc>
          <w:tcPr>
            <w:tcW w:type="dxa" w:w="2600"/>
            <w:tcBorders>
              <w:top w:val="single" w:color="E5E7EB" w:sz="1"/>
              <w:left w:val="single" w:color="E5E7EB" w:sz="1"/>
              <w:bottom w:val="single" w:color="E5E7EB" w:sz="1"/>
              <w:right w:val="single" w:color="E5E7EB" w:sz="1"/>
            </w:tcBorders>
            <w:shd w:fill="EFF6FF" w:val="clear"/>
            <w:tcMar>
              <w:top w:type="dxa" w:w="70"/>
              <w:left w:type="dxa" w:w="130"/>
              <w:bottom w:type="dxa" w:w="70"/>
              <w:right w:type="dxa" w:w="100"/>
            </w:tcMar>
          </w:tcPr>
          <w:p>
            <w:r>
              <w:rPr>
                <w:rFonts w:ascii="Arial" w:cs="Arial" w:eastAsia="Arial" w:hAnsi="Arial"/>
                <w:b/>
                <w:bCs/>
                <w:color w:val="1F2937"/>
                <w:sz w:val="19"/>
                <w:szCs w:val="19"/>
              </w:rPr>
              <w:t xml:space="preserve">Resource / Inventory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Contains everything that is actually consumed: boats, guides, vehicles, kits, rooms, seats, spaces, accessory stock, operators.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30"/>
              <w:bottom w:type="dxa" w:w="70"/>
              <w:right w:type="dxa" w:w="100"/>
            </w:tcMar>
          </w:tcPr>
          <w:p>
            <w:r>
              <w:rPr>
                <w:rFonts w:ascii="Arial" w:cs="Arial" w:eastAsia="Arial" w:hAnsi="Arial"/>
                <w:b/>
                <w:bCs/>
                <w:color w:val="1F2937"/>
                <w:sz w:val="19"/>
                <w:szCs w:val="19"/>
              </w:rPr>
              <w:t xml:space="preserve">Scheduling / Occupancy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Describes the form of time: dates, slots, variable duration, open schedule, multi-slot, multi-day, hourly / daily / nightly.</w:t>
            </w:r>
          </w:p>
        </w:tc>
      </w:tr>
      <w:tr>
        <w:tc>
          <w:tcPr>
            <w:tcW w:type="dxa" w:w="2600"/>
            <w:tcBorders>
              <w:top w:val="single" w:color="E5E7EB" w:sz="1"/>
              <w:left w:val="single" w:color="E5E7EB" w:sz="1"/>
              <w:bottom w:val="single" w:color="E5E7EB" w:sz="1"/>
              <w:right w:val="single" w:color="E5E7EB" w:sz="1"/>
            </w:tcBorders>
            <w:shd w:fill="EFF6FF" w:val="clear"/>
            <w:tcMar>
              <w:top w:type="dxa" w:w="70"/>
              <w:left w:type="dxa" w:w="130"/>
              <w:bottom w:type="dxa" w:w="70"/>
              <w:right w:type="dxa" w:w="100"/>
            </w:tcMar>
          </w:tcPr>
          <w:p>
            <w:r>
              <w:rPr>
                <w:rFonts w:ascii="Arial" w:cs="Arial" w:eastAsia="Arial" w:hAnsi="Arial"/>
                <w:b/>
                <w:bCs/>
                <w:color w:val="1F2937"/>
                <w:sz w:val="19"/>
                <w:szCs w:val="19"/>
              </w:rPr>
              <w:t xml:space="preserve">Allocation / Consumption Rules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Establishes how a booking consumes capacity: shared, reserved, private, by quantity, by capacity, by duration, by guest type, by operator.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30"/>
              <w:bottom w:type="dxa" w:w="70"/>
              <w:right w:type="dxa" w:w="100"/>
            </w:tcMar>
          </w:tcPr>
          <w:p>
            <w:r>
              <w:rPr>
                <w:rFonts w:ascii="Arial" w:cs="Arial" w:eastAsia="Arial" w:hAnsi="Arial"/>
                <w:b/>
                <w:bCs/>
                <w:color w:val="1F2937"/>
                <w:sz w:val="19"/>
                <w:szCs w:val="19"/>
              </w:rPr>
              <w:t xml:space="preserve">Pricing / Rate Plan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Separates base price, service options, rate plans, package pricing, seasonal rules, cancellation policies and commercial conditions.</w:t>
            </w:r>
          </w:p>
        </w:tc>
      </w:tr>
      <w:tr>
        <w:tc>
          <w:tcPr>
            <w:tcW w:type="dxa" w:w="2600"/>
            <w:tcBorders>
              <w:top w:val="single" w:color="E5E7EB" w:sz="1"/>
              <w:left w:val="single" w:color="E5E7EB" w:sz="1"/>
              <w:bottom w:val="single" w:color="E5E7EB" w:sz="1"/>
              <w:right w:val="single" w:color="E5E7EB" w:sz="1"/>
            </w:tcBorders>
            <w:shd w:fill="EFF6FF" w:val="clear"/>
            <w:tcMar>
              <w:top w:type="dxa" w:w="70"/>
              <w:left w:type="dxa" w:w="130"/>
              <w:bottom w:type="dxa" w:w="70"/>
              <w:right w:type="dxa" w:w="100"/>
            </w:tcMar>
          </w:tcPr>
          <w:p>
            <w:r>
              <w:rPr>
                <w:rFonts w:ascii="Arial" w:cs="Arial" w:eastAsia="Arial" w:hAnsi="Arial"/>
                <w:b/>
                <w:bCs/>
                <w:color w:val="1F2937"/>
                <w:sz w:val="19"/>
                <w:szCs w:val="19"/>
              </w:rPr>
              <w:t xml:space="preserve">Booking Lifecycle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Controls hold, pending, confirmed, released, cancelled, no-show, completed and their impact on availability.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30"/>
              <w:bottom w:type="dxa" w:w="70"/>
              <w:right w:type="dxa" w:w="100"/>
            </w:tcMar>
          </w:tcPr>
          <w:p>
            <w:r>
              <w:rPr>
                <w:rFonts w:ascii="Arial" w:cs="Arial" w:eastAsia="Arial" w:hAnsi="Arial"/>
                <w:b/>
                <w:bCs/>
                <w:color w:val="1F2937"/>
                <w:sz w:val="19"/>
                <w:szCs w:val="19"/>
              </w:rPr>
              <w:t xml:space="preserve">Distribution / Allotment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Distinguishes real stock from sellable stock and governs channels, resellers, quotas, closeout, stop sell, CTA/CTD and channel-ready rules.</w:t>
            </w:r>
          </w:p>
        </w:tc>
      </w:tr>
      <w:tr>
        <w:tc>
          <w:tcPr>
            <w:tcW w:type="dxa" w:w="2600"/>
            <w:tcBorders>
              <w:top w:val="single" w:color="E5E7EB" w:sz="1"/>
              <w:left w:val="single" w:color="E5E7EB" w:sz="1"/>
              <w:bottom w:val="single" w:color="E5E7EB" w:sz="1"/>
              <w:right w:val="single" w:color="E5E7EB" w:sz="1"/>
            </w:tcBorders>
            <w:shd w:fill="EFF6FF" w:val="clear"/>
            <w:tcMar>
              <w:top w:type="dxa" w:w="70"/>
              <w:left w:type="dxa" w:w="130"/>
              <w:bottom w:type="dxa" w:w="70"/>
              <w:right w:type="dxa" w:w="100"/>
            </w:tcMar>
          </w:tcPr>
          <w:p>
            <w:r>
              <w:rPr>
                <w:rFonts w:ascii="Arial" w:cs="Arial" w:eastAsia="Arial" w:hAnsi="Arial"/>
                <w:b/>
                <w:bCs/>
                <w:color w:val="1F2937"/>
                <w:sz w:val="19"/>
                <w:szCs w:val="19"/>
              </w:rPr>
              <w:t xml:space="preserve">Analytics / Fulfilment Layer</w:t>
            </w:r>
          </w:p>
        </w:tc>
        <w:tc>
          <w:tcPr>
            <w:tcW w:type="dxa" w:w="6760"/>
            <w:tcBorders>
              <w:top w:val="single" w:color="E5E7EB" w:sz="1"/>
              <w:left w:val="single" w:color="E5E7EB" w:sz="1"/>
              <w:bottom w:val="single" w:color="E5E7EB" w:sz="1"/>
              <w:right w:val="single" w:color="E5E7EB" w:sz="1"/>
            </w:tcBorders>
            <w:tcMar>
              <w:top w:type="dxa" w:w="70"/>
              <w:left w:type="dxa" w:w="130"/>
              <w:bottom w:type="dxa" w:w="70"/>
              <w:right w:type="dxa" w:w="100"/>
            </w:tcMar>
          </w:tcPr>
          <w:p>
            <w:r>
              <w:rPr>
                <w:rFonts w:ascii="Arial" w:cs="Arial" w:eastAsia="Arial" w:hAnsi="Arial"/>
                <w:color w:val="374151"/>
                <w:sz w:val="19"/>
                <w:szCs w:val="19"/>
              </w:rPr>
              <w:t xml:space="preserve">Saves separately what was sold, what was included and what was consumed or delivered.</w:t>
            </w:r>
          </w:p>
        </w:tc>
      </w:tr>
    </w:tbl>
    <w:p>
      <w:pPr>
        <w:pStyle w:val="Heading2"/>
        <w:spacing w:after="120" w:before="400"/>
      </w:pPr>
      <w:r>
        <w:rPr>
          <w:rFonts w:ascii="Arial" w:cs="Arial" w:eastAsia="Arial" w:hAnsi="Arial"/>
          <w:b/>
          <w:bCs/>
          <w:color w:val="1F2937"/>
          <w:sz w:val="28"/>
          <w:szCs w:val="28"/>
        </w:rPr>
        <w:t xml:space="preserve">2.6 Recommended Canonical Entities</w:t>
      </w:r>
    </w:p>
    <w:p>
      <w:pPr>
        <w:spacing w:after="100" w:before="60"/>
      </w:pPr>
      <w:r>
        <w:rPr>
          <w:rFonts w:ascii="Arial" w:cs="Arial" w:eastAsia="Arial" w:hAnsi="Arial"/>
          <w:i w:val="false"/>
          <w:iCs w:val="false"/>
          <w:color w:val="374151"/>
          <w:sz w:val="20"/>
          <w:szCs w:val="20"/>
        </w:rPr>
        <w:t xml:space="preserve">To make the SaaS core stable it is useful to define a set of canonical entities, independent of the business vertical. The following entities do not yet represent the physical database detail, but the conceptual grid on which to build the data model.</w:t>
      </w:r>
    </w:p>
    <w:p>
      <w:pPr>
        <w:spacing w:after="20" w:before="20"/>
      </w:pPr>
    </w:p>
    <w:p>
      <w:pPr>
        <w:pStyle w:val="Heading3"/>
        <w:spacing w:after="80" w:before="280"/>
      </w:pPr>
      <w:r>
        <w:rPr>
          <w:rFonts w:ascii="Arial" w:cs="Arial" w:eastAsia="Arial" w:hAnsi="Arial"/>
          <w:b/>
          <w:bCs/>
          <w:color w:val="2563EB"/>
          <w:sz w:val="23"/>
          <w:szCs w:val="23"/>
        </w:rPr>
        <w:t xml:space="preserve">Catalogue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Canonical Entity</w:t>
            </w:r>
          </w:p>
        </w:tc>
        <w:tc>
          <w:tcPr>
            <w:tcW w:type="dxa" w:w="63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Role</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SellableOffer</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Sellable object: service, extra, accommodation, rental, bundle, transfer, etc.</w:t>
            </w:r>
          </w:p>
        </w:tc>
      </w:tr>
      <w:tr>
        <w:tc>
          <w:tcPr>
            <w:tcW w:type="dxa" w:w="3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OptionSet / OptionValue</w:t>
            </w:r>
          </w:p>
        </w:tc>
        <w:tc>
          <w:tcPr>
            <w:tcW w:type="dxa" w:w="6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Mutually exclusive variants of the same offer.</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OfferRelation</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Commercial relationships between offers: optional, required, included, derived, grouped.</w:t>
            </w:r>
          </w:p>
        </w:tc>
      </w:tr>
      <w:tr>
        <w:tc>
          <w:tcPr>
            <w:tcW w:type="dxa" w:w="3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BundleOffer / DerivedOffer</w:t>
            </w:r>
          </w:p>
        </w:tc>
        <w:tc>
          <w:tcPr>
            <w:tcW w:type="dxa" w:w="6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Aggregated or derived offers that depend on other offers.</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ChannelFacingOffer</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Commercial/distributive view of an offer towards a specific channel or reseller.</w:t>
            </w:r>
          </w:p>
        </w:tc>
      </w:tr>
    </w:tbl>
    <w:p>
      <w:pPr>
        <w:spacing w:after="20" w:before="20"/>
      </w:pPr>
    </w:p>
    <w:p>
      <w:pPr>
        <w:pStyle w:val="Heading3"/>
        <w:spacing w:after="80" w:before="280"/>
      </w:pPr>
      <w:r>
        <w:rPr>
          <w:rFonts w:ascii="Arial" w:cs="Arial" w:eastAsia="Arial" w:hAnsi="Arial"/>
          <w:b/>
          <w:bCs/>
          <w:color w:val="2563EB"/>
          <w:sz w:val="23"/>
          <w:szCs w:val="23"/>
        </w:rPr>
        <w:t xml:space="preserve">Inventory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Canonical Entity</w:t>
            </w:r>
          </w:p>
        </w:tc>
        <w:tc>
          <w:tcPr>
            <w:tcW w:type="dxa" w:w="63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Role</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Resource</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Physical or logical consumable element: boat, room, guide, kit, hall, vehicle, operator.</w:t>
            </w:r>
          </w:p>
        </w:tc>
      </w:tr>
      <w:tr>
        <w:tc>
          <w:tcPr>
            <w:tcW w:type="dxa" w:w="3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ResourcePool</w:t>
            </w:r>
          </w:p>
        </w:tc>
        <w:tc>
          <w:tcPr>
            <w:tcW w:type="dxa" w:w="6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Shared pool of capacity or stock used by multiple offers.</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Schedule / AvailabilityCalendar</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Availability calendar for the resource or pool.</w:t>
            </w:r>
          </w:p>
        </w:tc>
      </w:tr>
      <w:tr>
        <w:tc>
          <w:tcPr>
            <w:tcW w:type="dxa" w:w="3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OccupancyRule</w:t>
            </w:r>
          </w:p>
        </w:tc>
        <w:tc>
          <w:tcPr>
            <w:tcW w:type="dxa" w:w="6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Defines duration, slots, multi-day, buffers and other temporal rules.</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AllocationRule</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Specifies the type of consumption: shared, reserved, private, by quantity, by capacity.</w:t>
            </w:r>
          </w:p>
        </w:tc>
      </w:tr>
      <w:tr>
        <w:tc>
          <w:tcPr>
            <w:tcW w:type="dxa" w:w="3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InventoryHold</w:t>
            </w:r>
          </w:p>
        </w:tc>
        <w:tc>
          <w:tcPr>
            <w:tcW w:type="dxa" w:w="6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Temporary hold that blocks capacity during checkout or while awaiting confirmation.</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Operator</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Optional human resource; specialisation of the Resource layer.</w:t>
            </w:r>
          </w:p>
        </w:tc>
      </w:tr>
    </w:tbl>
    <w:p>
      <w:pPr>
        <w:spacing w:after="20" w:before="20"/>
      </w:pPr>
    </w:p>
    <w:p>
      <w:pPr>
        <w:pStyle w:val="Heading3"/>
        <w:spacing w:after="80" w:before="280"/>
      </w:pPr>
      <w:r>
        <w:rPr>
          <w:rFonts w:ascii="Arial" w:cs="Arial" w:eastAsia="Arial" w:hAnsi="Arial"/>
          <w:b/>
          <w:bCs/>
          <w:color w:val="2563EB"/>
          <w:sz w:val="23"/>
          <w:szCs w:val="23"/>
        </w:rPr>
        <w:t xml:space="preserve">Commercial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Canonical Entity</w:t>
            </w:r>
          </w:p>
        </w:tc>
        <w:tc>
          <w:tcPr>
            <w:tcW w:type="dxa" w:w="63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Role</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RatePlan</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Tariff condition above base price: refundable, non-refundable, B2B, promo, early bird.</w:t>
            </w:r>
          </w:p>
        </w:tc>
      </w:tr>
      <w:tr>
        <w:tc>
          <w:tcPr>
            <w:tcW w:type="dxa" w:w="3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RestrictionRule</w:t>
            </w:r>
          </w:p>
        </w:tc>
        <w:tc>
          <w:tcPr>
            <w:tcW w:type="dxa" w:w="6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Sales rules such as stop sell, CTA, CTD, min/max LOS, booking windows.</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Channel</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Sales channel, OTA, reseller, channel manager or booking engine.</w:t>
            </w:r>
          </w:p>
        </w:tc>
      </w:tr>
      <w:tr>
        <w:tc>
          <w:tcPr>
            <w:tcW w:type="dxa" w:w="3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ChannelMapping</w:t>
            </w:r>
          </w:p>
        </w:tc>
        <w:tc>
          <w:tcPr>
            <w:tcW w:type="dxa" w:w="6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Maps internal codes to external codes (offer, rate plan, space type, product code, etc.).</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AllotmentPolicy</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Sellable quota per channel, partner, seller, season or event.</w:t>
            </w:r>
          </w:p>
        </w:tc>
      </w:tr>
      <w:tr>
        <w:tc>
          <w:tcPr>
            <w:tcW w:type="dxa" w:w="30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Reservation / ReservationLine</w:t>
            </w:r>
          </w:p>
        </w:tc>
        <w:tc>
          <w:tcPr>
            <w:tcW w:type="dxa" w:w="6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Order and booked lines, with impact on inventory and reporting.</w:t>
            </w:r>
          </w:p>
        </w:tc>
      </w:tr>
      <w:tr>
        <w:tc>
          <w:tcPr>
            <w:tcW w:type="dxa" w:w="30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FulfilmentLine / AllocationEvent</w:t>
            </w:r>
          </w:p>
        </w:tc>
        <w:tc>
          <w:tcPr>
            <w:tcW w:type="dxa" w:w="6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Represents what is actually delivered and which resources are consumed.</w:t>
            </w:r>
          </w:p>
        </w:tc>
      </w:tr>
    </w:tbl>
    <w:p>
      <w:pPr>
        <w:pStyle w:val="Heading2"/>
        <w:spacing w:after="120" w:before="400"/>
      </w:pPr>
      <w:r>
        <w:rPr>
          <w:rFonts w:ascii="Arial" w:cs="Arial" w:eastAsia="Arial" w:hAnsi="Arial"/>
          <w:b/>
          <w:bCs/>
          <w:color w:val="1F2937"/>
          <w:sz w:val="28"/>
          <w:szCs w:val="28"/>
        </w:rPr>
        <w:t xml:space="preserve">2.7 State Rules: Minimum Recommended Booking Lifecycle</w:t>
      </w:r>
    </w:p>
    <w:p>
      <w:pPr>
        <w:spacing w:after="100" w:before="60"/>
      </w:pPr>
      <w:r>
        <w:rPr>
          <w:rFonts w:ascii="Arial" w:cs="Arial" w:eastAsia="Arial" w:hAnsi="Arial"/>
          <w:i w:val="false"/>
          <w:iCs w:val="false"/>
          <w:color w:val="374151"/>
          <w:sz w:val="20"/>
          <w:szCs w:val="20"/>
        </w:rPr>
        <w:t xml:space="preserve">A channel-ready platform cannot limit itself to "available" and "booked". An explicit booking lifecycle is required because not all states block or release inventory in the same way.</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60"/>
        <w:gridCol w:w="2700"/>
      </w:tblGrid>
      <w:tr>
        <w:trPr>
          <w:tblHeader/>
        </w:trPr>
        <w:tc>
          <w:tcPr>
            <w:tcW w:type="dxa" w:w="18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State</w:t>
            </w:r>
          </w:p>
        </w:tc>
        <w:tc>
          <w:tcPr>
            <w:tcW w:type="dxa" w:w="24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Meaning</w:t>
            </w:r>
          </w:p>
        </w:tc>
        <w:tc>
          <w:tcPr>
            <w:tcW w:type="dxa" w:w="24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Effect on Inventory</w:t>
            </w:r>
          </w:p>
        </w:tc>
        <w:tc>
          <w:tcPr>
            <w:tcW w:type="dxa" w:w="27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Effect on Channels / Reporting</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Draft</w:t>
            </w:r>
          </w:p>
        </w:tc>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Booking not yet finalised</w:t>
            </w:r>
          </w:p>
        </w:tc>
        <w:tc>
          <w:tcPr>
            <w:tcW w:type="dxa" w:w="24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No impact</w:t>
            </w:r>
          </w:p>
        </w:tc>
        <w:tc>
          <w:tcPr>
            <w:tcW w:type="dxa" w:w="27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No synchronisation</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Hold / Pre-booking</w:t>
            </w:r>
          </w:p>
        </w:tc>
        <w:tc>
          <w:tcPr>
            <w:tcW w:type="dxa" w:w="24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Capacity temporarily blocked during checkout or verification</w:t>
            </w:r>
          </w:p>
        </w:tc>
        <w:tc>
          <w:tcPr>
            <w:tcW w:type="dxa" w:w="24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Blocks capacity for a defined TTL</w:t>
            </w:r>
          </w:p>
        </w:tc>
        <w:tc>
          <w:tcPr>
            <w:tcW w:type="dxa" w:w="27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Not always visible to channels; useful for fraud prevention / payments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Pending confirmation</w:t>
            </w:r>
          </w:p>
        </w:tc>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Request registered but not yet confirmed</w:t>
            </w:r>
          </w:p>
        </w:tc>
        <w:tc>
          <w:tcPr>
            <w:tcW w:type="dxa" w:w="24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May block capacity if the process requires it</w:t>
            </w:r>
          </w:p>
        </w:tc>
        <w:tc>
          <w:tcPr>
            <w:tcW w:type="dxa" w:w="27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Requires audit trail and timeout</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Confirmed</w:t>
            </w:r>
          </w:p>
        </w:tc>
        <w:tc>
          <w:tcPr>
            <w:tcW w:type="dxa" w:w="24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Booking confirmed</w:t>
            </w:r>
          </w:p>
        </w:tc>
        <w:tc>
          <w:tcPr>
            <w:tcW w:type="dxa" w:w="24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Definitively scales down availability</w:t>
            </w:r>
          </w:p>
        </w:tc>
        <w:tc>
          <w:tcPr>
            <w:tcW w:type="dxa" w:w="27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Must be synchronised with channels when applicable</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Partially paid</w:t>
            </w:r>
          </w:p>
        </w:tc>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Confirmed but not fully settled</w:t>
            </w:r>
          </w:p>
        </w:tc>
        <w:tc>
          <w:tcPr>
            <w:tcW w:type="dxa" w:w="24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Inventory normally already blocked</w:t>
            </w:r>
          </w:p>
        </w:tc>
        <w:tc>
          <w:tcPr>
            <w:tcW w:type="dxa" w:w="27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Useful for financial policies and reminders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Cancelled</w:t>
            </w:r>
          </w:p>
        </w:tc>
        <w:tc>
          <w:tcPr>
            <w:tcW w:type="dxa" w:w="24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Booking cancelled</w:t>
            </w:r>
          </w:p>
        </w:tc>
        <w:tc>
          <w:tcPr>
            <w:tcW w:type="dxa" w:w="24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Releases capacity unless different rules apply</w:t>
            </w:r>
          </w:p>
        </w:tc>
        <w:tc>
          <w:tcPr>
            <w:tcW w:type="dxa" w:w="27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Requires sync to channels and historicisation</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Released</w:t>
            </w:r>
          </w:p>
        </w:tc>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Expired or removed hold / pending</w:t>
            </w:r>
          </w:p>
        </w:tc>
        <w:tc>
          <w:tcPr>
            <w:tcW w:type="dxa" w:w="24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Releases capacity</w:t>
            </w:r>
          </w:p>
        </w:tc>
        <w:tc>
          <w:tcPr>
            <w:tcW w:type="dxa" w:w="27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Closes the cycle without a sale</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No-show</w:t>
            </w:r>
          </w:p>
        </w:tc>
        <w:tc>
          <w:tcPr>
            <w:tcW w:type="dxa" w:w="24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Confirmed booking not fulfilled</w:t>
            </w:r>
          </w:p>
        </w:tc>
        <w:tc>
          <w:tcPr>
            <w:tcW w:type="dxa" w:w="24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Normally does not release retroactively</w:t>
            </w:r>
          </w:p>
        </w:tc>
        <w:tc>
          <w:tcPr>
            <w:tcW w:type="dxa" w:w="27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Important for analytics and revenue leakage</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Completed</w:t>
            </w:r>
          </w:p>
        </w:tc>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Service delivered / stay concluded</w:t>
            </w:r>
          </w:p>
        </w:tc>
        <w:tc>
          <w:tcPr>
            <w:tcW w:type="dxa" w:w="24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No new effect on inventory</w:t>
            </w:r>
          </w:p>
        </w:tc>
        <w:tc>
          <w:tcPr>
            <w:tcW w:type="dxa" w:w="27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Closes the operational and analytical cycle</w:t>
            </w:r>
          </w:p>
        </w:tc>
      </w:tr>
    </w:tbl>
    <w:p>
      <w:pPr>
        <w:pStyle w:val="Heading2"/>
        <w:spacing w:after="120" w:before="400"/>
      </w:pPr>
      <w:r>
        <w:rPr>
          <w:rFonts w:ascii="Arial" w:cs="Arial" w:eastAsia="Arial" w:hAnsi="Arial"/>
          <w:b/>
          <w:bCs/>
          <w:color w:val="1F2937"/>
          <w:sz w:val="28"/>
          <w:szCs w:val="28"/>
        </w:rPr>
        <w:t xml:space="preserve">2.8 Channel Manager and Distribution: Logical Deep-Dive</w:t>
      </w:r>
    </w:p>
    <w:p>
      <w:pPr>
        <w:spacing w:after="100" w:before="60"/>
      </w:pPr>
      <w:r>
        <w:rPr>
          <w:rFonts w:ascii="Arial" w:cs="Arial" w:eastAsia="Arial" w:hAnsi="Arial"/>
          <w:i w:val="false"/>
          <w:iCs w:val="false"/>
          <w:color w:val="374151"/>
          <w:sz w:val="20"/>
          <w:szCs w:val="20"/>
        </w:rPr>
        <w:t xml:space="preserve">For the SaaS core, the channel manager topic is not optional. It must be planned from the outset, because some fundamental domain rules change precisely when the system must publish inventory, receive bookings and respect different semantics across channels.</w:t>
      </w:r>
    </w:p>
    <w:p>
      <w:pPr>
        <w:spacing w:after="100" w:before="60"/>
      </w:pPr>
      <w:r>
        <w:rPr>
          <w:rFonts w:ascii="Arial" w:cs="Arial" w:eastAsia="Arial" w:hAnsi="Arial"/>
          <w:i w:val="false"/>
          <w:iCs w:val="false"/>
          <w:color w:val="374151"/>
          <w:sz w:val="20"/>
          <w:szCs w:val="20"/>
        </w:rPr>
        <w:t xml:space="preserve">An important distinction must also be made between two distribution families:</w:t>
      </w:r>
    </w:p>
    <w:p>
      <w:pPr>
        <w:pStyle w:val="ListParagraph"/>
        <w:numPr>
          <w:ilvl w:val="0"/>
          <w:numId w:val="2"/>
        </w:numPr>
        <w:spacing w:after="40" w:before="40"/>
      </w:pPr>
      <w:r>
        <w:rPr>
          <w:rFonts w:ascii="Arial" w:cs="Arial" w:eastAsia="Arial" w:hAnsi="Arial"/>
          <w:color w:val="374151"/>
          <w:sz w:val="20"/>
          <w:szCs w:val="20"/>
        </w:rPr>
        <w:t xml:space="preserve">Hospitality channel manager / OTA — where the primary patterns are ARI, rate plans, room-type/room-rate mapping, stop sell, CTA/CTD, min/max LOS, allotment.</w:t>
      </w:r>
    </w:p>
    <w:p>
      <w:pPr>
        <w:pStyle w:val="ListParagraph"/>
        <w:numPr>
          <w:ilvl w:val="0"/>
          <w:numId w:val="2"/>
        </w:numPr>
        <w:spacing w:after="40" w:before="40"/>
      </w:pPr>
      <w:r>
        <w:rPr>
          <w:rFonts w:ascii="Arial" w:cs="Arial" w:eastAsia="Arial" w:hAnsi="Arial"/>
          <w:color w:val="374151"/>
          <w:sz w:val="20"/>
          <w:szCs w:val="20"/>
        </w:rPr>
        <w:t xml:space="preserve">Tour/activity distribution and reseller ecosystem — where the primary patterns are partner quotas, negotiated rates, marketplace contracts, closeout, modifications, cancellations and source tracking.</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4"/>
              <w:bottom w:val="none" w:color="FFFFFF" w:sz="0"/>
              <w:right w:val="none" w:color="FFFFFF" w:sz="0"/>
            </w:tcBorders>
            <w:shd w:fill="EFF6FF" w:val="clear"/>
            <w:tcMar>
              <w:top w:type="dxa" w:w="100"/>
              <w:left w:type="dxa" w:w="180"/>
              <w:bottom w:type="dxa" w:w="100"/>
              <w:right w:type="dxa" w:w="120"/>
            </w:tcMar>
          </w:tcPr>
          <w:p>
            <w:pPr>
              <w:spacing w:after="0" w:before="0"/>
            </w:pPr>
            <w:r>
              <w:rPr>
                <w:rFonts w:ascii="Arial" w:cs="Arial" w:eastAsia="Arial" w:hAnsi="Arial"/>
                <w:color w:val="1F2937"/>
                <w:sz w:val="19"/>
                <w:szCs w:val="19"/>
              </w:rPr>
              <w:t xml:space="preserve">Core architectural rule: the channel is not the source of truth for catalogue, inventory or structural pricing. The channel receives a derived view compatible with its own constraints.</w:t>
            </w:r>
          </w:p>
        </w:tc>
      </w:tr>
    </w:tbl>
    <w:p>
      <w:pPr>
        <w:spacing w:after="20" w:before="20"/>
      </w:pPr>
    </w:p>
    <w:p>
      <w:pPr>
        <w:pStyle w:val="Heading3"/>
        <w:spacing w:after="80" w:before="280"/>
      </w:pPr>
      <w:r>
        <w:rPr>
          <w:rFonts w:ascii="Arial" w:cs="Arial" w:eastAsia="Arial" w:hAnsi="Arial"/>
          <w:b/>
          <w:bCs/>
          <w:color w:val="2563EB"/>
          <w:sz w:val="23"/>
          <w:szCs w:val="23"/>
        </w:rPr>
        <w:t xml:space="preserve">2.8.1 Rules the Core Must Support for Channel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Rule / Capability</w:t>
            </w:r>
          </w:p>
        </w:tc>
        <w:tc>
          <w:tcPr>
            <w:tcW w:type="dxa" w:w="33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Why It Is Needed</w:t>
            </w:r>
          </w:p>
        </w:tc>
        <w:tc>
          <w:tcPr>
            <w:tcW w:type="dxa" w:w="36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Implication for the Core</w:t>
            </w:r>
          </w:p>
        </w:tc>
      </w:tr>
      <w:tr>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Availability separated from restrictions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In hospitality channel managers, availability is distinct from stop sell, CTA/CTD and LOS.</w:t>
            </w:r>
          </w:p>
        </w:tc>
        <w:tc>
          <w:tcPr>
            <w:tcW w:type="dxa" w:w="3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 with separate objects for availability, restriction and policy.</w:t>
            </w:r>
          </w:p>
        </w:tc>
      </w:tr>
      <w:tr>
        <w:tc>
          <w:tcPr>
            <w:tcW w:type="dxa" w:w="24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Rate plans separated from base offer</w:t>
            </w:r>
          </w:p>
        </w:tc>
        <w:tc>
          <w:tcPr>
            <w:tcW w:type="dxa" w:w="3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Channels often map room/product + rate plan distinctly.</w:t>
            </w:r>
          </w:p>
        </w:tc>
        <w:tc>
          <w:tcPr>
            <w:tcW w:type="dxa" w:w="3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 RatePlan layer independent of product OptionSets is required.</w:t>
            </w:r>
          </w:p>
        </w:tc>
      </w:tr>
      <w:tr>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Allotment / sellable quota</w:t>
            </w:r>
          </w:p>
        </w:tc>
        <w:tc>
          <w:tcPr>
            <w:tcW w:type="dxa" w:w="3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Real stock does not always equal the stock exposed to channels.</w:t>
            </w:r>
          </w:p>
        </w:tc>
        <w:tc>
          <w:tcPr>
            <w:tcW w:type="dxa" w:w="3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AllotmentPolicy entity and per-channel / reseller / event override.</w:t>
            </w:r>
          </w:p>
        </w:tc>
      </w:tr>
      <w:tr>
        <w:tc>
          <w:tcPr>
            <w:tcW w:type="dxa" w:w="24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Closeout and stop sell</w:t>
            </w:r>
          </w:p>
        </w:tc>
        <w:tc>
          <w:tcPr>
            <w:tcW w:type="dxa" w:w="3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Sales may need to be closed even with available stock.</w:t>
            </w:r>
          </w:p>
        </w:tc>
        <w:tc>
          <w:tcPr>
            <w:tcW w:type="dxa" w:w="3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RestrictionRule and priority between closures and availability.</w:t>
            </w:r>
          </w:p>
        </w:tc>
      </w:tr>
      <w:tr>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CTA / CTD and Min/Max LOS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Required especially in hospitality.</w:t>
            </w:r>
          </w:p>
        </w:tc>
        <w:tc>
          <w:tcPr>
            <w:tcW w:type="dxa" w:w="3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Restriction engine not limited to experiential tourism.</w:t>
            </w:r>
          </w:p>
        </w:tc>
      </w:tr>
      <w:tr>
        <w:tc>
          <w:tcPr>
            <w:tcW w:type="dxa" w:w="24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Bidirectional modifications and cancellations</w:t>
            </w:r>
          </w:p>
        </w:tc>
        <w:tc>
          <w:tcPr>
            <w:tcW w:type="dxa" w:w="3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The channel can send updates, not only new bookings.</w:t>
            </w:r>
          </w:p>
        </w:tc>
        <w:tc>
          <w:tcPr>
            <w:tcW w:type="dxa" w:w="3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Robust lifecycle + idempotent sync engine.</w:t>
            </w:r>
          </w:p>
        </w:tc>
      </w:tr>
      <w:tr>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Negotiated / marketplace rates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In touring, partners may have different conditions.</w:t>
            </w:r>
          </w:p>
        </w:tc>
        <w:tc>
          <w:tcPr>
            <w:tcW w:type="dxa" w:w="3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Channel contracts, commission model and partner-specific pricing.</w:t>
            </w:r>
          </w:p>
        </w:tc>
      </w:tr>
      <w:tr>
        <w:tc>
          <w:tcPr>
            <w:tcW w:type="dxa" w:w="24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Reconciliation and audit trail</w:t>
            </w:r>
          </w:p>
        </w:tc>
        <w:tc>
          <w:tcPr>
            <w:tcW w:type="dxa" w:w="33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Mapping errors or simultaneous bookings must be tracked and resolved.</w:t>
            </w:r>
          </w:p>
        </w:tc>
        <w:tc>
          <w:tcPr>
            <w:tcW w:type="dxa" w:w="3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Event logs, sync status and retry queue.</w:t>
            </w:r>
          </w:p>
        </w:tc>
      </w:tr>
      <w:tr>
        <w:tc>
          <w:tcPr>
            <w:tcW w:type="dxa" w:w="24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Channel-facing codes</w:t>
            </w:r>
          </w:p>
        </w:tc>
        <w:tc>
          <w:tcPr>
            <w:tcW w:type="dxa" w:w="33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Each channel uses its own external codes and semantics.</w:t>
            </w:r>
          </w:p>
        </w:tc>
        <w:tc>
          <w:tcPr>
            <w:tcW w:type="dxa" w:w="3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ChannelMapping for offer, rate plan, resource category, seller and tariff.</w:t>
            </w:r>
          </w:p>
        </w:tc>
      </w:tr>
    </w:tbl>
    <w:p>
      <w:pPr>
        <w:pStyle w:val="Heading3"/>
        <w:spacing w:after="80" w:before="280"/>
      </w:pPr>
      <w:r>
        <w:rPr>
          <w:rFonts w:ascii="Arial" w:cs="Arial" w:eastAsia="Arial" w:hAnsi="Arial"/>
          <w:b/>
          <w:bCs/>
          <w:color w:val="2563EB"/>
          <w:sz w:val="23"/>
          <w:szCs w:val="23"/>
        </w:rPr>
        <w:t xml:space="preserve">2.8.2 Specific Software Implications for Channel Managers</w:t>
      </w:r>
    </w:p>
    <w:p>
      <w:pPr>
        <w:pStyle w:val="ListParagraph"/>
        <w:numPr>
          <w:ilvl w:val="0"/>
          <w:numId w:val="2"/>
        </w:numPr>
        <w:spacing w:after="40" w:before="40"/>
      </w:pPr>
      <w:r>
        <w:rPr>
          <w:rFonts w:ascii="Arial" w:cs="Arial" w:eastAsia="Arial" w:hAnsi="Arial"/>
          <w:color w:val="374151"/>
          <w:sz w:val="20"/>
          <w:szCs w:val="20"/>
        </w:rPr>
        <w:t xml:space="preserve">The core must be able to generate a different distributive view per channel. Not all internal offers can be published as-is.</w:t>
      </w:r>
    </w:p>
    <w:p>
      <w:pPr>
        <w:pStyle w:val="ListParagraph"/>
        <w:numPr>
          <w:ilvl w:val="0"/>
          <w:numId w:val="2"/>
        </w:numPr>
        <w:spacing w:after="40" w:before="40"/>
      </w:pPr>
      <w:r>
        <w:rPr>
          <w:rFonts w:ascii="Arial" w:cs="Arial" w:eastAsia="Arial" w:hAnsi="Arial"/>
          <w:color w:val="374151"/>
          <w:sz w:val="20"/>
          <w:szCs w:val="20"/>
        </w:rPr>
        <w:t xml:space="preserve">Bookings originating from channels must not bypass the internal lifecycle. They must enter the same hold/confirm/cancel/complete model, even if they originate externally.</w:t>
      </w:r>
    </w:p>
    <w:p>
      <w:pPr>
        <w:pStyle w:val="ListParagraph"/>
        <w:numPr>
          <w:ilvl w:val="0"/>
          <w:numId w:val="2"/>
        </w:numPr>
        <w:spacing w:after="40" w:before="40"/>
      </w:pPr>
      <w:r>
        <w:rPr>
          <w:rFonts w:ascii="Arial" w:cs="Arial" w:eastAsia="Arial" w:hAnsi="Arial"/>
          <w:color w:val="374151"/>
          <w:sz w:val="20"/>
          <w:szCs w:val="20"/>
        </w:rPr>
        <w:t xml:space="preserve">A stable mapping between internal and external codes is required: offer, rate plan, seller, contract, category, channel-specific status.</w:t>
      </w:r>
    </w:p>
    <w:p>
      <w:pPr>
        <w:pStyle w:val="ListParagraph"/>
        <w:numPr>
          <w:ilvl w:val="0"/>
          <w:numId w:val="2"/>
        </w:numPr>
        <w:spacing w:after="40" w:before="40"/>
      </w:pPr>
      <w:r>
        <w:rPr>
          <w:rFonts w:ascii="Arial" w:cs="Arial" w:eastAsia="Arial" w:hAnsi="Arial"/>
          <w:color w:val="374151"/>
          <w:sz w:val="20"/>
          <w:szCs w:val="20"/>
        </w:rPr>
        <w:t xml:space="preserve">The sellable availability per channel must be able to be lower than real availability, both to reduce overbooking risk and for commercial strategy purposes.</w:t>
      </w:r>
    </w:p>
    <w:p>
      <w:pPr>
        <w:pStyle w:val="ListParagraph"/>
        <w:numPr>
          <w:ilvl w:val="0"/>
          <w:numId w:val="2"/>
        </w:numPr>
        <w:spacing w:after="40" w:before="40"/>
      </w:pPr>
      <w:r>
        <w:rPr>
          <w:rFonts w:ascii="Arial" w:cs="Arial" w:eastAsia="Arial" w:hAnsi="Arial"/>
          <w:color w:val="374151"/>
          <w:sz w:val="20"/>
          <w:szCs w:val="20"/>
        </w:rPr>
        <w:t xml:space="preserve">The sync engine must be asynchronous, with retry, idempotency and reconciliation, as channel errors or delays are normal in production.</w:t>
      </w:r>
    </w:p>
    <w:p>
      <w:pPr>
        <w:pStyle w:val="Heading2"/>
        <w:spacing w:after="120" w:before="400"/>
      </w:pPr>
      <w:r>
        <w:rPr>
          <w:rFonts w:ascii="Arial" w:cs="Arial" w:eastAsia="Arial" w:hAnsi="Arial"/>
          <w:b/>
          <w:bCs/>
          <w:color w:val="1F2937"/>
          <w:sz w:val="28"/>
          <w:szCs w:val="28"/>
        </w:rPr>
        <w:t xml:space="preserve">2.9 Operator / Employee as Add-on of the Resource Layer</w:t>
      </w:r>
    </w:p>
    <w:p>
      <w:pPr>
        <w:spacing w:after="100" w:before="60"/>
      </w:pPr>
      <w:r>
        <w:rPr>
          <w:rFonts w:ascii="Arial" w:cs="Arial" w:eastAsia="Arial" w:hAnsi="Arial"/>
          <w:i w:val="false"/>
          <w:iCs w:val="false"/>
          <w:color w:val="374151"/>
          <w:sz w:val="20"/>
          <w:szCs w:val="20"/>
        </w:rPr>
        <w:t xml:space="preserve">The operator concept must be introduced, but in the correct way. It must not become the primary axis of the domain, because the SaaS core is not an appointment system. The operator is instead an optional human resource, useful when a service requires a specific person.</w:t>
      </w:r>
    </w:p>
    <w:p>
      <w:pPr>
        <w:spacing w:after="100" w:before="60"/>
      </w:pPr>
      <w:r>
        <w:rPr>
          <w:rFonts w:ascii="Arial" w:cs="Arial" w:eastAsia="Arial" w:hAnsi="Arial"/>
          <w:i w:val="false"/>
          <w:iCs w:val="false"/>
          <w:color w:val="374151"/>
          <w:sz w:val="20"/>
          <w:szCs w:val="20"/>
        </w:rPr>
        <w:t xml:space="preserve">In this sense the WPAmelia benchmark is useful: the employee is modelled with schedules, breaks, days off, assigned services, location and availability rules. For FlexiBooking, however, this logic must be treated as an extension of the Resource layer, not as a universal foundation of the system.</w:t>
      </w:r>
    </w:p>
    <w:p>
      <w:pPr>
        <w:spacing w:after="100" w:before="60"/>
      </w:pPr>
      <w:r>
        <w:rPr>
          <w:rFonts w:ascii="Arial" w:cs="Arial" w:eastAsia="Arial" w:hAnsi="Arial"/>
          <w:i w:val="false"/>
          <w:iCs w:val="false"/>
          <w:color w:val="374151"/>
          <w:sz w:val="20"/>
          <w:szCs w:val="20"/>
        </w:rPr>
        <w:t xml:space="preserve">Correct operator mapping example: Service: private boat tour | Resources required: 1 boat + 1 skipper | Booking is only possible if both resources are available in the same time window | The skipper can be automatically assigned, chosen from the back office or, only if the model requires it, selected by the customer.</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When Needed</w:t>
            </w:r>
          </w:p>
        </w:tc>
        <w:tc>
          <w:tcPr>
            <w:tcW w:type="dxa" w:w="38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How to Model It</w:t>
            </w:r>
          </w:p>
        </w:tc>
        <w:tc>
          <w:tcPr>
            <w:tcW w:type="dxa" w:w="27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Note</w:t>
            </w:r>
          </w:p>
        </w:tc>
      </w:tr>
      <w:tr>
        <w:tc>
          <w:tcPr>
            <w:tcW w:type="dxa" w:w="2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Guided visits, skippers, instructors, sommeliers, wellness operators</w:t>
            </w:r>
          </w:p>
        </w:tc>
        <w:tc>
          <w:tcPr>
            <w:tcW w:type="dxa" w:w="3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Operator as human-type Resource</w:t>
            </w:r>
          </w:p>
        </w:tc>
        <w:tc>
          <w:tcPr>
            <w:tcW w:type="dxa" w:w="27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Not required for rooms or self-service tickets</w:t>
            </w:r>
          </w:p>
        </w:tc>
      </w:tr>
      <w:tr>
        <w:tc>
          <w:tcPr>
            <w:tcW w:type="dxa" w:w="2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Service requires a specific person</w:t>
            </w:r>
          </w:p>
        </w:tc>
        <w:tc>
          <w:tcPr>
            <w:tcW w:type="dxa" w:w="3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AllocationRule requires both physical and human resource</w:t>
            </w:r>
          </w:p>
        </w:tc>
        <w:tc>
          <w:tcPr>
            <w:tcW w:type="dxa" w:w="27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If either is missing, the booking is not sellable</w:t>
            </w:r>
          </w:p>
        </w:tc>
      </w:tr>
      <w:tr>
        <w:tc>
          <w:tcPr>
            <w:tcW w:type="dxa" w:w="2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Customer can choose the operator</w:t>
            </w:r>
          </w:p>
        </w:tc>
        <w:tc>
          <w:tcPr>
            <w:tcW w:type="dxa" w:w="3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Optional frontend feature</w:t>
            </w:r>
          </w:p>
        </w:tc>
        <w:tc>
          <w:tcPr>
            <w:tcW w:type="dxa" w:w="27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Must not be mandatory for the domain</w:t>
            </w:r>
          </w:p>
        </w:tc>
      </w:tr>
      <w:tr>
        <w:tc>
          <w:tcPr>
            <w:tcW w:type="dxa" w:w="2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Back office auto-assigns</w:t>
            </w:r>
          </w:p>
        </w:tc>
        <w:tc>
          <w:tcPr>
            <w:tcW w:type="dxa" w:w="3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Auto-assignment rule</w:t>
            </w:r>
          </w:p>
        </w:tc>
        <w:tc>
          <w:tcPr>
            <w:tcW w:type="dxa" w:w="27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More consistent for most B2C cases</w:t>
            </w:r>
          </w:p>
        </w:tc>
      </w:tr>
    </w:tbl>
    <w:p>
      <w:pPr>
        <w:pStyle w:val="Heading2"/>
        <w:spacing w:after="120" w:before="400"/>
      </w:pPr>
      <w:r>
        <w:rPr>
          <w:rFonts w:ascii="Arial" w:cs="Arial" w:eastAsia="Arial" w:hAnsi="Arial"/>
          <w:b/>
          <w:bCs/>
          <w:color w:val="1F2937"/>
          <w:sz w:val="28"/>
          <w:szCs w:val="28"/>
        </w:rPr>
        <w:t xml:space="preserve">2.10 Feature → Layer Matrix</w:t>
      </w:r>
    </w:p>
    <w:p>
      <w:pPr>
        <w:spacing w:after="100" w:before="60"/>
      </w:pPr>
      <w:r>
        <w:rPr>
          <w:rFonts w:ascii="Arial" w:cs="Arial" w:eastAsia="Arial" w:hAnsi="Arial"/>
          <w:i w:val="false"/>
          <w:iCs w:val="false"/>
          <w:color w:val="374151"/>
          <w:sz w:val="20"/>
          <w:szCs w:val="20"/>
        </w:rPr>
        <w:t xml:space="preserve">The following matrix clarifies that business features are the product surface, while the technical engine is composed of reusable layers. "Core" indicates the primary layer that drives the feature; "Support" indicates a secondary but necessary layer.</w:t>
      </w:r>
    </w:p>
    <w:p>
      <w:pPr>
        <w:spacing w:after="20" w:before="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900"/>
        <w:gridCol w:w="650"/>
        <w:gridCol w:w="650"/>
        <w:gridCol w:w="780"/>
        <w:gridCol w:w="650"/>
        <w:gridCol w:w="780"/>
        <w:gridCol w:w="650"/>
        <w:gridCol w:w="780"/>
        <w:gridCol w:w="900"/>
        <w:gridCol w:w="820"/>
      </w:tblGrid>
      <w:tr>
        <w:trPr>
          <w:tblHeader/>
        </w:trPr>
        <w:tc>
          <w:tcPr>
            <w:tcW w:type="dxa" w:w="19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Feature / Scenario</w:t>
            </w:r>
          </w:p>
        </w:tc>
        <w:tc>
          <w:tcPr>
            <w:tcW w:type="dxa" w:w="65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Offer</w:t>
            </w:r>
          </w:p>
        </w:tc>
        <w:tc>
          <w:tcPr>
            <w:tcW w:type="dxa" w:w="65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Relation</w:t>
            </w:r>
          </w:p>
        </w:tc>
        <w:tc>
          <w:tcPr>
            <w:tcW w:type="dxa" w:w="78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Resource</w:t>
            </w:r>
          </w:p>
        </w:tc>
        <w:tc>
          <w:tcPr>
            <w:tcW w:type="dxa" w:w="65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Rule</w:t>
            </w:r>
          </w:p>
        </w:tc>
        <w:tc>
          <w:tcPr>
            <w:tcW w:type="dxa" w:w="78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Schedule</w:t>
            </w:r>
          </w:p>
        </w:tc>
        <w:tc>
          <w:tcPr>
            <w:tcW w:type="dxa" w:w="65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Pricing</w:t>
            </w:r>
          </w:p>
        </w:tc>
        <w:tc>
          <w:tcPr>
            <w:tcW w:type="dxa" w:w="78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Lifecycle</w:t>
            </w:r>
          </w:p>
        </w:tc>
        <w:tc>
          <w:tcPr>
            <w:tcW w:type="dxa" w:w="9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Distribution</w:t>
            </w:r>
          </w:p>
        </w:tc>
        <w:tc>
          <w:tcPr>
            <w:tcW w:type="dxa" w:w="82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Analytics</w:t>
            </w:r>
          </w:p>
        </w:tc>
      </w:tr>
      <w:tr>
        <w:tc>
          <w:tcPr>
            <w:tcW w:type="dxa" w:w="1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Shared extra</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82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r>
      <w:tr>
        <w:tc>
          <w:tcPr>
            <w:tcW w:type="dxa" w:w="1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Product as extra</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82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r>
      <w:tr>
        <w:tc>
          <w:tcPr>
            <w:tcW w:type="dxa" w:w="1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Service chaining</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82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r>
      <w:tr>
        <w:tc>
          <w:tcPr>
            <w:tcW w:type="dxa" w:w="1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Shared availability</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82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r>
      <w:tr>
        <w:tc>
          <w:tcPr>
            <w:tcW w:type="dxa" w:w="1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Service with options</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82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r>
      <w:tr>
        <w:tc>
          <w:tcPr>
            <w:tcW w:type="dxa" w:w="1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Virtual service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82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r>
      <w:tr>
        <w:tc>
          <w:tcPr>
            <w:tcW w:type="dxa" w:w="1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Bundle / combo</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82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r>
      <w:tr>
        <w:tc>
          <w:tcPr>
            <w:tcW w:type="dxa" w:w="1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Accommodation / room type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82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r>
      <w:tr>
        <w:tc>
          <w:tcPr>
            <w:tcW w:type="dxa" w:w="1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Rate plan</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82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r>
      <w:tr>
        <w:tc>
          <w:tcPr>
            <w:tcW w:type="dxa" w:w="1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Allotment / reseller quota</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82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r>
      <w:tr>
        <w:tc>
          <w:tcPr>
            <w:tcW w:type="dxa" w:w="1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Operator add-on</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65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82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Support</w:t>
            </w:r>
          </w:p>
        </w:tc>
      </w:tr>
      <w:tr>
        <w:tc>
          <w:tcPr>
            <w:tcW w:type="dxa" w:w="1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Channel manager mapping</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w:t>
            </w:r>
          </w:p>
        </w:tc>
        <w:tc>
          <w:tcPr>
            <w:tcW w:type="dxa" w:w="65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78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Support</w:t>
            </w:r>
          </w:p>
        </w:tc>
        <w:tc>
          <w:tcPr>
            <w:tcW w:type="dxa" w:w="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c>
          <w:tcPr>
            <w:tcW w:type="dxa" w:w="82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Core</w:t>
            </w:r>
          </w:p>
        </w:tc>
      </w:tr>
    </w:tbl>
    <w:p>
      <w:pPr>
        <w:pStyle w:val="Heading2"/>
        <w:spacing w:after="120" w:before="400"/>
      </w:pPr>
      <w:r>
        <w:rPr>
          <w:rFonts w:ascii="Arial" w:cs="Arial" w:eastAsia="Arial" w:hAnsi="Arial"/>
          <w:b/>
          <w:bCs/>
          <w:color w:val="1F2937"/>
          <w:sz w:val="28"/>
          <w:szCs w:val="28"/>
        </w:rPr>
        <w:t xml:space="preserve">2.11 Official Use Cases as Reference Baseline</w:t>
      </w:r>
    </w:p>
    <w:p>
      <w:pPr>
        <w:spacing w:after="100" w:before="60"/>
      </w:pPr>
      <w:r>
        <w:rPr>
          <w:rFonts w:ascii="Arial" w:cs="Arial" w:eastAsia="Arial" w:hAnsi="Arial"/>
          <w:i w:val="false"/>
          <w:iCs w:val="false"/>
          <w:color w:val="374151"/>
          <w:sz w:val="20"/>
          <w:szCs w:val="20"/>
        </w:rPr>
        <w:t xml:space="preserve">The following use cases serve as a shared baseline between product and development. Every architectural decision should be re-evaluated against these cases.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900"/>
        <w:gridCol w:w="2060"/>
      </w:tblGrid>
      <w:tr>
        <w:trPr>
          <w:tblHeader/>
        </w:trPr>
        <w:tc>
          <w:tcPr>
            <w:tcW w:type="dxa" w:w="18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Use Case</w:t>
            </w:r>
          </w:p>
        </w:tc>
        <w:tc>
          <w:tcPr>
            <w:tcW w:type="dxa" w:w="26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Configuration</w:t>
            </w:r>
          </w:p>
        </w:tc>
        <w:tc>
          <w:tcPr>
            <w:tcW w:type="dxa" w:w="290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Expected Behaviour</w:t>
            </w:r>
          </w:p>
        </w:tc>
        <w:tc>
          <w:tcPr>
            <w:tcW w:type="dxa" w:w="2060"/>
            <w:tcBorders>
              <w:top w:val="single" w:color="1A6B3C" w:sz="1"/>
              <w:left w:val="single" w:color="1A6B3C" w:sz="1"/>
              <w:bottom w:val="single" w:color="1A6B3C" w:sz="1"/>
              <w:right w:val="single" w:color="1A6B3C" w:sz="1"/>
            </w:tcBorders>
            <w:shd w:fill="1F2937" w:val="clear"/>
            <w:tcMar>
              <w:top w:type="dxa" w:w="80"/>
              <w:left w:type="dxa" w:w="120"/>
              <w:bottom w:type="dxa" w:w="80"/>
              <w:right w:type="dxa" w:w="80"/>
            </w:tcMar>
          </w:tcPr>
          <w:p>
            <w:r>
              <w:rPr>
                <w:rFonts w:ascii="Arial" w:cs="Arial" w:eastAsia="Arial" w:hAnsi="Arial"/>
                <w:b/>
                <w:bCs/>
                <w:color w:val="FFFFFF"/>
                <w:sz w:val="18"/>
                <w:szCs w:val="18"/>
              </w:rPr>
              <w:t xml:space="preserve">Why It Matters</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UC-01 Shared wellness kit</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One unique extra linked to multiple entries</w:t>
            </w:r>
          </w:p>
        </w:tc>
        <w:tc>
          <w:tcPr>
            <w:tcW w:type="dxa" w:w="2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Stock decremented centrally from any service</w:t>
            </w:r>
          </w:p>
        </w:tc>
        <w:tc>
          <w:tcPr>
            <w:tcW w:type="dxa" w:w="20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True shared stock, no duplication</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UC-02 Massage as extra</w:t>
            </w:r>
          </w:p>
        </w:tc>
        <w:tc>
          <w:tcPr>
            <w:tcW w:type="dxa" w:w="2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Standalone product also sellable as add-on</w:t>
            </w:r>
          </w:p>
        </w:tc>
        <w:tc>
          <w:tcPr>
            <w:tcW w:type="dxa" w:w="2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Order shows upsell; system maintains the autonomous product</w:t>
            </w:r>
          </w:p>
        </w:tc>
        <w:tc>
          <w:tcPr>
            <w:tcW w:type="dxa" w:w="20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Cross-selling and correct reporting</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UC-03 Shared vs private boat</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Same boat on public and private offer</w:t>
            </w:r>
          </w:p>
        </w:tc>
        <w:tc>
          <w:tcPr>
            <w:tcW w:type="dxa" w:w="2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One booking closes the other on the same slot</w:t>
            </w:r>
          </w:p>
        </w:tc>
        <w:tc>
          <w:tcPr>
            <w:tcW w:type="dxa" w:w="20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Operational exclusivity</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UC-04 Shared tastings</w:t>
            </w:r>
          </w:p>
        </w:tc>
        <w:tc>
          <w:tcPr>
            <w:tcW w:type="dxa" w:w="2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Three services on a 10-seat pool</w:t>
            </w:r>
          </w:p>
        </w:tc>
        <w:tc>
          <w:tcPr>
            <w:tcW w:type="dxa" w:w="2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Each booking decrements the same capacity pool</w:t>
            </w:r>
          </w:p>
        </w:tc>
        <w:tc>
          <w:tcPr>
            <w:tcW w:type="dxa" w:w="20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Capacity planning and demand mix</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UC-05 Light/full option</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One service with two content variants</w:t>
            </w:r>
          </w:p>
        </w:tc>
        <w:tc>
          <w:tcPr>
            <w:tcW w:type="dxa" w:w="2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Same availability, different prices and entitlements</w:t>
            </w:r>
          </w:p>
        </w:tc>
        <w:tc>
          <w:tcPr>
            <w:tcW w:type="dxa" w:w="20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Variants, not separate services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UC-06 Virtual 10-seat boat</w:t>
            </w:r>
          </w:p>
        </w:tc>
        <w:tc>
          <w:tcPr>
            <w:tcW w:type="dxa" w:w="2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Virtual derived from 4-seat + 6-seat boat</w:t>
            </w:r>
          </w:p>
        </w:tc>
        <w:tc>
          <w:tcPr>
            <w:tcW w:type="dxa" w:w="2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Virtual blocks both; one real blocks the virtual but not the other real</w:t>
            </w:r>
          </w:p>
        </w:tc>
        <w:tc>
          <w:tcPr>
            <w:tcW w:type="dxa" w:w="20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Derived offer and availability propagation</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UC-07 Accommodation + activity package</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Stay + activity + optional service</w:t>
            </w:r>
          </w:p>
        </w:tc>
        <w:tc>
          <w:tcPr>
            <w:tcW w:type="dxa" w:w="2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Single catalogue, coherent calendar and separate fulfilment lines</w:t>
            </w:r>
          </w:p>
        </w:tc>
        <w:tc>
          <w:tcPr>
            <w:tcW w:type="dxa" w:w="20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Mixed inventory / package</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UC-08 Reseller / OTA allotment</w:t>
            </w:r>
          </w:p>
        </w:tc>
        <w:tc>
          <w:tcPr>
            <w:tcW w:type="dxa" w:w="26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Different quotas per channel or partner</w:t>
            </w:r>
          </w:p>
        </w:tc>
        <w:tc>
          <w:tcPr>
            <w:tcW w:type="dxa" w:w="290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Real stock remains one; sellability per channel can differ</w:t>
            </w:r>
          </w:p>
        </w:tc>
        <w:tc>
          <w:tcPr>
            <w:tcW w:type="dxa" w:w="2060"/>
            <w:tcBorders>
              <w:top w:val="single" w:color="E5E7EB" w:sz="1"/>
              <w:left w:val="single" w:color="E5E7EB" w:sz="1"/>
              <w:bottom w:val="single" w:color="E5E7EB" w:sz="1"/>
              <w:right w:val="single" w:color="E5E7EB" w:sz="1"/>
            </w:tcBorders>
            <w:shd w:fill="F9FAFB" w:val="clear"/>
            <w:tcMar>
              <w:top w:type="dxa" w:w="65"/>
              <w:left w:type="dxa" w:w="110"/>
              <w:bottom w:type="dxa" w:w="65"/>
              <w:right w:type="dxa" w:w="80"/>
            </w:tcMar>
          </w:tcPr>
          <w:p>
            <w:r>
              <w:rPr>
                <w:rFonts w:ascii="Arial" w:cs="Arial" w:eastAsia="Arial" w:hAnsi="Arial"/>
                <w:color w:val="374151"/>
                <w:sz w:val="18"/>
                <w:szCs w:val="18"/>
              </w:rPr>
              <w:t xml:space="preserve">Channel strategy and risk control</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UC-09 Tour with skipper</w:t>
            </w:r>
          </w:p>
        </w:tc>
        <w:tc>
          <w:tcPr>
            <w:tcW w:type="dxa" w:w="26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Physical resource + mandatory operator</w:t>
            </w:r>
          </w:p>
        </w:tc>
        <w:tc>
          <w:tcPr>
            <w:tcW w:type="dxa" w:w="290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Booking possible only if both are available</w:t>
            </w:r>
          </w:p>
        </w:tc>
        <w:tc>
          <w:tcPr>
            <w:tcW w:type="dxa" w:w="2060"/>
            <w:tcBorders>
              <w:top w:val="single" w:color="E5E7EB" w:sz="1"/>
              <w:left w:val="single" w:color="E5E7EB" w:sz="1"/>
              <w:bottom w:val="single" w:color="E5E7EB" w:sz="1"/>
              <w:right w:val="single" w:color="E5E7EB" w:sz="1"/>
            </w:tcBorders>
            <w:shd w:fill="FFFFFF" w:val="clear"/>
            <w:tcMar>
              <w:top w:type="dxa" w:w="65"/>
              <w:left w:type="dxa" w:w="110"/>
              <w:bottom w:type="dxa" w:w="65"/>
              <w:right w:type="dxa" w:w="80"/>
            </w:tcMar>
          </w:tcPr>
          <w:p>
            <w:r>
              <w:rPr>
                <w:rFonts w:ascii="Arial" w:cs="Arial" w:eastAsia="Arial" w:hAnsi="Arial"/>
                <w:color w:val="374151"/>
                <w:sz w:val="18"/>
                <w:szCs w:val="18"/>
              </w:rPr>
              <w:t xml:space="preserve">Operator add-on, not appointment-first</w:t>
            </w:r>
          </w:p>
        </w:tc>
      </w:tr>
    </w:tbl>
    <w:p>
      <w:pPr>
        <w:pStyle w:val="Heading2"/>
        <w:spacing w:after="120" w:before="400"/>
      </w:pPr>
      <w:r>
        <w:rPr>
          <w:rFonts w:ascii="Arial" w:cs="Arial" w:eastAsia="Arial" w:hAnsi="Arial"/>
          <w:b/>
          <w:bCs/>
          <w:color w:val="1F2937"/>
          <w:sz w:val="28"/>
          <w:szCs w:val="28"/>
        </w:rPr>
        <w:t xml:space="preserve">2.12 Priority Architectural Recommendations</w:t>
      </w:r>
    </w:p>
    <w:p>
      <w:pPr>
        <w:pStyle w:val="ListParagraph"/>
        <w:numPr>
          <w:ilvl w:val="0"/>
          <w:numId w:val="2"/>
        </w:numPr>
        <w:spacing w:after="40" w:before="40"/>
      </w:pPr>
      <w:r>
        <w:rPr>
          <w:rFonts w:ascii="Arial" w:cs="Arial" w:eastAsia="Arial" w:hAnsi="Arial"/>
          <w:color w:val="374151"/>
          <w:sz w:val="20"/>
          <w:szCs w:val="20"/>
        </w:rPr>
        <w:t xml:space="preserve">Immediately separate catalogue, resources, pricing, lifecycle and distribution; avoid ambiguous entities that mix different meanings.</w:t>
      </w:r>
    </w:p>
    <w:p>
      <w:pPr>
        <w:pStyle w:val="ListParagraph"/>
        <w:numPr>
          <w:ilvl w:val="0"/>
          <w:numId w:val="2"/>
        </w:numPr>
        <w:spacing w:after="40" w:before="40"/>
      </w:pPr>
      <w:r>
        <w:rPr>
          <w:rFonts w:ascii="Arial" w:cs="Arial" w:eastAsia="Arial" w:hAnsi="Arial"/>
          <w:color w:val="374151"/>
          <w:sz w:val="20"/>
          <w:szCs w:val="20"/>
        </w:rPr>
        <w:t xml:space="preserve">Introduce a Resource / ResourcePool layer as the first true shared engine for shared extras, shared availability, chaining and part of the virtual services logic.</w:t>
      </w:r>
    </w:p>
    <w:p>
      <w:pPr>
        <w:pStyle w:val="ListParagraph"/>
        <w:numPr>
          <w:ilvl w:val="0"/>
          <w:numId w:val="2"/>
        </w:numPr>
        <w:spacing w:after="40" w:before="40"/>
      </w:pPr>
      <w:r>
        <w:rPr>
          <w:rFonts w:ascii="Arial" w:cs="Arial" w:eastAsia="Arial" w:hAnsi="Arial"/>
          <w:color w:val="374151"/>
          <w:sz w:val="20"/>
          <w:szCs w:val="20"/>
        </w:rPr>
        <w:t xml:space="preserve">Clearly distinguish product OptionSet from commercial RatePlan.</w:t>
      </w:r>
    </w:p>
    <w:p>
      <w:pPr>
        <w:pStyle w:val="ListParagraph"/>
        <w:numPr>
          <w:ilvl w:val="0"/>
          <w:numId w:val="2"/>
        </w:numPr>
        <w:spacing w:after="40" w:before="40"/>
      </w:pPr>
      <w:r>
        <w:rPr>
          <w:rFonts w:ascii="Arial" w:cs="Arial" w:eastAsia="Arial" w:hAnsi="Arial"/>
          <w:color w:val="374151"/>
          <w:sz w:val="20"/>
          <w:szCs w:val="20"/>
        </w:rPr>
        <w:t xml:space="preserve">Implement a Booking Lifecycle with hold, pending, confirmed, released and cancelled before tackling channel-heavy integrations.</w:t>
      </w:r>
    </w:p>
    <w:p>
      <w:pPr>
        <w:pStyle w:val="ListParagraph"/>
        <w:numPr>
          <w:ilvl w:val="0"/>
          <w:numId w:val="2"/>
        </w:numPr>
        <w:spacing w:after="40" w:before="40"/>
      </w:pPr>
      <w:r>
        <w:rPr>
          <w:rFonts w:ascii="Arial" w:cs="Arial" w:eastAsia="Arial" w:hAnsi="Arial"/>
          <w:color w:val="374151"/>
          <w:sz w:val="20"/>
          <w:szCs w:val="20"/>
        </w:rPr>
        <w:t xml:space="preserve">Add a native Distribution / Allotment layer from the start, not as a late extension.</w:t>
      </w:r>
    </w:p>
    <w:p>
      <w:pPr>
        <w:pStyle w:val="ListParagraph"/>
        <w:numPr>
          <w:ilvl w:val="0"/>
          <w:numId w:val="2"/>
        </w:numPr>
        <w:spacing w:after="40" w:before="40"/>
      </w:pPr>
      <w:r>
        <w:rPr>
          <w:rFonts w:ascii="Arial" w:cs="Arial" w:eastAsia="Arial" w:hAnsi="Arial"/>
          <w:color w:val="374151"/>
          <w:sz w:val="20"/>
          <w:szCs w:val="20"/>
        </w:rPr>
        <w:t xml:space="preserve">Treat the operator as an add-on of the Resource layer, not as the domain axis.</w:t>
      </w:r>
    </w:p>
    <w:p>
      <w:pPr>
        <w:pStyle w:val="ListParagraph"/>
        <w:numPr>
          <w:ilvl w:val="0"/>
          <w:numId w:val="2"/>
        </w:numPr>
        <w:spacing w:after="40" w:before="40"/>
      </w:pPr>
      <w:r>
        <w:rPr>
          <w:rFonts w:ascii="Arial" w:cs="Arial" w:eastAsia="Arial" w:hAnsi="Arial"/>
          <w:color w:val="374151"/>
          <w:sz w:val="20"/>
          <w:szCs w:val="20"/>
        </w:rPr>
        <w:t xml:space="preserve">Save commercial lines, fulfilment lines and allocation events separately to support enterprise analytics and management control.</w:t>
      </w:r>
    </w:p>
    <w:p>
      <w:pPr>
        <w:pStyle w:val="Heading2"/>
        <w:spacing w:after="120" w:before="400"/>
      </w:pPr>
      <w:r>
        <w:rPr>
          <w:rFonts w:ascii="Arial" w:cs="Arial" w:eastAsia="Arial" w:hAnsi="Arial"/>
          <w:b/>
          <w:bCs/>
          <w:color w:val="1F2937"/>
          <w:sz w:val="28"/>
          <w:szCs w:val="28"/>
        </w:rPr>
        <w:t xml:space="preserve">2.13 Conclusion</w:t>
      </w:r>
    </w:p>
    <w:p>
      <w:pPr>
        <w:spacing w:after="100" w:before="60"/>
      </w:pPr>
      <w:r>
        <w:rPr>
          <w:rFonts w:ascii="Arial" w:cs="Arial" w:eastAsia="Arial" w:hAnsi="Arial"/>
          <w:i w:val="false"/>
          <w:iCs w:val="false"/>
          <w:color w:val="374151"/>
          <w:sz w:val="20"/>
          <w:szCs w:val="20"/>
        </w:rPr>
        <w:t xml:space="preserve">The recommended direction is clear: current business mappings must remain as the product language, but the SaaS core must be refounded on a limited number of stable concepts. This choice simplifies development in the medium term, makes the data model more readable, reduces the proliferation of exceptions and allows FlexiBooking to grow beyond the plugin — to become a true SaaS engine for tourism services, accommodation and other bookable services.</w:t>
      </w:r>
    </w:p>
    <w:p>
      <w:pPr>
        <w:spacing w:after="60" w:before="60"/>
      </w:pPr>
    </w:p>
    <w:p>
      <w:pPr>
        <w:pStyle w:val="Heading2"/>
        <w:spacing w:after="120" w:before="400"/>
      </w:pPr>
      <w:r>
        <w:rPr>
          <w:rFonts w:ascii="Arial" w:cs="Arial" w:eastAsia="Arial" w:hAnsi="Arial"/>
          <w:b/>
          <w:bCs/>
          <w:color w:val="1F2937"/>
          <w:sz w:val="28"/>
          <w:szCs w:val="28"/>
        </w:rPr>
        <w:t xml:space="preserve">Appendix — Official Benchmarks Used in the Analysis</w:t>
      </w:r>
    </w:p>
    <w:p>
      <w:pPr>
        <w:spacing w:after="100" w:before="60"/>
      </w:pPr>
      <w:r>
        <w:rPr>
          <w:rFonts w:ascii="Arial" w:cs="Arial" w:eastAsia="Arial" w:hAnsi="Arial"/>
          <w:i w:val="false"/>
          <w:iCs w:val="false"/>
          <w:color w:val="374151"/>
          <w:sz w:val="20"/>
          <w:szCs w:val="20"/>
        </w:rPr>
        <w:t xml:space="preserve">The logical analysis in this document was built by consulting the official documentation or official product materials of the following benchmarks: FareHarbor, Rezdy, Checkfront, bookingkit, Bókun, Xola, TrekkSoft, Bookeo, Bookinglayer, Oracle OPERA, Cloudbeds, Mews, SiteMinder, Guesty and, as a secondary benchmark on the operator/employee pattern, WPAmelia.</w:t>
      </w:r>
    </w:p>
    <w:p>
      <w:pPr>
        <w:spacing w:after="100" w:before="60"/>
      </w:pPr>
      <w:r>
        <w:rPr>
          <w:rFonts w:ascii="Arial" w:cs="Arial" w:eastAsia="Arial" w:hAnsi="Arial"/>
          <w:i/>
          <w:iCs/>
          <w:color w:val="374151"/>
          <w:sz w:val="20"/>
          <w:szCs w:val="20"/>
        </w:rPr>
        <w:t xml:space="preserve">This appendix does not replace a detailed benchmark dossier, but fixes the scope of the sources considered in the present version of the document.</w:t>
      </w:r>
    </w:p>
    <w:sectPr>
      <w:head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60"/>
    </w:pPr>
    <w:r>
      <w:rPr>
        <w:rFonts w:ascii="Arial" w:cs="Arial" w:eastAsia="Arial" w:hAnsi="Arial"/>
        <w:color w:val="6B7280"/>
        <w:sz w:val="17"/>
        <w:szCs w:val="17"/>
      </w:rPr>
      <w:t xml:space="preserve">FlexiBooking — Plugin Specifications and Architectural Guidelines for SaaS Evolution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A6B3C"/>
      <w:sz w:val="38"/>
      <w:szCs w:val="38"/>
    </w:rPr>
  </w:style>
  <w:style w:type="paragraph" w:styleId="Heading2">
    <w:name w:val="Heading 2"/>
    <w:basedOn w:val="Normal"/>
    <w:next w:val="Normal"/>
    <w:qFormat/>
    <w:pPr>
      <w:spacing w:after="120" w:before="40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80"/>
      <w:outlineLvl w:val="2"/>
    </w:pPr>
    <w:rPr>
      <w:rFonts w:ascii="Arial" w:cs="Arial" w:eastAsia="Arial" w:hAnsi="Arial"/>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2026-04-20T06:25:31.483Z</dcterms:created>
  <dcterms:modified xsi:type="dcterms:W3CDTF">2026-04-20T06:25:31.484Z</dcterms:modified>
</cp:coreProperties>
</file>

<file path=docProps/custom.xml><?xml version="1.0" encoding="utf-8"?>
<Properties xmlns="http://schemas.openxmlformats.org/officeDocument/2006/custom-properties" xmlns:vt="http://schemas.openxmlformats.org/officeDocument/2006/docPropsVTypes"/>
</file>