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Dr.Listner: catching what the visit missed</w:t>
      </w:r>
    </w:p>
    <w:p>
      <w:pPr/>
      <w:r>
        <w:t xml:space="preserve">Oct 15, 2026</w:t>
      </w:r>
      <w:r>
        <w:t xml:space="preserve"> · </w:t>
      </w:r>
      <w:r>
        <w:t xml:space="preserve">@himanshi</w:t>
      </w:r>
    </w:p>
    <w:p>
      <w:pPr/>
      <w:r>
        <w:t xml:space="preserve">AI scribes record what was said; Dr.Listner flags what was never asked or answered, and hands the patient a plain-language plan they can actually follow. IEEE Hack for Humanity, Track 2: AI for Accessibility and Disability Inclusion.</w:t>
      </w:r>
    </w:p>
    <w:p>
      <w:pPr>
        <w:pStyle w:val="Heading2"/>
      </w:pPr>
      <w:r>
        <w:t xml:space="preserve">The problem</w:t>
      </w:r>
    </w:p>
    <w:p>
      <w:pPr/>
      <w:r>
        <w:t xml:space="preserve">Roughly 1 in 20 US adults is misdiagnosed in outpatient care each year, and the people least able to catch a gap in the visit are the ones most exposed to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Diagnostic error is common.</w:t>
      </w:r>
      <w:r>
        <w:t xml:space="preserve"> About 12 million US adults a year, around half potentially harmful (</w:t>
      </w:r>
      <w:hyperlink r:id="rId3" w:history="1">
        <w:r>
          <w:rPr>
            <w:rStyle w:val="Hyperlink"/>
          </w:rPr>
          <w:t xml:space="preserve">BMJ Quality &amp; Safety, 2014</w:t>
        </w:r>
      </w:hyperlink>
      <w:r>
        <w:t xml:space="preserve">). The Institute of Medicine's 2015 report puts the rate at 5% of US adults who seek outpatient care each year and links errors in part to inadequate communication among clinicians, patients and families (</w:t>
      </w:r>
      <w:hyperlink r:id="rId4" w:history="1">
        <w:r>
          <w:rPr>
            <w:rStyle w:val="Hyperlink"/>
          </w:rPr>
          <w:t xml:space="preserve">National Academies, 2015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Hearing loss is the norm in older patients.</w:t>
      </w:r>
      <w:r>
        <w:t xml:space="preserve"> Disabling hearing loss affects 22% of US adults aged 65 to 74 and 55% of those 75 and older, and only about 30% of adults 70+ who could benefit from hearing aids have ever used them (</w:t>
      </w:r>
      <w:hyperlink r:id="rId5" w:history="1">
        <w:r>
          <w:rPr>
            <w:rStyle w:val="Hyperlink"/>
          </w:rPr>
          <w:t xml:space="preserve">NIDCD, NIH</w:t>
        </w:r>
      </w:hyperlink>
      <w:r>
        <w:t xml:space="preserve">). Fewer than a quarter of studies on physician communication with older patients even mention hearing loss (</w:t>
      </w:r>
      <w:hyperlink r:id="rId6" w:history="1">
        <w:r>
          <w:rPr>
            <w:rStyle w:val="Hyperlink"/>
          </w:rPr>
          <w:t xml:space="preserve">Cohen et al., JAGS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Low health literacy is the majority.</w:t>
      </w:r>
      <w:r>
        <w:t xml:space="preserve"> In the 2003 national survey, only 12% of US adults had proficient health literacy and 36% were at basic or below basic (</w:t>
      </w:r>
      <w:hyperlink r:id="rId7" w:history="1">
        <w:r>
          <w:rPr>
            <w:rStyle w:val="Hyperlink"/>
          </w:rPr>
          <w:t xml:space="preserve">NCES, U.S. Department of Education, 2006</w:t>
        </w:r>
      </w:hyperlink>
      <w:r>
        <w:t xml:space="preserve">). These are the latest figures we found for this survey; they are 2003 data.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Patients forget the plan.</w:t>
      </w:r>
      <w:r>
        <w:t xml:space="preserve"> 40% to 80% of the medical information clinicians give is forgotten immediately, and almost half of what is remembered is incorrect (</w:t>
      </w:r>
      <w:hyperlink r:id="rId8" w:history="1">
        <w:r>
          <w:rPr>
            <w:rStyle w:val="Hyperlink"/>
          </w:rPr>
          <w:t xml:space="preserve">Kessels, Journal of the Royal Society of Medicine, 2003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Hearing loss lowers rated communication quality</w:t>
      </w:r>
      <w:r>
        <w:t xml:space="preserve"> in a nationally representative US sample (</w:t>
      </w:r>
      <w:hyperlink r:id="rId9" w:history="1">
        <w:r>
          <w:rPr>
            <w:rStyle w:val="Hyperlink"/>
          </w:rPr>
          <w:t xml:space="preserve">study in PMC</w:t>
        </w:r>
      </w:hyperlink>
      <w:r>
        <w:t xml:space="preserve">).</w:t>
      </w:r>
    </w:p>
    <w:p>
      <w:pPr>
        <w:pStyle w:val="Heading2"/>
      </w:pPr>
      <w:r>
        <w:t xml:space="preserve">Market gap</w:t>
      </w:r>
    </w:p>
    <w:p>
      <w:pPr/>
      <w:r>
        <w:t xml:space="preserve">Ambient scribes are built to document the conversation; nobody is checking the conversation itself for what is missing, and no one is writing for the patient.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Ambient AI scribes today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Dr.Listner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Core job</w:t>
            </w:r>
          </w:p>
        </w:tc>
        <w:tc>
          <w:tcPr>
            <w:tcW w:w="3120" w:type="dxa"/>
          </w:tcPr>
          <w:p>
            <w:pPr/>
            <w:r>
              <w:t xml:space="preserve">Draft the visit note from what was said</w:t>
            </w:r>
          </w:p>
        </w:tc>
        <w:tc>
          <w:tcPr>
            <w:tcW w:w="3120" w:type="dxa"/>
          </w:tcPr>
          <w:p>
            <w:pPr/>
            <w:r>
              <w:t xml:space="preserve">Flag what was not said or not resolved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Known failure</w:t>
            </w:r>
          </w:p>
        </w:tc>
        <w:tc>
          <w:tcPr>
            <w:tcW w:w="3120" w:type="dxa"/>
          </w:tcPr>
          <w:p>
            <w:pPr/>
            <w:r>
              <w:t xml:space="preserve">Omissions and made-up content in the note; omissions were the top error in a 356-note audit (64 notes, 18%) (</w:t>
            </w:r>
            <w:hyperlink r:id="rId10" w:history="1">
              <w:r>
                <w:rPr>
                  <w:rStyle w:val="Hyperlink"/>
                </w:rPr>
                <w:t xml:space="preserve">JMIR Med Inform, 2026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Misses are surfaced with the transcript line that triggered them, so the clinician can verify in seconds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Clinician experience</w:t>
            </w:r>
          </w:p>
        </w:tc>
        <w:tc>
          <w:tcPr>
            <w:tcW w:w="3120" w:type="dxa"/>
          </w:tcPr>
          <w:p>
            <w:pPr/>
            <w:r>
              <w:t xml:space="preserve">Note to review and edit</w:t>
            </w:r>
          </w:p>
        </w:tc>
        <w:tc>
          <w:tcPr>
            <w:tcW w:w="3120" w:type="dxa"/>
          </w:tcPr>
          <w:p>
            <w:pPr/>
            <w:r>
              <w:t xml:space="preserve">One quiet end-of-visit gaps list; no live pop-ups, to avoid alert fatigue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Patient experience</w:t>
            </w:r>
          </w:p>
        </w:tc>
        <w:tc>
          <w:tcPr>
            <w:tcW w:w="3120" w:type="dxa"/>
          </w:tcPr>
          <w:p>
            <w:pPr/>
            <w:r>
              <w:t xml:space="preserve">Notes written for clinicians</w:t>
            </w:r>
          </w:p>
        </w:tc>
        <w:tc>
          <w:tcPr>
            <w:tcW w:w="3120" w:type="dxa"/>
          </w:tcPr>
          <w:p>
            <w:pPr/>
            <w:r>
              <w:t xml:space="preserve">Plain-language care summary, captions, read-aloud, questions to ask next time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Who it helps most</w:t>
            </w:r>
          </w:p>
        </w:tc>
        <w:tc>
          <w:tcPr>
            <w:tcW w:w="3120" w:type="dxa"/>
          </w:tcPr>
          <w:p>
            <w:pPr/>
            <w:r>
              <w:t xml:space="preserve">Clinician workload</w:t>
            </w:r>
          </w:p>
        </w:tc>
        <w:tc>
          <w:tcPr>
            <w:tcW w:w="3120" w:type="dxa"/>
          </w:tcPr>
          <w:p>
            <w:pPr/>
            <w:r>
              <w:t xml:space="preserve">Patients with hearing loss, low health literacy or cognitive impairment</w:t>
            </w:r>
          </w:p>
        </w:tc>
      </w:tr>
    </w:tbl>
    <w:p>
      <w:pPr/>
      <w:r>
        <w:t xml:space="preserve">Caveat: this compares the category as described in published audits; we have not audited individual vendors. Scribe omissions (things said but dropped from the note) are a different problem from visit omissions (things that should have been asked); Dr.Listner targets the second.</w:t>
      </w:r>
    </w:p>
    <w:p>
      <w:pPr>
        <w:pStyle w:val="Heading2"/>
      </w:pPr>
      <w:r>
        <w:t xml:space="preserve">Goal</w:t>
      </w:r>
    </w:p>
    <w:p>
      <w:pPr/>
      <w:r>
        <w:t xml:space="preserve">Build a working prototype for one visit type (outpatient chest pain) that shows, with measured numbers, it finds missed questions, unanswered concerns and chart contradictions, and gives the patient a summary they can follow.</w:t>
      </w:r>
    </w:p>
    <w:p>
      <w:pPr/>
      <w:r>
        <w:t xml:space="preserve">Draft targets, to be confirmed against the first eval run:</w:t>
      </w:r>
    </w:p>
    <w:p>
      <w:pPr>
        <w:pStyle w:val="ListParagraph"/>
        <w:numPr>
          <w:ilvl w:val="0"/>
          <w:numId w:val="3"/>
        </w:numPr>
      </w:pPr>
      <w:r>
        <w:t xml:space="preserve">Recall of at least 80% on planted gaps across all three gap types</w:t>
      </w:r>
    </w:p>
    <w:p>
      <w:pPr>
        <w:pStyle w:val="ListParagraph"/>
        <w:numPr>
          <w:ilvl w:val="0"/>
          <w:numId w:val="3"/>
        </w:numPr>
      </w:pPr>
      <w:r>
        <w:t xml:space="preserve">Precision of at least 80%, and no more than 1 false flag per visit on average</w:t>
      </w:r>
    </w:p>
    <w:p>
      <w:pPr>
        <w:pStyle w:val="ListParagraph"/>
        <w:numPr>
          <w:ilvl w:val="0"/>
          <w:numId w:val="3"/>
        </w:numPr>
      </w:pPr>
      <w:r>
        <w:t xml:space="preserve">Patient summary at or below a 6th-grade reading level, checked automatically</w:t>
      </w:r>
    </w:p>
    <w:p>
      <w:pPr>
        <w:pStyle w:val="ListParagraph"/>
        <w:numPr>
          <w:ilvl w:val="0"/>
          <w:numId w:val="3"/>
        </w:numPr>
      </w:pPr>
      <w:r>
        <w:t xml:space="preserve">Every flag cites the transcript line or chart entry behind it</w:t>
      </w:r>
    </w:p>
    <w:p>
      <w:pPr>
        <w:pStyle w:val="Heading2"/>
      </w:pPr>
      <w:r>
        <w:t xml:space="preserve">Solution</w:t>
      </w:r>
    </w:p>
    <w:p>
      <w:pPr/>
      <w:r>
        <w:t xml:space="preserve">Dr.Listner reads a visit transcript against a published checklist and the patient's chart, then produces two outputs after the visit ends.</w:t>
      </w:r>
    </w:p>
    <w:p>
      <w:pPr/>
      <w:r>
        <w:rPr>
          <w:b/>
        </w:rPr>
        <w:t xml:space="preserve">Three gap types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Red-flag questions not asked.</w:t>
      </w:r>
      <w:r>
        <w:t xml:space="preserve"> Chest-pain checklist items (onset, exertional pattern, radiation, sweating, shortness of breath, fainting, family history, risk factors) with no matching question in the transcript.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Patient concerns left unanswered.</w:t>
      </w:r>
      <w:r>
        <w:t xml:space="preserve"> Worries the patient voiced that the clinician never addressed.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Statements that contradict the chart.</w:t>
      </w:r>
      <w:r>
        <w:t xml:space="preserve"> For example, the patient says no heart history while the chart lists a prior stent.</w:t>
      </w:r>
    </w:p>
    <w:p>
      <w:pPr/>
      <w:r>
        <w:t xml:space="preserve">Checklist source: the </w:t>
      </w:r>
      <w:hyperlink r:id="rId11" w:history="1">
        <w:r>
          <w:rPr>
            <w:rStyle w:val="Hyperlink"/>
          </w:rPr>
          <w:t xml:space="preserve">2021 AHA/ACC Guideline for the Evaluation and Diagnosis of Chest Pain</w:t>
        </w:r>
      </w:hyperlink>
      <w:r>
        <w:t xml:space="preserve"> (Gulati et al., J Am Coll Cardiol, 2021). The red-flag items above are our working draft; each must be confirmed against the guideline's history section (Section 2.1, Table 3) before the eval.</w:t>
      </w:r>
    </w:p>
    <w:p>
      <w:pPr/>
      <w:r>
        <w:rPr>
          <w:b/>
        </w:rPr>
        <w:t xml:space="preserve">Two outputs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Clinician gaps list.</w:t>
      </w:r>
      <w:r>
        <w:t xml:space="preserve"> Quiet, end-of-visit, each item with its evidence line and a one-tap dismiss. Documentation completeness only; it never suggests a diagnosis.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Patient summary.</w:t>
      </w:r>
      <w:r>
        <w:t xml:space="preserve"> Plain-language plan, key warning signs, and questions to ask next time, with captions and read-aloud for patients with hearing loss.</w:t>
      </w:r>
    </w:p>
    <w:p>
      <w:pPr>
        <w:pStyle w:val="Heading2"/>
      </w:pPr>
      <w:r>
        <w:t xml:space="preserve">How it works</w:t>
      </w:r>
    </w:p>
    <w:p>
      <w:pPr/>
      <w:r>
        <w:drawing>
          <wp:inline distT="0" distB="0" distL="0" distR="0">
            <wp:extent cx="5486400" cy="3575957"/>
            <wp:docPr id="1" name="image1" descr="Dr.Listner pipeline · 2 inputs, 3 gap checks, 2 outpu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r.Listner pipeline · 2 inputs, 3 gap checks, 2 output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Dr.Listner pipeline · 2 inputs, 3 gap checks, 2 outputs</w:t>
      </w:r>
    </w:p>
    <w:p>
      <w:pPr/>
      <w:r>
        <w:t xml:space="preserve">Gap checks run on de-identified text only. Every flag links to the transcript line or chart entry that triggered it, and the patient summary reuses the flags as questions to ask next time.</w:t>
      </w:r>
    </w:p>
    <w:p>
      <w:pPr>
        <w:pStyle w:val="Heading2"/>
      </w:pPr>
      <w:r>
        <w:t xml:space="preserve">Tech stack</w:t>
      </w:r>
    </w:p>
    <w:p>
      <w:pPr/>
      <w:r>
        <w:t xml:space="preserve">Python end to end, free or open-source pieces only, chosen so a two-person team can have a demo running in a day. Free-tier limits change, so check them before the build.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Pick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</w:t>
            </w:r>
          </w:p>
        </w:tc>
        <w:tc>
          <w:tcPr>
            <w:tcW w:w="3120" w:type="dxa"/>
          </w:tcPr>
          <w:p>
            <w:pPr/>
            <w:r>
              <w:t xml:space="preserve">Streamlit</w:t>
            </w:r>
          </w:p>
        </w:tc>
        <w:tc>
          <w:tcPr>
            <w:tcW w:w="3120" w:type="dxa"/>
          </w:tcPr>
          <w:p>
            <w:pPr/>
            <w:r>
              <w:t xml:space="preserve">A clinician view and a patient view in one Python file; no frontend build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Transcript input</w:t>
            </w:r>
          </w:p>
        </w:tc>
        <w:tc>
          <w:tcPr>
            <w:tcW w:w="3120" w:type="dxa"/>
          </w:tcPr>
          <w:p>
            <w:pPr/>
            <w:r>
              <w:t xml:space="preserve">Synthetic transcripts as JSON, speaker-labeled</w:t>
            </w:r>
          </w:p>
        </w:tc>
        <w:tc>
          <w:tcPr>
            <w:tcW w:w="3120" w:type="dxa"/>
          </w:tcPr>
          <w:p>
            <w:pPr/>
            <w:r>
              <w:t xml:space="preserve">Removes audio risk; the eval depends on controlled input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Speech to text (stretch)</w:t>
            </w:r>
          </w:p>
        </w:tc>
        <w:tc>
          <w:tcPr>
            <w:tcW w:w="3120" w:type="dxa"/>
          </w:tcPr>
          <w:p>
            <w:pPr/>
            <w:r>
              <w:t xml:space="preserve">faster-whisper, local</w:t>
            </w:r>
          </w:p>
        </w:tc>
        <w:tc>
          <w:tcPr>
            <w:tcW w:w="3120" w:type="dxa"/>
          </w:tcPr>
          <w:p>
            <w:pPr/>
            <w:r>
              <w:t xml:space="preserve">Free, runs offline, adds a live-audio demo if time allows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Extraction and gap reasoning</w:t>
            </w:r>
          </w:p>
        </w:tc>
        <w:tc>
          <w:tcPr>
            <w:tcW w:w="3120" w:type="dxa"/>
          </w:tcPr>
          <w:p>
            <w:pPr/>
            <w:r>
              <w:t xml:space="preserve">Google Gemini API free tier with JSON output, Ollama (Llama or Qwen) as offline fallback</w:t>
            </w:r>
          </w:p>
        </w:tc>
        <w:tc>
          <w:tcPr>
            <w:tcW w:w="3120" w:type="dxa"/>
          </w:tcPr>
          <w:p>
            <w:pPr/>
            <w:r>
              <w:t xml:space="preserve">Structured output keeps results parseable; fallback guards against rate limits; free-tier content may be used to improve Google products, so send synthetic text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Schemas</w:t>
            </w:r>
          </w:p>
        </w:tc>
        <w:tc>
          <w:tcPr>
            <w:tcW w:w="3120" w:type="dxa"/>
          </w:tcPr>
          <w:p>
            <w:pPr/>
            <w:r>
              <w:t xml:space="preserve">Pydantic</w:t>
            </w:r>
          </w:p>
        </w:tc>
        <w:tc>
          <w:tcPr>
            <w:tcW w:w="3120" w:type="dxa"/>
          </w:tcPr>
          <w:p>
            <w:pPr/>
            <w:r>
              <w:t xml:space="preserve">Validates every model response before it reaches the UI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Checklist matching</w:t>
            </w:r>
          </w:p>
        </w:tc>
        <w:tc>
          <w:tcPr>
            <w:tcW w:w="3120" w:type="dxa"/>
          </w:tcPr>
          <w:p>
            <w:pPr/>
            <w:r>
              <w:t xml:space="preserve">sentence-transformers (all-MiniLM-L6-v2) plus an LLM check for borderline cases</w:t>
            </w:r>
          </w:p>
        </w:tc>
        <w:tc>
          <w:tcPr>
            <w:tcW w:w="3120" w:type="dxa"/>
          </w:tcPr>
          <w:p>
            <w:pPr/>
            <w:r>
              <w:t xml:space="preserve">Cheap first pass, so the LLM runs only where it is unsure; heavy PyTorch install, so keep it out of the hosted app and ship precomputed embeddings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De-identification</w:t>
            </w:r>
          </w:p>
        </w:tc>
        <w:tc>
          <w:tcPr>
            <w:tcW w:w="3120" w:type="dxa"/>
          </w:tcPr>
          <w:p>
            <w:pPr/>
            <w:r>
              <w:t xml:space="preserve">Microsoft Presidio</w:t>
            </w:r>
          </w:p>
        </w:tc>
        <w:tc>
          <w:tcPr>
            <w:tcW w:w="3120" w:type="dxa"/>
          </w:tcPr>
          <w:p>
            <w:pPr/>
            <w:r>
              <w:t xml:space="preserve">Open-source PII scrubbing before any text leaves the machine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Synthetic charts</w:t>
            </w:r>
          </w:p>
        </w:tc>
        <w:tc>
          <w:tcPr>
            <w:tcW w:w="3120" w:type="dxa"/>
          </w:tcPr>
          <w:p>
            <w:pPr/>
            <w:r>
              <w:t xml:space="preserve">Synthea (FHIR output) and fhir.resources</w:t>
            </w:r>
          </w:p>
        </w:tc>
        <w:tc>
          <w:tcPr>
            <w:tcW w:w="3120" w:type="dxa"/>
          </w:tcPr>
          <w:p>
            <w:pPr/>
            <w:r>
              <w:t xml:space="preserve">Realistic fake patient histories, no real PHI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Reference dialogues</w:t>
            </w:r>
          </w:p>
        </w:tc>
        <w:tc>
          <w:tcPr>
            <w:tcW w:w="3120" w:type="dxa"/>
          </w:tcPr>
          <w:p>
            <w:pPr/>
            <w:r>
              <w:t xml:space="preserve">ACI-Bench, MTS-Dialog, PriMock57</w:t>
            </w:r>
          </w:p>
        </w:tc>
        <w:tc>
          <w:tcPr>
            <w:tcW w:w="3120" w:type="dxa"/>
          </w:tcPr>
          <w:p>
            <w:pPr/>
            <w:r>
              <w:t xml:space="preserve">Public doctor-patient conversations for style; check each license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Patient readability</w:t>
            </w:r>
          </w:p>
        </w:tc>
        <w:tc>
          <w:tcPr>
            <w:tcW w:w="3120" w:type="dxa"/>
          </w:tcPr>
          <w:p>
            <w:pPr/>
            <w:r>
              <w:t xml:space="preserve">textstat</w:t>
            </w:r>
          </w:p>
        </w:tc>
        <w:tc>
          <w:tcPr>
            <w:tcW w:w="3120" w:type="dxa"/>
          </w:tcPr>
          <w:p>
            <w:pPr/>
            <w:r>
              <w:t xml:space="preserve">Automatic grade-level score on every summary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Read-aloud and captions</w:t>
            </w:r>
          </w:p>
        </w:tc>
        <w:tc>
          <w:tcPr>
            <w:tcW w:w="3120" w:type="dxa"/>
          </w:tcPr>
          <w:p>
            <w:pPr/>
            <w:r>
              <w:t xml:space="preserve">Browser SpeechSynthesis API, Web Speech API</w:t>
            </w:r>
          </w:p>
        </w:tc>
        <w:tc>
          <w:tcPr>
            <w:tcW w:w="3120" w:type="dxa"/>
          </w:tcPr>
          <w:p>
            <w:pPr/>
            <w:r>
              <w:t xml:space="preserve">No install, works in the demo browser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Evaluation</w:t>
            </w:r>
          </w:p>
        </w:tc>
        <w:tc>
          <w:tcPr>
            <w:tcW w:w="3120" w:type="dxa"/>
          </w:tcPr>
          <w:p>
            <w:pPr/>
            <w:r>
              <w:t xml:space="preserve">pandas, scikit-learn</w:t>
            </w:r>
          </w:p>
        </w:tc>
        <w:tc>
          <w:tcPr>
            <w:tcW w:w="3120" w:type="dxa"/>
          </w:tcPr>
          <w:p>
            <w:pPr/>
            <w:r>
              <w:t xml:space="preserve">Precision, recall and F1 per gap type in a few lines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Hosting and repo</w:t>
            </w:r>
          </w:p>
        </w:tc>
        <w:tc>
          <w:tcPr>
            <w:tcW w:w="3120" w:type="dxa"/>
          </w:tcPr>
          <w:p>
            <w:pPr/>
            <w:r>
              <w:t xml:space="preserve">Streamlit Community Cloud, GitHub</w:t>
            </w:r>
          </w:p>
        </w:tc>
        <w:tc>
          <w:tcPr>
            <w:tcW w:w="3120" w:type="dxa"/>
          </w:tcPr>
          <w:p>
            <w:pPr/>
            <w:r>
              <w:t xml:space="preserve">Free public demo link for judges</w:t>
            </w:r>
          </w:p>
        </w:tc>
      </w:tr>
    </w:tbl>
    <w:p>
      <w:pPr>
        <w:pStyle w:val="Heading2"/>
      </w:pPr>
      <w:r>
        <w:t xml:space="preserve">Evaluation plan</w:t>
      </w:r>
    </w:p>
    <w:p>
      <w:pPr/>
      <w:r>
        <w:t xml:space="preserve">The proof is a number: how many planted gaps Dr.Listner finds, and how many false flags it raises per visit.</w:t>
      </w:r>
    </w:p>
    <w:p>
      <w:pPr>
        <w:pStyle w:val="ListParagraph"/>
        <w:numPr>
          <w:ilvl w:val="0"/>
          <w:numId w:val="6"/>
        </w:numPr>
      </w:pPr>
      <w:r>
        <w:t xml:space="preserve">Write 20 to 30 synthetic chest-pain transcripts, each paired with a synthetic chart.</w:t>
      </w:r>
    </w:p>
    <w:p>
      <w:pPr>
        <w:pStyle w:val="ListParagraph"/>
        <w:numPr>
          <w:ilvl w:val="0"/>
          <w:numId w:val="6"/>
        </w:numPr>
      </w:pPr>
      <w:r>
        <w:t xml:space="preserve">Plant known gaps in each (missed red-flag question, ignored concern, chart contradiction) and record them in a separate answer key.</w:t>
      </w:r>
    </w:p>
    <w:p>
      <w:pPr>
        <w:pStyle w:val="ListParagraph"/>
        <w:numPr>
          <w:ilvl w:val="0"/>
          <w:numId w:val="6"/>
        </w:numPr>
      </w:pPr>
      <w:r>
        <w:t xml:space="preserve">Run Dr.Listner and compare against the key. Report precision, recall and F1 per gap type, plus false flags per visit.</w:t>
      </w:r>
    </w:p>
    <w:p>
      <w:pPr>
        <w:pStyle w:val="ListParagraph"/>
        <w:numPr>
          <w:ilvl w:val="0"/>
          <w:numId w:val="6"/>
        </w:numPr>
      </w:pPr>
      <w:r>
        <w:t xml:space="preserve">Compare against a baseline of a plain scribe-style summary with no gap check.</w:t>
      </w:r>
    </w:p>
    <w:p>
      <w:pPr>
        <w:pStyle w:val="ListParagraph"/>
        <w:numPr>
          <w:ilvl w:val="0"/>
          <w:numId w:val="6"/>
        </w:numPr>
      </w:pPr>
      <w:r>
        <w:t xml:space="preserve">Score every patient summary for reading grade level and check that it covers the care plan items in the key.</w:t>
      </w:r>
    </w:p>
    <w:p>
      <w:pPr>
        <w:pStyle w:val="ListParagraph"/>
        <w:numPr>
          <w:ilvl w:val="0"/>
          <w:numId w:val="6"/>
        </w:numPr>
      </w:pPr>
      <w:r>
        <w:t xml:space="preserve">If we can get a clinician to review the checklist and a sample of transcripts, say so on the results slide and note what they changed.</w:t>
      </w:r>
    </w:p>
    <w:p>
      <w:pPr>
        <w:pStyle w:val="Heading2"/>
      </w:pPr>
      <w:r>
        <w:t xml:space="preserve">Privacy and safety</w:t>
      </w:r>
    </w:p>
    <w:p>
      <w:pPr/>
      <w:r>
        <w:t xml:space="preserve">The prototype never touches real patient data, and we do not claim HIPAA compliance.</w:t>
      </w:r>
    </w:p>
    <w:p>
      <w:pPr>
        <w:pStyle w:val="ListParagraph"/>
        <w:numPr>
          <w:ilvl w:val="0"/>
          <w:numId w:val="7"/>
        </w:numPr>
      </w:pPr>
      <w:r>
        <w:t xml:space="preserve">Synthetic and public data only; no transcript storage.</w:t>
      </w:r>
    </w:p>
    <w:p>
      <w:pPr>
        <w:pStyle w:val="ListParagraph"/>
        <w:numPr>
          <w:ilvl w:val="0"/>
          <w:numId w:val="7"/>
        </w:numPr>
      </w:pPr>
      <w:r>
        <w:t xml:space="preserve">De-identification runs before any text is sent to a hosted model.</w:t>
      </w:r>
    </w:p>
    <w:p>
      <w:pPr>
        <w:pStyle w:val="ListParagraph"/>
        <w:numPr>
          <w:ilvl w:val="0"/>
          <w:numId w:val="7"/>
        </w:numPr>
      </w:pPr>
      <w:r>
        <w:t xml:space="preserve">The tool checks documentation completeness. It does not diagnose or recommend treatment, and a clinician decides what to do with every flag.</w:t>
      </w:r>
    </w:p>
    <w:p>
      <w:pPr>
        <w:pStyle w:val="ListParagraph"/>
        <w:numPr>
          <w:ilvl w:val="0"/>
          <w:numId w:val="7"/>
        </w:numPr>
      </w:pPr>
      <w:r>
        <w:t xml:space="preserve">Production path, stated as a roadmap item: a HIPAA-eligible deployment with a signed business associate agreement, audit logging and patient consent for recording.</w:t>
      </w:r>
    </w:p>
    <w:p>
      <w:pPr>
        <w:pStyle w:val="ListParagraph"/>
        <w:numPr>
          <w:ilvl w:val="0"/>
          <w:numId w:val="7"/>
        </w:numPr>
      </w:pPr>
      <w:r>
        <w:t xml:space="preserve">Known limits, said up front: single visit type, synthetic data, no clinician validation unless we secure it.</w:t>
      </w:r>
    </w:p>
    <w:p>
      <w:pPr>
        <w:pStyle w:val="Heading2"/>
      </w:pPr>
      <w:r>
        <w:t xml:space="preserve">Deployment and cost</w:t>
      </w:r>
    </w:p>
    <w:p>
      <w:pPr/>
      <w:r>
        <w:t xml:space="preserve">Target spend is $0: the app runs on Streamlit Community Cloud from a GitHub repo, model calls use Gemini's free tier, and every other component is open source and runs inside the app.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Piece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 it runs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Watch-out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Web app (clinician and patient views)</w:t>
            </w:r>
          </w:p>
        </w:tc>
        <w:tc>
          <w:tcPr>
            <w:tcW w:w="2340" w:type="dxa"/>
          </w:tcPr>
          <w:p>
            <w:pPr/>
            <w:r>
              <w:t xml:space="preserve">Streamlit Community Cloud, deployed from GitHub</w:t>
            </w:r>
          </w:p>
        </w:tc>
        <w:tc>
          <w:tcPr>
            <w:tcW w:w="2340" w:type="dxa"/>
          </w:tcPr>
          <w:p>
            <w:pPr/>
            <w:r>
              <w:t xml:space="preserve">Free (</w:t>
            </w:r>
            <w:hyperlink r:id="rId13" w:history="1">
              <w:r>
                <w:rPr>
                  <w:rStyle w:val="Hyperlink"/>
                </w:rPr>
                <w:t xml:space="preserve">Streamlit docs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RAM is 690 MB minimum and 2.7 GB maximum per the docs (February 2024 figures, subject to change); apps with no traffic for 12 hours go to sleep and wake with one click (</w:t>
            </w:r>
            <w:hyperlink r:id="rId14" w:history="1">
              <w:r>
                <w:rPr>
                  <w:rStyle w:val="Hyperlink"/>
                </w:rPr>
                <w:t xml:space="preserve">Streamlit docs</w:t>
              </w:r>
            </w:hyperlink>
            <w:r>
              <w:t xml:space="preserve">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LLM extraction and gap reasoning</w:t>
            </w:r>
          </w:p>
        </w:tc>
        <w:tc>
          <w:tcPr>
            <w:tcW w:w="2340" w:type="dxa"/>
          </w:tcPr>
          <w:p>
            <w:pPr/>
            <w:r>
              <w:t xml:space="preserve">Gemini API free tier</w:t>
            </w:r>
          </w:p>
        </w:tc>
        <w:tc>
          <w:tcPr>
            <w:tcW w:w="2340" w:type="dxa"/>
          </w:tcPr>
          <w:p>
            <w:pPr/>
            <w:r>
              <w:t xml:space="preserve">$0 on the listed Flash and Flash-Lite models (</w:t>
            </w:r>
            <w:hyperlink r:id="rId15" w:history="1">
              <w:r>
                <w:rPr>
                  <w:rStyle w:val="Hyperlink"/>
                </w:rPr>
                <w:t xml:space="preserve">Google AI pricing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Free-tier content is used to improve Google products, so send only synthetic, de-identified text; the page lists no numeric rate limits, so check AI Studio for yours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De-identification, matching, readability, eval</w:t>
            </w:r>
          </w:p>
        </w:tc>
        <w:tc>
          <w:tcPr>
            <w:tcW w:w="2340" w:type="dxa"/>
          </w:tcPr>
          <w:p>
            <w:pPr/>
            <w:r>
              <w:t xml:space="preserve">Presidio, sentence-transformers, textstat, scikit-learn, inside the app process</w:t>
            </w:r>
          </w:p>
        </w:tc>
        <w:tc>
          <w:tcPr>
            <w:tcW w:w="2340" w:type="dxa"/>
          </w:tcPr>
          <w:p>
            <w:pPr/>
            <w:r>
              <w:t xml:space="preserve">$0, open source</w:t>
            </w:r>
          </w:p>
        </w:tc>
        <w:tc>
          <w:tcPr>
            <w:tcW w:w="2340" w:type="dxa"/>
          </w:tcPr>
          <w:p>
            <w:pPr/>
            <w:r>
              <w:t xml:space="preserve">sentence-transformers pulls in PyTorch, which would crowd the 690 MB RAM minimum; run it offline, ship precomputed embeddings, and let the LLM do matching in Live mode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Synthetic charts, transcripts, answer key</w:t>
            </w:r>
          </w:p>
        </w:tc>
        <w:tc>
          <w:tcPr>
            <w:tcW w:w="2340" w:type="dxa"/>
          </w:tcPr>
          <w:p>
            <w:pPr/>
            <w:r>
              <w:t xml:space="preserve">Generated offline on a laptop, committed to the repo as JSON</w:t>
            </w:r>
          </w:p>
        </w:tc>
        <w:tc>
          <w:tcPr>
            <w:tcW w:w="2340" w:type="dxa"/>
          </w:tcPr>
          <w:p>
            <w:pPr/>
            <w:r>
              <w:t xml:space="preserve">$0</w:t>
            </w:r>
          </w:p>
        </w:tc>
        <w:tc>
          <w:tcPr>
            <w:tcW w:w="2340" w:type="dxa"/>
          </w:tcPr>
          <w:p>
            <w:pPr/>
            <w:r>
              <w:t xml:space="preserve">No real data, keep files small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Backup demo</w:t>
            </w:r>
          </w:p>
        </w:tc>
        <w:tc>
          <w:tcPr>
            <w:tcW w:w="2340" w:type="dxa"/>
          </w:tcPr>
          <w:p>
            <w:pPr/>
            <w:r>
              <w:t xml:space="preserve">Laptop with Ollama and the same code, plus a screen recording</w:t>
            </w:r>
          </w:p>
        </w:tc>
        <w:tc>
          <w:tcPr>
            <w:tcW w:w="2340" w:type="dxa"/>
          </w:tcPr>
          <w:p>
            <w:pPr/>
            <w:r>
              <w:t xml:space="preserve">$0</w:t>
            </w:r>
          </w:p>
        </w:tc>
        <w:tc>
          <w:tcPr>
            <w:tcW w:w="2340" w:type="dxa"/>
          </w:tcPr>
          <w:p>
            <w:pPr/>
            <w:r>
              <w:t xml:space="preserve">Covers wifi, rate-limit and sleeping-app failures on demo day</w:t>
            </w:r>
          </w:p>
        </w:tc>
      </w:tr>
    </w:tbl>
    <w:p>
      <w:pPr/>
      <w:r>
        <w:t xml:space="preserve">Hugging Face Spaces is not the plan: its docs say Gradio and Docker Spaces need a paid plan to create, with only static Spaces free (</w:t>
      </w:r>
      <w:hyperlink r:id="rId16" w:history="1">
        <w:r>
          <w:rPr>
            <w:rStyle w:val="Hyperlink"/>
          </w:rPr>
          <w:t xml:space="preserve">Hugging Face docs</w:t>
        </w:r>
      </w:hyperlink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t xml:space="preserve">Keep one repo: </w:t>
      </w:r>
      <w:r>
        <w:rPr>
          <w:rStyle w:val="CodeChar"/>
        </w:rPr>
        <w:t xml:space="preserve">app.py</w:t>
      </w:r>
      <w:r>
        <w:t xml:space="preserve">, </w:t>
      </w:r>
      <w:r>
        <w:rPr>
          <w:rStyle w:val="CodeChar"/>
        </w:rPr>
        <w:t xml:space="preserve">requirements.txt</w:t>
      </w:r>
      <w:r>
        <w:t xml:space="preserve">, and a </w:t>
      </w:r>
      <w:r>
        <w:rPr>
          <w:rStyle w:val="CodeChar"/>
        </w:rPr>
        <w:t xml:space="preserve">data/</w:t>
      </w:r>
      <w:r>
        <w:t xml:space="preserve"> folder holding the synthetic transcripts, charts, answer key and cached results.</w:t>
      </w:r>
    </w:p>
    <w:p>
      <w:pPr>
        <w:pStyle w:val="ListParagraph"/>
        <w:numPr>
          <w:ilvl w:val="0"/>
          <w:numId w:val="8"/>
        </w:numPr>
      </w:pPr>
      <w:r>
        <w:t xml:space="preserve">Add a Demo mode that reads cached results with no API calls, and a Live mode that calls Gemini.</w:t>
      </w:r>
    </w:p>
    <w:p>
      <w:pPr>
        <w:pStyle w:val="ListParagraph"/>
        <w:numPr>
          <w:ilvl w:val="0"/>
          <w:numId w:val="8"/>
        </w:numPr>
      </w:pPr>
      <w:r>
        <w:t xml:space="preserve">Store the Gemini key in the platform's secrets settings, never in the repo.</w:t>
      </w:r>
    </w:p>
    <w:p>
      <w:pPr>
        <w:pStyle w:val="ListParagraph"/>
        <w:numPr>
          <w:ilvl w:val="0"/>
          <w:numId w:val="8"/>
        </w:numPr>
      </w:pPr>
      <w:r>
        <w:t xml:space="preserve">Connect the GitHub repo in Streamlit Community Cloud and deploy; changes pushed to GitHub generally show up in the app right away (</w:t>
      </w:r>
      <w:hyperlink r:id="rId13" w:history="1">
        <w:r>
          <w:rPr>
            <w:rStyle w:val="Hyperlink"/>
          </w:rPr>
          <w:t xml:space="preserve">Streamlit docs</w:t>
        </w:r>
      </w:hyperlink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t xml:space="preserve">Within 12 hours before presenting, open the live link (a sleeping app needs a one-click wake), run one visit end to end, and keep the recording ready.</w:t>
      </w:r>
    </w:p>
    <w:p>
      <w:pPr/>
      <w:r>
        <w:t xml:space="preserve">Expected spend is $0 if the free tiers hold; the unconfirmed limits above are the only way that changes.</w:t>
      </w:r>
    </w:p>
    <w:p>
      <w:pPr>
        <w:pStyle w:val="Heading2"/>
      </w:pPr>
      <w:r>
        <w:t xml:space="preserve">Sources</w:t>
      </w:r>
    </w:p>
    <w:p>
      <w:pPr/>
      <w:r>
        <w:t xml:space="preserve">Opened and checked against the page: NIDCD, NCES, Kessels, National Academies brief, Google AI pricing, Streamlit docs, Hugging Face docs. Taken from search excerpts only, so open before submitting: BMJ abstract, JAGS review, the PMC hearing study, the JMIR audit. The chest-pain item list is not yet checked against the guideline. Targets in the Goal section are our own drafts.</w:t>
      </w:r>
    </w:p>
    <w:p>
      <w:pPr>
        <w:pStyle w:val="ListParagraph"/>
        <w:numPr>
          <w:ilvl w:val="0"/>
          <w:numId w:val="9"/>
        </w:numPr>
      </w:pPr>
      <w:hyperlink r:id="rId3" w:history="1">
        <w:r>
          <w:rPr>
            <w:rStyle w:val="Hyperlink"/>
          </w:rPr>
          <w:t xml:space="preserve">Frequency of diagnostic errors in outpatient care, BMJ Quality &amp; Safety (2014)</w:t>
        </w:r>
      </w:hyperlink>
    </w:p>
    <w:p>
      <w:pPr>
        <w:pStyle w:val="ListParagraph"/>
        <w:numPr>
          <w:ilvl w:val="0"/>
          <w:numId w:val="9"/>
        </w:numPr>
      </w:pPr>
      <w:hyperlink r:id="rId4" w:history="1">
        <w:r>
          <w:rPr>
            <w:rStyle w:val="Hyperlink"/>
          </w:rPr>
          <w:t xml:space="preserve">Improving Diagnosis in Health Care, Institute of Medicine (2015)</w:t>
        </w:r>
      </w:hyperlink>
    </w:p>
    <w:p>
      <w:pPr>
        <w:pStyle w:val="ListParagraph"/>
        <w:numPr>
          <w:ilvl w:val="0"/>
          <w:numId w:val="9"/>
        </w:numPr>
      </w:pPr>
      <w:hyperlink r:id="rId5" w:history="1">
        <w:r>
          <w:rPr>
            <w:rStyle w:val="Hyperlink"/>
          </w:rPr>
          <w:t xml:space="preserve">Quick Statistics About Hearing, NIDCD, NIH</w:t>
        </w:r>
      </w:hyperlink>
    </w:p>
    <w:p>
      <w:pPr>
        <w:pStyle w:val="ListParagraph"/>
        <w:numPr>
          <w:ilvl w:val="0"/>
          <w:numId w:val="9"/>
        </w:numPr>
      </w:pPr>
      <w:hyperlink r:id="rId6" w:history="1">
        <w:r>
          <w:rPr>
            <w:rStyle w:val="Hyperlink"/>
          </w:rPr>
          <w:t xml:space="preserve">Hearing loss in physician-patient communication research, JAGS systematic review</w:t>
        </w:r>
      </w:hyperlink>
    </w:p>
    <w:p>
      <w:pPr>
        <w:pStyle w:val="ListParagraph"/>
        <w:numPr>
          <w:ilvl w:val="0"/>
          <w:numId w:val="9"/>
        </w:numPr>
      </w:pPr>
      <w:hyperlink r:id="rId9" w:history="1">
        <w:r>
          <w:rPr>
            <w:rStyle w:val="Hyperlink"/>
          </w:rPr>
          <w:t xml:space="preserve">Hearing loss and ratings of patient-physician communication, PMC</w:t>
        </w:r>
      </w:hyperlink>
    </w:p>
    <w:p>
      <w:pPr>
        <w:pStyle w:val="ListParagraph"/>
        <w:numPr>
          <w:ilvl w:val="0"/>
          <w:numId w:val="9"/>
        </w:numPr>
      </w:pPr>
      <w:hyperlink r:id="rId7" w:history="1">
        <w:r>
          <w:rPr>
            <w:rStyle w:val="Hyperlink"/>
          </w:rPr>
          <w:t xml:space="preserve">The Health Literacy of America's Adults, NCES 2006-483, U.S. Department of Education</w:t>
        </w:r>
      </w:hyperlink>
    </w:p>
    <w:p>
      <w:pPr>
        <w:pStyle w:val="ListParagraph"/>
        <w:numPr>
          <w:ilvl w:val="0"/>
          <w:numId w:val="9"/>
        </w:numPr>
      </w:pPr>
      <w:hyperlink r:id="rId8" w:history="1">
        <w:r>
          <w:rPr>
            <w:rStyle w:val="Hyperlink"/>
          </w:rPr>
          <w:t xml:space="preserve">Patients' memory for medical information, Kessels, J R Soc Med (2003)</w:t>
        </w:r>
      </w:hyperlink>
    </w:p>
    <w:p>
      <w:pPr>
        <w:pStyle w:val="ListParagraph"/>
        <w:numPr>
          <w:ilvl w:val="0"/>
          <w:numId w:val="9"/>
        </w:numPr>
      </w:pPr>
      <w:hyperlink r:id="rId10" w:history="1">
        <w:r>
          <w:rPr>
            <w:rStyle w:val="Hyperlink"/>
          </w:rPr>
          <w:t xml:space="preserve">AI scribe quality audit, JMIR Medical Informatics (2026)</w:t>
        </w:r>
      </w:hyperlink>
    </w:p>
    <w:p>
      <w:pPr>
        <w:pStyle w:val="ListParagraph"/>
        <w:numPr>
          <w:ilvl w:val="0"/>
          <w:numId w:val="9"/>
        </w:numPr>
      </w:pPr>
      <w:hyperlink r:id="rId11" w:history="1">
        <w:r>
          <w:rPr>
            <w:rStyle w:val="Hyperlink"/>
          </w:rPr>
          <w:t xml:space="preserve">2021 AHA/ACC Guideline for the Evaluation and Diagnosis of Chest Pain, J Am Coll Cardiol</w:t>
        </w:r>
      </w:hyperlink>
    </w:p>
    <w:p>
      <w:pPr>
        <w:pStyle w:val="ListParagraph"/>
        <w:numPr>
          <w:ilvl w:val="0"/>
          <w:numId w:val="9"/>
        </w:numPr>
      </w:pPr>
      <w:hyperlink r:id="rId15" w:history="1">
        <w:r>
          <w:rPr>
            <w:rStyle w:val="Hyperlink"/>
          </w:rPr>
          <w:t xml:space="preserve">Gemini API pricing, Google AI for Developers</w:t>
        </w:r>
      </w:hyperlink>
    </w:p>
    <w:p>
      <w:pPr>
        <w:pStyle w:val="ListParagraph"/>
        <w:numPr>
          <w:ilvl w:val="0"/>
          <w:numId w:val="9"/>
        </w:numPr>
      </w:pPr>
      <w:hyperlink r:id="rId13" w:history="1">
        <w:r>
          <w:rPr>
            <w:rStyle w:val="Hyperlink"/>
          </w:rPr>
          <w:t xml:space="preserve">Streamlit Community Cloud docs</w:t>
        </w:r>
      </w:hyperlink>
    </w:p>
    <w:p>
      <w:pPr>
        <w:pStyle w:val="ListParagraph"/>
        <w:numPr>
          <w:ilvl w:val="0"/>
          <w:numId w:val="9"/>
        </w:numPr>
      </w:pPr>
      <w:hyperlink r:id="rId14" w:history="1">
        <w:r>
          <w:rPr>
            <w:rStyle w:val="Hyperlink"/>
          </w:rPr>
          <w:t xml:space="preserve">Manage your app, Streamlit Community Cloud resource limits and sleep</w:t>
        </w:r>
      </w:hyperlink>
    </w:p>
    <w:p>
      <w:pPr>
        <w:pStyle w:val="ListParagraph"/>
        <w:numPr>
          <w:ilvl w:val="0"/>
          <w:numId w:val="9"/>
        </w:numPr>
      </w:pPr>
      <w:hyperlink r:id="rId16" w:history="1">
        <w:r>
          <w:rPr>
            <w:rStyle w:val="Hyperlink"/>
          </w:rPr>
          <w:t xml:space="preserve">Spaces overview, Hugging Face docs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qualitysafety.bmj.com/content/23/9/727.abstract" TargetMode="External"/><Relationship Id="rId4" Type="http://schemas.openxmlformats.org/officeDocument/2006/relationships/hyperlink" Target="https://nap.nationalacademies.org/resource/21794/DiagnosticError_ReportBrief.pdf" TargetMode="External"/><Relationship Id="rId5" Type="http://schemas.openxmlformats.org/officeDocument/2006/relationships/hyperlink" Target="https://www.nidcd.nih.gov/health/statistics/quick-statistics-hearing" TargetMode="External"/><Relationship Id="rId6" Type="http://schemas.openxmlformats.org/officeDocument/2006/relationships/hyperlink" Target="https://wagner.nyu.edu/impact/research/publications/studies-physician-patient-communication-older-patients-how-often-0" TargetMode="External"/><Relationship Id="rId7" Type="http://schemas.openxmlformats.org/officeDocument/2006/relationships/hyperlink" Target="https://nces.ed.gov/pubs2006/2006483.pdf" TargetMode="External"/><Relationship Id="rId8" Type="http://schemas.openxmlformats.org/officeDocument/2006/relationships/hyperlink" Target="https://pmc.ncbi.nlm.nih.gov/articles/PMC539473/" TargetMode="External"/><Relationship Id="rId9" Type="http://schemas.openxmlformats.org/officeDocument/2006/relationships/hyperlink" Target="https://pmc.ncbi.nlm.nih.gov/articles/PMC5393268" TargetMode="External"/><Relationship Id="rId10" Type="http://schemas.openxmlformats.org/officeDocument/2006/relationships/hyperlink" Target="https://medinform.jmir.org/2026/1/e86474/PDF" TargetMode="External"/><Relationship Id="rId11" Type="http://schemas.openxmlformats.org/officeDocument/2006/relationships/hyperlink" Target="https://doi.org/10.1016/j.jacc.2021.07.053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docs.streamlit.io/deploy/streamlit-community-cloud" TargetMode="External"/><Relationship Id="rId14" Type="http://schemas.openxmlformats.org/officeDocument/2006/relationships/hyperlink" Target="https://docs.streamlit.io/deploy/streamlit-community-cloud/manage-your-app" TargetMode="External"/><Relationship Id="rId15" Type="http://schemas.openxmlformats.org/officeDocument/2006/relationships/hyperlink" Target="https://ai.google.dev/gemini-api/docs/pricing" TargetMode="External"/><Relationship Id="rId16" Type="http://schemas.openxmlformats.org/officeDocument/2006/relationships/hyperlink" Target="https://huggingface.co/docs/hub/spaces-overview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Dr.Listner catching what the visit missed</dc:title>
  <dc:description>Claude Docs node/13610180-70b1@25 docx-w6</dc:description>
  <cp:revision>25</cp:revision>
</cp:coreProperties>
</file>