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合同编号：CG01200613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开口哭牌没有一点味口香糖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开口哭牌没有一点味口香糖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开口哭牌没有一点味口香糖</w:t>
            </w:r>
          </w:p>
        </w:tc>
        <w:tc>
          <w:tcPr>
            <w:tcW w:w="1418" w:type="dxa"/>
            <w:vAlign w:val="center"/>
          </w:tcPr>
          <w:p>
            <w:r>
              <w:t>350</w:t>
            </w:r>
          </w:p>
        </w:tc>
        <w:tc>
          <w:tcPr>
            <w:tcW w:w="1708" w:type="dxa"/>
            <w:vAlign w:val="center"/>
          </w:tcPr>
          <w:p>
            <w:r>
              <w:t>10</w:t>
            </w:r>
          </w:p>
        </w:tc>
        <w:tc>
          <w:tcPr>
            <w:tcW w:w="1701" w:type="dxa"/>
            <w:vAlign w:val="center"/>
          </w:tcPr>
          <w:p>
            <w:r>
              <w:t>595</w:t>
            </w:r>
          </w:p>
        </w:tc>
        <w:tc>
          <w:tcPr>
            <w:tcW w:w="1784" w:type="dxa"/>
            <w:vAlign w:val="center"/>
          </w:tcPr>
          <w:p>
            <w:r>
              <w:t>4095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