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7C636" w14:textId="0CABBF17" w:rsidR="00386A32" w:rsidRDefault="00386A32" w:rsidP="00386A32">
      <w:pPr>
        <w:jc w:val="center"/>
        <w:rPr>
          <w:b/>
          <w:bCs/>
          <w:sz w:val="28"/>
          <w:szCs w:val="28"/>
        </w:rPr>
      </w:pPr>
      <w:r w:rsidRPr="00386A32">
        <w:rPr>
          <w:b/>
          <w:bCs/>
          <w:sz w:val="28"/>
          <w:szCs w:val="28"/>
        </w:rPr>
        <w:t>Detailed view of Tokyo Energy Production</w:t>
      </w:r>
    </w:p>
    <w:p w14:paraId="1738AFF9" w14:textId="774FC9A6" w:rsidR="00386A32" w:rsidRDefault="00386A32" w:rsidP="00386A32">
      <w:r>
        <w:t xml:space="preserve">We can see the energy breakdown by hour there is 4 main suppliers of energy, we have </w:t>
      </w:r>
    </w:p>
    <w:p w14:paraId="1F07CDC6" w14:textId="78F075C6" w:rsidR="00386A32" w:rsidRDefault="00386A32" w:rsidP="00386A32">
      <w:pPr>
        <w:pStyle w:val="ListParagraph"/>
        <w:numPr>
          <w:ilvl w:val="0"/>
          <w:numId w:val="1"/>
        </w:numPr>
      </w:pPr>
      <w:r>
        <w:t xml:space="preserve">Fossil </w:t>
      </w:r>
    </w:p>
    <w:p w14:paraId="1289E2A8" w14:textId="51A46530" w:rsidR="00386A32" w:rsidRDefault="00386A32" w:rsidP="00386A32">
      <w:pPr>
        <w:pStyle w:val="ListParagraph"/>
        <w:numPr>
          <w:ilvl w:val="0"/>
          <w:numId w:val="1"/>
        </w:numPr>
      </w:pPr>
      <w:r>
        <w:t xml:space="preserve">Solar </w:t>
      </w:r>
    </w:p>
    <w:p w14:paraId="4262F666" w14:textId="0BD0C423" w:rsidR="00386A32" w:rsidRDefault="00386A32" w:rsidP="00386A32">
      <w:pPr>
        <w:pStyle w:val="ListParagraph"/>
        <w:numPr>
          <w:ilvl w:val="0"/>
          <w:numId w:val="1"/>
        </w:numPr>
      </w:pPr>
      <w:r>
        <w:t xml:space="preserve">Hydro (Negative and Positive) </w:t>
      </w:r>
    </w:p>
    <w:p w14:paraId="513CCF03" w14:textId="73D35FF0" w:rsidR="00386A32" w:rsidRDefault="00386A32" w:rsidP="00386A32">
      <w:pPr>
        <w:pStyle w:val="ListParagraph"/>
        <w:numPr>
          <w:ilvl w:val="0"/>
          <w:numId w:val="1"/>
        </w:numPr>
      </w:pPr>
      <w:r>
        <w:t xml:space="preserve">Interconnectors </w:t>
      </w:r>
    </w:p>
    <w:p w14:paraId="5895380D" w14:textId="2BCA9D6F" w:rsidR="00511CD8" w:rsidRDefault="00511CD8" w:rsidP="00386A32">
      <w:r>
        <w:t>What counts as an Interconnector / Import into Tokyo Region?</w:t>
      </w:r>
    </w:p>
    <w:p w14:paraId="28BFE3CA" w14:textId="598C6C43" w:rsidR="00511CD8" w:rsidRDefault="00511CD8" w:rsidP="00386A32">
      <w:r>
        <w:t>A</w:t>
      </w:r>
      <w:r w:rsidRPr="00511CD8">
        <w:t>nything arriving over HVDC or back-to-back converters is logged by OCCTO/ISEP as an interconnection import</w:t>
      </w:r>
      <w:r>
        <w:t>.</w:t>
      </w:r>
    </w:p>
    <w:p w14:paraId="7F12EAC3" w14:textId="4DD49CFB" w:rsidR="00511CD8" w:rsidRDefault="00511CD8" w:rsidP="00386A32">
      <w:r>
        <w:t>What fossil fuel stations contribute to the Tokyo region?</w:t>
      </w:r>
    </w:p>
    <w:p w14:paraId="65F321E1" w14:textId="333B254E" w:rsidR="00511CD8" w:rsidRDefault="00511CD8" w:rsidP="00386A32">
      <w:r w:rsidRPr="00511CD8">
        <w:t>Counting only stations ≥ 500 MW that were online at some point in 2024-25, there are 12 utility-scale fossil units—one inside the Tokyo prefectural border and eleven in the surrounding prefectures—that meet your “direct to Tokyo” criterion; anything arriving over HVDC or back-to-back converters is logged by OCCTO/ISEP as an interconnection import and is not in the list below.</w:t>
      </w:r>
    </w:p>
    <w:p w14:paraId="55180978" w14:textId="0B5D3712" w:rsidR="00511CD8" w:rsidRPr="00A325D9" w:rsidRDefault="00511CD8" w:rsidP="00386A32">
      <w:pPr>
        <w:rPr>
          <w:b/>
          <w:bCs/>
        </w:rPr>
      </w:pPr>
      <w:r w:rsidRPr="00A325D9">
        <w:rPr>
          <w:b/>
          <w:bCs/>
        </w:rPr>
        <w:t>List of</w:t>
      </w:r>
      <w:r w:rsidR="00E326FF" w:rsidRPr="00A325D9">
        <w:rPr>
          <w:b/>
          <w:bCs/>
        </w:rPr>
        <w:t xml:space="preserve"> Power Plants </w:t>
      </w:r>
      <w:r w:rsidR="00A325D9">
        <w:rPr>
          <w:b/>
          <w:bCs/>
        </w:rPr>
        <w:t xml:space="preserve">(Tokyo TEOCO Region) 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624"/>
        <w:gridCol w:w="1132"/>
        <w:gridCol w:w="1609"/>
        <w:gridCol w:w="1604"/>
        <w:gridCol w:w="1360"/>
        <w:gridCol w:w="1687"/>
      </w:tblGrid>
      <w:tr w:rsidR="006C7E4B" w:rsidRPr="006C7E4B" w14:paraId="075BD86F" w14:textId="77777777" w:rsidTr="006C7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B2E1A3C" w14:textId="77777777" w:rsidR="006C7E4B" w:rsidRDefault="006C7E4B" w:rsidP="006C7E4B">
            <w:pPr>
              <w:spacing w:after="160" w:line="259" w:lineRule="auto"/>
              <w:rPr>
                <w:b w:val="0"/>
                <w:bCs w:val="0"/>
              </w:rPr>
            </w:pPr>
            <w:r w:rsidRPr="006C7E4B">
              <w:t>Plant (Prefecture)</w:t>
            </w:r>
          </w:p>
          <w:p w14:paraId="7A5852D6" w14:textId="0048D221" w:rsidR="000560FA" w:rsidRPr="006C7E4B" w:rsidRDefault="000560FA" w:rsidP="006C7E4B">
            <w:pPr>
              <w:spacing w:after="160" w:line="259" w:lineRule="auto"/>
            </w:pPr>
            <w:r>
              <w:t xml:space="preserve">    LNG </w:t>
            </w:r>
          </w:p>
        </w:tc>
        <w:tc>
          <w:tcPr>
            <w:tcW w:w="0" w:type="auto"/>
            <w:hideMark/>
          </w:tcPr>
          <w:p w14:paraId="296EC984" w14:textId="77777777" w:rsidR="006C7E4B" w:rsidRPr="006C7E4B" w:rsidRDefault="006C7E4B" w:rsidP="006C7E4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Net Capacity (MW)</w:t>
            </w:r>
          </w:p>
        </w:tc>
        <w:tc>
          <w:tcPr>
            <w:tcW w:w="0" w:type="auto"/>
            <w:hideMark/>
          </w:tcPr>
          <w:p w14:paraId="1A35847A" w14:textId="77777777" w:rsidR="006C7E4B" w:rsidRPr="006C7E4B" w:rsidRDefault="006C7E4B" w:rsidP="006C7E4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Fuel</w:t>
            </w:r>
          </w:p>
        </w:tc>
        <w:tc>
          <w:tcPr>
            <w:tcW w:w="0" w:type="auto"/>
            <w:hideMark/>
          </w:tcPr>
          <w:p w14:paraId="122806A7" w14:textId="77777777" w:rsidR="006C7E4B" w:rsidRPr="006C7E4B" w:rsidRDefault="006C7E4B" w:rsidP="006C7E4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Thermal Efficiency (LHV)</w:t>
            </w:r>
          </w:p>
        </w:tc>
        <w:tc>
          <w:tcPr>
            <w:tcW w:w="0" w:type="auto"/>
            <w:hideMark/>
          </w:tcPr>
          <w:p w14:paraId="2493EF57" w14:textId="77777777" w:rsidR="006C7E4B" w:rsidRPr="006C7E4B" w:rsidRDefault="006C7E4B" w:rsidP="006C7E4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O&amp;M Cost</w:t>
            </w:r>
          </w:p>
        </w:tc>
        <w:tc>
          <w:tcPr>
            <w:tcW w:w="0" w:type="auto"/>
            <w:hideMark/>
          </w:tcPr>
          <w:p w14:paraId="5A5198B2" w14:textId="77777777" w:rsidR="006C7E4B" w:rsidRPr="006C7E4B" w:rsidRDefault="006C7E4B" w:rsidP="006C7E4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Typical Operation</w:t>
            </w:r>
          </w:p>
        </w:tc>
      </w:tr>
      <w:tr w:rsidR="006C7E4B" w:rsidRPr="006C7E4B" w14:paraId="20F05462" w14:textId="77777777" w:rsidTr="006C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ABFC9" w14:textId="7A86384C" w:rsidR="006C7E4B" w:rsidRPr="006C7E4B" w:rsidRDefault="006C7E4B" w:rsidP="006C7E4B">
            <w:pPr>
              <w:spacing w:after="160" w:line="259" w:lineRule="auto"/>
            </w:pPr>
            <w:proofErr w:type="spellStart"/>
            <w:r w:rsidRPr="006C7E4B">
              <w:t>Futtsu</w:t>
            </w:r>
            <w:proofErr w:type="spellEnd"/>
            <w:r w:rsidRPr="006C7E4B">
              <w:t xml:space="preserve"> (Chiba)</w:t>
            </w:r>
            <w:r w:rsidR="00B47B30">
              <w:t xml:space="preserve">. H </w:t>
            </w:r>
          </w:p>
        </w:tc>
        <w:tc>
          <w:tcPr>
            <w:tcW w:w="0" w:type="auto"/>
            <w:hideMark/>
          </w:tcPr>
          <w:p w14:paraId="0AEC7B55" w14:textId="77777777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5,040</w:t>
            </w:r>
          </w:p>
        </w:tc>
        <w:tc>
          <w:tcPr>
            <w:tcW w:w="0" w:type="auto"/>
            <w:hideMark/>
          </w:tcPr>
          <w:p w14:paraId="2D442247" w14:textId="77777777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LNG (CCGT)</w:t>
            </w:r>
          </w:p>
        </w:tc>
        <w:tc>
          <w:tcPr>
            <w:tcW w:w="0" w:type="auto"/>
            <w:hideMark/>
          </w:tcPr>
          <w:p w14:paraId="29E3D2B0" w14:textId="77777777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~58–59% (new units; Group-</w:t>
            </w:r>
            <w:proofErr w:type="gramStart"/>
            <w:r w:rsidRPr="006C7E4B">
              <w:t>4)</w:t>
            </w:r>
            <w:r w:rsidRPr="006C7E4B">
              <w:rPr>
                <w:i/>
                <w:iCs/>
              </w:rPr>
              <w:t>(</w:t>
            </w:r>
            <w:proofErr w:type="gramEnd"/>
            <w:r w:rsidRPr="006C7E4B">
              <w:rPr>
                <w:i/>
                <w:iCs/>
              </w:rPr>
              <w:t>older units ~47%)</w:t>
            </w:r>
          </w:p>
        </w:tc>
        <w:tc>
          <w:tcPr>
            <w:tcW w:w="0" w:type="auto"/>
            <w:hideMark/>
          </w:tcPr>
          <w:p w14:paraId="24167C10" w14:textId="77777777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~0.7 JPY/kWh (low)</w:t>
            </w:r>
          </w:p>
        </w:tc>
        <w:tc>
          <w:tcPr>
            <w:tcW w:w="0" w:type="auto"/>
            <w:hideMark/>
          </w:tcPr>
          <w:p w14:paraId="0DA2284A" w14:textId="1E1C77FA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Base-load</w:t>
            </w:r>
            <w:r>
              <w:t xml:space="preserve">, </w:t>
            </w:r>
            <w:r w:rsidR="000560FA" w:rsidRPr="006C7E4B">
              <w:t>older</w:t>
            </w:r>
            <w:r w:rsidRPr="006C7E4B">
              <w:t xml:space="preserve"> units provide mid-merit flexibility.</w:t>
            </w:r>
          </w:p>
        </w:tc>
      </w:tr>
      <w:tr w:rsidR="006C7E4B" w:rsidRPr="006C7E4B" w14:paraId="0F04F716" w14:textId="77777777" w:rsidTr="006C7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E2019A" w14:textId="47351DA4" w:rsidR="006C7E4B" w:rsidRPr="006C7E4B" w:rsidRDefault="006C7E4B" w:rsidP="006C7E4B">
            <w:pPr>
              <w:spacing w:after="160" w:line="259" w:lineRule="auto"/>
            </w:pPr>
            <w:r w:rsidRPr="006C7E4B">
              <w:t>Chiba (Chiba)</w:t>
            </w:r>
            <w:r w:rsidR="00B47B30">
              <w:t>. H</w:t>
            </w:r>
          </w:p>
        </w:tc>
        <w:tc>
          <w:tcPr>
            <w:tcW w:w="0" w:type="auto"/>
            <w:hideMark/>
          </w:tcPr>
          <w:p w14:paraId="7F644E27" w14:textId="77777777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4,380</w:t>
            </w:r>
          </w:p>
        </w:tc>
        <w:tc>
          <w:tcPr>
            <w:tcW w:w="0" w:type="auto"/>
            <w:hideMark/>
          </w:tcPr>
          <w:p w14:paraId="46172CDF" w14:textId="77777777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LNG (ACC/MACC)1</w:t>
            </w:r>
          </w:p>
        </w:tc>
        <w:tc>
          <w:tcPr>
            <w:tcW w:w="0" w:type="auto"/>
            <w:hideMark/>
          </w:tcPr>
          <w:p w14:paraId="022146D9" w14:textId="77777777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~50% (1300°C ACC units) to ~55% (1500°C MACC units)</w:t>
            </w:r>
          </w:p>
        </w:tc>
        <w:tc>
          <w:tcPr>
            <w:tcW w:w="0" w:type="auto"/>
            <w:hideMark/>
          </w:tcPr>
          <w:p w14:paraId="51A7B285" w14:textId="77777777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~0.7 JPY/kWh</w:t>
            </w:r>
          </w:p>
        </w:tc>
        <w:tc>
          <w:tcPr>
            <w:tcW w:w="0" w:type="auto"/>
            <w:hideMark/>
          </w:tcPr>
          <w:p w14:paraId="2978814C" w14:textId="2DF16397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Base-load &amp; mid-merit –meet steady demand.</w:t>
            </w:r>
          </w:p>
        </w:tc>
      </w:tr>
      <w:tr w:rsidR="006C7E4B" w:rsidRPr="006C7E4B" w14:paraId="681E0222" w14:textId="77777777" w:rsidTr="006C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7BC7E" w14:textId="23C89D1D" w:rsidR="006C7E4B" w:rsidRPr="006C7E4B" w:rsidRDefault="006C7E4B" w:rsidP="006C7E4B">
            <w:pPr>
              <w:spacing w:after="160" w:line="259" w:lineRule="auto"/>
            </w:pPr>
            <w:r w:rsidRPr="006C7E4B">
              <w:t>Kawasaki Thermal (Kanagawa)</w:t>
            </w:r>
            <w:r w:rsidR="00B47B30">
              <w:t>. H</w:t>
            </w:r>
          </w:p>
        </w:tc>
        <w:tc>
          <w:tcPr>
            <w:tcW w:w="0" w:type="auto"/>
            <w:hideMark/>
          </w:tcPr>
          <w:p w14:paraId="0E56FBC7" w14:textId="77777777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3,420</w:t>
            </w:r>
          </w:p>
        </w:tc>
        <w:tc>
          <w:tcPr>
            <w:tcW w:w="0" w:type="auto"/>
            <w:hideMark/>
          </w:tcPr>
          <w:p w14:paraId="3A05B824" w14:textId="77777777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LNG (MACC/MACC II)</w:t>
            </w:r>
          </w:p>
        </w:tc>
        <w:tc>
          <w:tcPr>
            <w:tcW w:w="0" w:type="auto"/>
            <w:hideMark/>
          </w:tcPr>
          <w:p w14:paraId="0876156C" w14:textId="77777777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~59% (1500°C class) up to ~61% (1600°C class)</w:t>
            </w:r>
          </w:p>
        </w:tc>
        <w:tc>
          <w:tcPr>
            <w:tcW w:w="0" w:type="auto"/>
            <w:hideMark/>
          </w:tcPr>
          <w:p w14:paraId="352089A1" w14:textId="77777777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~0.7 JPY/kWh</w:t>
            </w:r>
          </w:p>
        </w:tc>
        <w:tc>
          <w:tcPr>
            <w:tcW w:w="0" w:type="auto"/>
            <w:hideMark/>
          </w:tcPr>
          <w:p w14:paraId="3C4CC493" w14:textId="3F4DFD0B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Base-load –highly efficient baseload power.</w:t>
            </w:r>
          </w:p>
        </w:tc>
      </w:tr>
      <w:tr w:rsidR="006C7E4B" w:rsidRPr="006C7E4B" w14:paraId="2B2D0DBB" w14:textId="77777777" w:rsidTr="006C7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4BE2C" w14:textId="52A06129" w:rsidR="006C7E4B" w:rsidRPr="006C7E4B" w:rsidRDefault="006C7E4B" w:rsidP="006C7E4B">
            <w:pPr>
              <w:spacing w:after="160" w:line="259" w:lineRule="auto"/>
            </w:pPr>
            <w:proofErr w:type="spellStart"/>
            <w:r w:rsidRPr="006C7E4B">
              <w:t>Sodegaura</w:t>
            </w:r>
            <w:proofErr w:type="spellEnd"/>
            <w:r w:rsidRPr="006C7E4B">
              <w:t xml:space="preserve"> (Chiba)</w:t>
            </w:r>
            <w:r w:rsidR="00B47B30">
              <w:t>.H</w:t>
            </w:r>
          </w:p>
        </w:tc>
        <w:tc>
          <w:tcPr>
            <w:tcW w:w="0" w:type="auto"/>
            <w:hideMark/>
          </w:tcPr>
          <w:p w14:paraId="02408670" w14:textId="77777777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3,600</w:t>
            </w:r>
          </w:p>
        </w:tc>
        <w:tc>
          <w:tcPr>
            <w:tcW w:w="0" w:type="auto"/>
            <w:hideMark/>
          </w:tcPr>
          <w:p w14:paraId="0072321C" w14:textId="77777777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LNG (Steam Turbine)</w:t>
            </w:r>
          </w:p>
        </w:tc>
        <w:tc>
          <w:tcPr>
            <w:tcW w:w="0" w:type="auto"/>
            <w:hideMark/>
          </w:tcPr>
          <w:p w14:paraId="37F91139" w14:textId="77777777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~40–43% (legacy steam plant)</w:t>
            </w:r>
          </w:p>
        </w:tc>
        <w:tc>
          <w:tcPr>
            <w:tcW w:w="0" w:type="auto"/>
            <w:hideMark/>
          </w:tcPr>
          <w:p w14:paraId="69169941" w14:textId="77777777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~0.7 JPY/kWh (</w:t>
            </w:r>
            <w:proofErr w:type="gramStart"/>
            <w:r w:rsidRPr="006C7E4B">
              <w:t>avg.)</w:t>
            </w:r>
            <w:r w:rsidRPr="006C7E4B">
              <w:rPr>
                <w:i/>
                <w:iCs/>
              </w:rPr>
              <w:t>(</w:t>
            </w:r>
            <w:proofErr w:type="gramEnd"/>
            <w:r w:rsidRPr="006C7E4B">
              <w:rPr>
                <w:i/>
                <w:iCs/>
              </w:rPr>
              <w:t>older units may be higher)</w:t>
            </w:r>
          </w:p>
        </w:tc>
        <w:tc>
          <w:tcPr>
            <w:tcW w:w="0" w:type="auto"/>
            <w:hideMark/>
          </w:tcPr>
          <w:p w14:paraId="230252BE" w14:textId="15D2492D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Mid-merit/peaking –Typically kept for higher demand periods due to lower efficiency,</w:t>
            </w:r>
          </w:p>
        </w:tc>
      </w:tr>
      <w:tr w:rsidR="006C7E4B" w:rsidRPr="006C7E4B" w14:paraId="4CDAF738" w14:textId="77777777" w:rsidTr="006C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257BD" w14:textId="77777777" w:rsidR="006C7E4B" w:rsidRDefault="006C7E4B" w:rsidP="006C7E4B">
            <w:pPr>
              <w:spacing w:after="160" w:line="259" w:lineRule="auto"/>
              <w:rPr>
                <w:b w:val="0"/>
                <w:bCs w:val="0"/>
              </w:rPr>
            </w:pPr>
            <w:r w:rsidRPr="006C7E4B">
              <w:lastRenderedPageBreak/>
              <w:t>Yokohama Thermal</w:t>
            </w:r>
            <w:r w:rsidR="00B47B30">
              <w:t xml:space="preserve"> </w:t>
            </w:r>
            <w:r w:rsidRPr="006C7E4B">
              <w:t>(Kanagawa)</w:t>
            </w:r>
          </w:p>
          <w:p w14:paraId="7A747614" w14:textId="3D6B8642" w:rsidR="00B47B30" w:rsidRPr="006C7E4B" w:rsidRDefault="00B47B30" w:rsidP="006C7E4B">
            <w:pPr>
              <w:spacing w:after="160" w:line="259" w:lineRule="auto"/>
            </w:pPr>
            <w:r>
              <w:t>.H</w:t>
            </w:r>
          </w:p>
        </w:tc>
        <w:tc>
          <w:tcPr>
            <w:tcW w:w="0" w:type="auto"/>
            <w:hideMark/>
          </w:tcPr>
          <w:p w14:paraId="60E2D17A" w14:textId="77777777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3,016</w:t>
            </w:r>
          </w:p>
        </w:tc>
        <w:tc>
          <w:tcPr>
            <w:tcW w:w="0" w:type="auto"/>
            <w:hideMark/>
          </w:tcPr>
          <w:p w14:paraId="788B2B08" w14:textId="77777777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LNG (CCGT + steam)</w:t>
            </w:r>
          </w:p>
        </w:tc>
        <w:tc>
          <w:tcPr>
            <w:tcW w:w="0" w:type="auto"/>
            <w:hideMark/>
          </w:tcPr>
          <w:p w14:paraId="0DFEB976" w14:textId="0EB67595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 xml:space="preserve">~54–56% </w:t>
            </w:r>
          </w:p>
        </w:tc>
        <w:tc>
          <w:tcPr>
            <w:tcW w:w="0" w:type="auto"/>
            <w:hideMark/>
          </w:tcPr>
          <w:p w14:paraId="001D988C" w14:textId="77777777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~0.7 JPY/kWh</w:t>
            </w:r>
          </w:p>
        </w:tc>
        <w:tc>
          <w:tcPr>
            <w:tcW w:w="0" w:type="auto"/>
            <w:hideMark/>
          </w:tcPr>
          <w:p w14:paraId="0A71DA93" w14:textId="2D040812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Mid-merit supply mid-load and peak power</w:t>
            </w:r>
          </w:p>
        </w:tc>
      </w:tr>
      <w:tr w:rsidR="006C7E4B" w:rsidRPr="006C7E4B" w14:paraId="2BF96ECD" w14:textId="77777777" w:rsidTr="006C7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4D08CE" w14:textId="77777777" w:rsidR="006C7E4B" w:rsidRDefault="006C7E4B" w:rsidP="006C7E4B">
            <w:pPr>
              <w:spacing w:after="160" w:line="259" w:lineRule="auto"/>
              <w:rPr>
                <w:b w:val="0"/>
                <w:bCs w:val="0"/>
              </w:rPr>
            </w:pPr>
            <w:r w:rsidRPr="006C7E4B">
              <w:t>Goi GTCC (Chiba)</w:t>
            </w:r>
          </w:p>
          <w:p w14:paraId="074B01F2" w14:textId="1157A639" w:rsidR="00B47B30" w:rsidRPr="006C7E4B" w:rsidRDefault="00B47B30" w:rsidP="006C7E4B">
            <w:pPr>
              <w:spacing w:after="160" w:line="259" w:lineRule="auto"/>
            </w:pPr>
            <w:r>
              <w:t>M</w:t>
            </w:r>
          </w:p>
        </w:tc>
        <w:tc>
          <w:tcPr>
            <w:tcW w:w="0" w:type="auto"/>
            <w:hideMark/>
          </w:tcPr>
          <w:p w14:paraId="6396469A" w14:textId="77777777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2,340</w:t>
            </w:r>
          </w:p>
        </w:tc>
        <w:tc>
          <w:tcPr>
            <w:tcW w:w="0" w:type="auto"/>
            <w:hideMark/>
          </w:tcPr>
          <w:p w14:paraId="171F69CC" w14:textId="77777777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LNG (CCGT – new)</w:t>
            </w:r>
          </w:p>
        </w:tc>
        <w:tc>
          <w:tcPr>
            <w:tcW w:w="0" w:type="auto"/>
            <w:hideMark/>
          </w:tcPr>
          <w:p w14:paraId="2B2A8782" w14:textId="77777777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~61% (advanced GTCC, GE 9HA.02)</w:t>
            </w:r>
          </w:p>
        </w:tc>
        <w:tc>
          <w:tcPr>
            <w:tcW w:w="0" w:type="auto"/>
            <w:hideMark/>
          </w:tcPr>
          <w:p w14:paraId="199D5C3F" w14:textId="77777777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~0.7 JPY/kWh</w:t>
            </w:r>
          </w:p>
        </w:tc>
        <w:tc>
          <w:tcPr>
            <w:tcW w:w="0" w:type="auto"/>
            <w:hideMark/>
          </w:tcPr>
          <w:p w14:paraId="44E8A471" w14:textId="62C7D081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Base-load –</w:t>
            </w:r>
            <w:r>
              <w:t xml:space="preserve"> </w:t>
            </w:r>
            <w:r w:rsidRPr="006C7E4B">
              <w:t>will run at high efficiency to meet base demand.</w:t>
            </w:r>
          </w:p>
        </w:tc>
      </w:tr>
      <w:tr w:rsidR="006C7E4B" w:rsidRPr="006C7E4B" w14:paraId="72B47899" w14:textId="77777777" w:rsidTr="006C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AF099D" w14:textId="77777777" w:rsidR="006C7E4B" w:rsidRDefault="006C7E4B" w:rsidP="006C7E4B">
            <w:pPr>
              <w:spacing w:after="160" w:line="259" w:lineRule="auto"/>
              <w:rPr>
                <w:b w:val="0"/>
                <w:bCs w:val="0"/>
              </w:rPr>
            </w:pPr>
            <w:r w:rsidRPr="006C7E4B">
              <w:t>Higashi-</w:t>
            </w:r>
            <w:proofErr w:type="spellStart"/>
            <w:r w:rsidRPr="006C7E4B">
              <w:t>Ogishima</w:t>
            </w:r>
            <w:proofErr w:type="spellEnd"/>
            <w:r w:rsidRPr="006C7E4B">
              <w:t xml:space="preserve"> (Kanagawa)</w:t>
            </w:r>
          </w:p>
          <w:p w14:paraId="1B1C6998" w14:textId="49399BDF" w:rsidR="00B47B30" w:rsidRPr="006C7E4B" w:rsidRDefault="000B6A34" w:rsidP="006C7E4B">
            <w:pPr>
              <w:spacing w:after="160" w:line="259" w:lineRule="auto"/>
            </w:pPr>
            <w:r>
              <w:t>L</w:t>
            </w:r>
          </w:p>
        </w:tc>
        <w:tc>
          <w:tcPr>
            <w:tcW w:w="0" w:type="auto"/>
            <w:hideMark/>
          </w:tcPr>
          <w:p w14:paraId="2C0BABC2" w14:textId="77777777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2,000</w:t>
            </w:r>
          </w:p>
        </w:tc>
        <w:tc>
          <w:tcPr>
            <w:tcW w:w="0" w:type="auto"/>
            <w:hideMark/>
          </w:tcPr>
          <w:p w14:paraId="56C90C83" w14:textId="77777777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LNG (Steam Turbine)</w:t>
            </w:r>
          </w:p>
        </w:tc>
        <w:tc>
          <w:tcPr>
            <w:tcW w:w="0" w:type="auto"/>
            <w:hideMark/>
          </w:tcPr>
          <w:p w14:paraId="79F1F206" w14:textId="77777777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~38–40% (1970s conventional)</w:t>
            </w:r>
          </w:p>
        </w:tc>
        <w:tc>
          <w:tcPr>
            <w:tcW w:w="0" w:type="auto"/>
            <w:hideMark/>
          </w:tcPr>
          <w:p w14:paraId="51DEDAB9" w14:textId="77777777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~0.7 JPY/kWh</w:t>
            </w:r>
          </w:p>
        </w:tc>
        <w:tc>
          <w:tcPr>
            <w:tcW w:w="0" w:type="auto"/>
            <w:hideMark/>
          </w:tcPr>
          <w:p w14:paraId="6D79BF80" w14:textId="6FE51B11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 xml:space="preserve">Peaking reserve – 2×1000 MW older gas-fired boilers, generally held for reserve/peak </w:t>
            </w:r>
          </w:p>
        </w:tc>
      </w:tr>
      <w:tr w:rsidR="006C7E4B" w:rsidRPr="006C7E4B" w14:paraId="3899A6D7" w14:textId="77777777" w:rsidTr="006C7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1F4874" w14:textId="77777777" w:rsidR="006C7E4B" w:rsidRDefault="006C7E4B" w:rsidP="006C7E4B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6C7E4B">
              <w:t>Ohgishima</w:t>
            </w:r>
            <w:proofErr w:type="spellEnd"/>
            <w:r w:rsidRPr="006C7E4B">
              <w:t xml:space="preserve"> (Kanagawa)</w:t>
            </w:r>
          </w:p>
          <w:p w14:paraId="10838364" w14:textId="792B45DB" w:rsidR="000B6A34" w:rsidRPr="006C7E4B" w:rsidRDefault="000B6A34" w:rsidP="006C7E4B">
            <w:pPr>
              <w:spacing w:after="160" w:line="259" w:lineRule="auto"/>
            </w:pPr>
            <w:r>
              <w:t>M</w:t>
            </w:r>
          </w:p>
        </w:tc>
        <w:tc>
          <w:tcPr>
            <w:tcW w:w="0" w:type="auto"/>
            <w:hideMark/>
          </w:tcPr>
          <w:p w14:paraId="205445E8" w14:textId="77777777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1,221</w:t>
            </w:r>
          </w:p>
        </w:tc>
        <w:tc>
          <w:tcPr>
            <w:tcW w:w="0" w:type="auto"/>
            <w:hideMark/>
          </w:tcPr>
          <w:p w14:paraId="5C0AA00F" w14:textId="77777777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Natural gas (CCGT)</w:t>
            </w:r>
          </w:p>
        </w:tc>
        <w:tc>
          <w:tcPr>
            <w:tcW w:w="0" w:type="auto"/>
            <w:hideMark/>
          </w:tcPr>
          <w:p w14:paraId="1EAB43EE" w14:textId="77777777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~55% (est.) – modern IPP CCGT</w:t>
            </w:r>
          </w:p>
        </w:tc>
        <w:tc>
          <w:tcPr>
            <w:tcW w:w="0" w:type="auto"/>
            <w:hideMark/>
          </w:tcPr>
          <w:p w14:paraId="2B59CB31" w14:textId="77777777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~0.7 JPY/kWh</w:t>
            </w:r>
          </w:p>
        </w:tc>
        <w:tc>
          <w:tcPr>
            <w:tcW w:w="0" w:type="auto"/>
            <w:hideMark/>
          </w:tcPr>
          <w:p w14:paraId="2ED4E673" w14:textId="50A1F29C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Mid-merit –run as needed under contract, often mid-merit.</w:t>
            </w:r>
          </w:p>
        </w:tc>
      </w:tr>
      <w:tr w:rsidR="006C7E4B" w:rsidRPr="006C7E4B" w14:paraId="20AA6710" w14:textId="77777777" w:rsidTr="006C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A25082" w14:textId="182D55FE" w:rsidR="006C7E4B" w:rsidRPr="006C7E4B" w:rsidRDefault="006C7E4B" w:rsidP="006C7E4B">
            <w:pPr>
              <w:spacing w:after="160" w:line="259" w:lineRule="auto"/>
            </w:pPr>
            <w:r w:rsidRPr="006C7E4B">
              <w:t>Kashima Group-7 (Ibaraki)</w:t>
            </w:r>
            <w:r w:rsidR="000B6A34">
              <w:t>H</w:t>
            </w:r>
          </w:p>
        </w:tc>
        <w:tc>
          <w:tcPr>
            <w:tcW w:w="0" w:type="auto"/>
            <w:hideMark/>
          </w:tcPr>
          <w:p w14:paraId="62F7733A" w14:textId="77777777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1,260</w:t>
            </w:r>
          </w:p>
        </w:tc>
        <w:tc>
          <w:tcPr>
            <w:tcW w:w="0" w:type="auto"/>
            <w:hideMark/>
          </w:tcPr>
          <w:p w14:paraId="4A0C5668" w14:textId="77777777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Natural gas (CCGT)</w:t>
            </w:r>
          </w:p>
        </w:tc>
        <w:tc>
          <w:tcPr>
            <w:tcW w:w="0" w:type="auto"/>
            <w:hideMark/>
          </w:tcPr>
          <w:p w14:paraId="565BA18E" w14:textId="77777777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~55% (advanced combined-cycle, 2014)</w:t>
            </w:r>
          </w:p>
        </w:tc>
        <w:tc>
          <w:tcPr>
            <w:tcW w:w="0" w:type="auto"/>
            <w:hideMark/>
          </w:tcPr>
          <w:p w14:paraId="1451B342" w14:textId="77777777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~0.7 JPY/kWh</w:t>
            </w:r>
          </w:p>
        </w:tc>
        <w:tc>
          <w:tcPr>
            <w:tcW w:w="0" w:type="auto"/>
            <w:hideMark/>
          </w:tcPr>
          <w:p w14:paraId="1D56A952" w14:textId="1AC20B6F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Baseload</w:t>
            </w:r>
            <w:r>
              <w:t xml:space="preserve">. </w:t>
            </w:r>
            <w:r w:rsidRPr="006C7E4B">
              <w:t>Serve baseload using gas</w:t>
            </w:r>
          </w:p>
        </w:tc>
      </w:tr>
      <w:tr w:rsidR="006C7E4B" w:rsidRPr="006C7E4B" w14:paraId="66287410" w14:textId="77777777" w:rsidTr="006C7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09419" w14:textId="1E48B948" w:rsidR="006C7E4B" w:rsidRPr="006C7E4B" w:rsidRDefault="006C7E4B" w:rsidP="006C7E4B">
            <w:pPr>
              <w:spacing w:after="160" w:line="259" w:lineRule="auto"/>
            </w:pPr>
            <w:proofErr w:type="spellStart"/>
            <w:r w:rsidRPr="006C7E4B">
              <w:t>Anegasaki</w:t>
            </w:r>
            <w:proofErr w:type="spellEnd"/>
            <w:r w:rsidRPr="006C7E4B">
              <w:t xml:space="preserve"> New (Chiba)</w:t>
            </w:r>
            <w:r w:rsidR="000B6A34">
              <w:t>H</w:t>
            </w:r>
          </w:p>
        </w:tc>
        <w:tc>
          <w:tcPr>
            <w:tcW w:w="0" w:type="auto"/>
            <w:hideMark/>
          </w:tcPr>
          <w:p w14:paraId="7C7E6143" w14:textId="77777777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1,950</w:t>
            </w:r>
          </w:p>
        </w:tc>
        <w:tc>
          <w:tcPr>
            <w:tcW w:w="0" w:type="auto"/>
            <w:hideMark/>
          </w:tcPr>
          <w:p w14:paraId="176653E8" w14:textId="77777777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LNG (CCGT – new)</w:t>
            </w:r>
          </w:p>
        </w:tc>
        <w:tc>
          <w:tcPr>
            <w:tcW w:w="0" w:type="auto"/>
            <w:hideMark/>
          </w:tcPr>
          <w:p w14:paraId="4BADBBD4" w14:textId="77777777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~60% (latest J-Class GTCC)</w:t>
            </w:r>
          </w:p>
        </w:tc>
        <w:tc>
          <w:tcPr>
            <w:tcW w:w="0" w:type="auto"/>
            <w:hideMark/>
          </w:tcPr>
          <w:p w14:paraId="630B97F8" w14:textId="77777777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~0.7 JPY/kWh</w:t>
            </w:r>
          </w:p>
        </w:tc>
        <w:tc>
          <w:tcPr>
            <w:tcW w:w="0" w:type="auto"/>
            <w:hideMark/>
          </w:tcPr>
          <w:p w14:paraId="4ED1EAC5" w14:textId="04315CEC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Base-load –~60% efficiency.</w:t>
            </w:r>
          </w:p>
        </w:tc>
      </w:tr>
      <w:tr w:rsidR="006C7E4B" w:rsidRPr="006C7E4B" w14:paraId="0F8E74CB" w14:textId="77777777" w:rsidTr="006C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F96440" w14:textId="66F8C7FC" w:rsidR="006C7E4B" w:rsidRPr="006C7E4B" w:rsidRDefault="006C7E4B" w:rsidP="006C7E4B">
            <w:pPr>
              <w:spacing w:after="160" w:line="259" w:lineRule="auto"/>
            </w:pPr>
            <w:r w:rsidRPr="006C7E4B">
              <w:t>Shinagawa (Tokyo)</w:t>
            </w:r>
            <w:r w:rsidR="000B6A34">
              <w:t>M</w:t>
            </w:r>
          </w:p>
        </w:tc>
        <w:tc>
          <w:tcPr>
            <w:tcW w:w="0" w:type="auto"/>
            <w:hideMark/>
          </w:tcPr>
          <w:p w14:paraId="5287CE4E" w14:textId="77777777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1,140</w:t>
            </w:r>
          </w:p>
        </w:tc>
        <w:tc>
          <w:tcPr>
            <w:tcW w:w="0" w:type="auto"/>
            <w:hideMark/>
          </w:tcPr>
          <w:p w14:paraId="3F02651F" w14:textId="77777777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LNG (ACC)</w:t>
            </w:r>
          </w:p>
        </w:tc>
        <w:tc>
          <w:tcPr>
            <w:tcW w:w="0" w:type="auto"/>
            <w:hideMark/>
          </w:tcPr>
          <w:p w14:paraId="59EE277C" w14:textId="77777777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~50% (advanced CCGT, 380 MW x3)</w:t>
            </w:r>
          </w:p>
        </w:tc>
        <w:tc>
          <w:tcPr>
            <w:tcW w:w="0" w:type="auto"/>
            <w:hideMark/>
          </w:tcPr>
          <w:p w14:paraId="206D95FE" w14:textId="77777777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~0.7 JPY/kWh</w:t>
            </w:r>
          </w:p>
        </w:tc>
        <w:tc>
          <w:tcPr>
            <w:tcW w:w="0" w:type="auto"/>
            <w:hideMark/>
          </w:tcPr>
          <w:p w14:paraId="271FF1DD" w14:textId="4AF43C0A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Mid</w:t>
            </w:r>
            <w:r>
              <w:t>-</w:t>
            </w:r>
            <w:r w:rsidRPr="006C7E4B">
              <w:t>merit/peaking for intermediate load and grid stability. High flexibility</w:t>
            </w:r>
          </w:p>
        </w:tc>
      </w:tr>
      <w:tr w:rsidR="006C7E4B" w:rsidRPr="006C7E4B" w14:paraId="605CB7CB" w14:textId="77777777" w:rsidTr="006C7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234A7D" w14:textId="35DDB8A1" w:rsidR="006C7E4B" w:rsidRPr="006C7E4B" w:rsidRDefault="006C7E4B" w:rsidP="006C7E4B">
            <w:pPr>
              <w:spacing w:after="160" w:line="259" w:lineRule="auto"/>
            </w:pPr>
            <w:r w:rsidRPr="006C7E4B">
              <w:t>Minami-Yokohama (Kanagawa</w:t>
            </w:r>
            <w:proofErr w:type="gramStart"/>
            <w:r w:rsidRPr="006C7E4B">
              <w:t>)</w:t>
            </w:r>
            <w:r w:rsidR="004420FE">
              <w:t>.L</w:t>
            </w:r>
            <w:proofErr w:type="gramEnd"/>
          </w:p>
        </w:tc>
        <w:tc>
          <w:tcPr>
            <w:tcW w:w="0" w:type="auto"/>
            <w:hideMark/>
          </w:tcPr>
          <w:p w14:paraId="4FED86D5" w14:textId="77777777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1,150</w:t>
            </w:r>
          </w:p>
        </w:tc>
        <w:tc>
          <w:tcPr>
            <w:tcW w:w="0" w:type="auto"/>
            <w:hideMark/>
          </w:tcPr>
          <w:p w14:paraId="665A8905" w14:textId="77777777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LNG (Steam Turbine)</w:t>
            </w:r>
          </w:p>
        </w:tc>
        <w:tc>
          <w:tcPr>
            <w:tcW w:w="0" w:type="auto"/>
            <w:hideMark/>
          </w:tcPr>
          <w:p w14:paraId="3A477762" w14:textId="77777777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~35% (1970-era LNG steam plant)</w:t>
            </w:r>
          </w:p>
        </w:tc>
        <w:tc>
          <w:tcPr>
            <w:tcW w:w="0" w:type="auto"/>
            <w:hideMark/>
          </w:tcPr>
          <w:p w14:paraId="62BBBA06" w14:textId="77777777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~0.7–1.0 JPY/kWh (higher end)</w:t>
            </w:r>
          </w:p>
        </w:tc>
        <w:tc>
          <w:tcPr>
            <w:tcW w:w="0" w:type="auto"/>
            <w:hideMark/>
          </w:tcPr>
          <w:p w14:paraId="56DC66B3" w14:textId="12BDEF11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6C7E4B">
              <w:t>erve seasonal peak support only, due to low efficiency.</w:t>
            </w:r>
          </w:p>
        </w:tc>
      </w:tr>
      <w:tr w:rsidR="006C7E4B" w:rsidRPr="006C7E4B" w14:paraId="56B351C5" w14:textId="77777777" w:rsidTr="006C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03CD9F" w14:textId="7DB9842D" w:rsidR="006C7E4B" w:rsidRPr="006C7E4B" w:rsidRDefault="006C7E4B" w:rsidP="006C7E4B">
            <w:pPr>
              <w:spacing w:after="160" w:line="259" w:lineRule="auto"/>
            </w:pPr>
            <w:r w:rsidRPr="006C7E4B">
              <w:lastRenderedPageBreak/>
              <w:t>Kawasaki Natural Gas Power (Kanagawa, IPP</w:t>
            </w:r>
            <w:proofErr w:type="gramStart"/>
            <w:r w:rsidRPr="006C7E4B">
              <w:t>)</w:t>
            </w:r>
            <w:r w:rsidR="004420FE">
              <w:t>.L</w:t>
            </w:r>
            <w:proofErr w:type="gramEnd"/>
          </w:p>
        </w:tc>
        <w:tc>
          <w:tcPr>
            <w:tcW w:w="0" w:type="auto"/>
            <w:hideMark/>
          </w:tcPr>
          <w:p w14:paraId="0CF435AA" w14:textId="77777777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847</w:t>
            </w:r>
          </w:p>
        </w:tc>
        <w:tc>
          <w:tcPr>
            <w:tcW w:w="0" w:type="auto"/>
            <w:hideMark/>
          </w:tcPr>
          <w:p w14:paraId="0FBB79A0" w14:textId="77777777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Natural gas (CCGT)</w:t>
            </w:r>
          </w:p>
        </w:tc>
        <w:tc>
          <w:tcPr>
            <w:tcW w:w="0" w:type="auto"/>
            <w:hideMark/>
          </w:tcPr>
          <w:p w14:paraId="2635B1D0" w14:textId="77777777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~55% (modern CCGT, 2×420 MW)</w:t>
            </w:r>
          </w:p>
        </w:tc>
        <w:tc>
          <w:tcPr>
            <w:tcW w:w="0" w:type="auto"/>
            <w:hideMark/>
          </w:tcPr>
          <w:p w14:paraId="74F3455C" w14:textId="77777777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~0.7 JPY/kWh</w:t>
            </w:r>
          </w:p>
        </w:tc>
        <w:tc>
          <w:tcPr>
            <w:tcW w:w="0" w:type="auto"/>
            <w:hideMark/>
          </w:tcPr>
          <w:p w14:paraId="33B8E198" w14:textId="32A532D8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Mid-merit – Industrial zone IPP (Keihin area). Supplies</w:t>
            </w:r>
            <w:r>
              <w:t xml:space="preserve"> </w:t>
            </w:r>
            <w:r w:rsidRPr="006C7E4B">
              <w:t>contracted</w:t>
            </w:r>
            <w:r>
              <w:t xml:space="preserve"> </w:t>
            </w:r>
            <w:r w:rsidRPr="006C7E4B">
              <w:t>intermediat</w:t>
            </w:r>
            <w:r>
              <w:t>e</w:t>
            </w:r>
            <w:r w:rsidRPr="006C7E4B">
              <w:t xml:space="preserve"> hours.</w:t>
            </w:r>
          </w:p>
        </w:tc>
      </w:tr>
      <w:tr w:rsidR="006C7E4B" w:rsidRPr="006C7E4B" w14:paraId="2922BE40" w14:textId="77777777" w:rsidTr="006C7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54CC55" w14:textId="5110BC97" w:rsidR="006C7E4B" w:rsidRPr="006C7E4B" w:rsidRDefault="006C7E4B" w:rsidP="006C7E4B">
            <w:pPr>
              <w:spacing w:after="160" w:line="259" w:lineRule="auto"/>
            </w:pPr>
            <w:r w:rsidRPr="006C7E4B">
              <w:t xml:space="preserve">Tokyo Gas Yokosuka (Kanagawa, </w:t>
            </w:r>
            <w:proofErr w:type="gramStart"/>
            <w:r w:rsidRPr="006C7E4B">
              <w:t>IPP)</w:t>
            </w:r>
            <w:r w:rsidR="004420FE">
              <w:t>L</w:t>
            </w:r>
            <w:proofErr w:type="gramEnd"/>
          </w:p>
        </w:tc>
        <w:tc>
          <w:tcPr>
            <w:tcW w:w="0" w:type="auto"/>
            <w:hideMark/>
          </w:tcPr>
          <w:p w14:paraId="282FA396" w14:textId="77777777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240</w:t>
            </w:r>
          </w:p>
        </w:tc>
        <w:tc>
          <w:tcPr>
            <w:tcW w:w="0" w:type="auto"/>
            <w:hideMark/>
          </w:tcPr>
          <w:p w14:paraId="46A368A4" w14:textId="77777777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Natural gas (GTCC)</w:t>
            </w:r>
          </w:p>
        </w:tc>
        <w:tc>
          <w:tcPr>
            <w:tcW w:w="0" w:type="auto"/>
            <w:hideMark/>
          </w:tcPr>
          <w:p w14:paraId="05F2296F" w14:textId="77777777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 xml:space="preserve">~40–45% (small GTCC </w:t>
            </w:r>
            <w:proofErr w:type="spellStart"/>
            <w:r w:rsidRPr="006C7E4B">
              <w:t>peaker</w:t>
            </w:r>
            <w:proofErr w:type="spellEnd"/>
            <w:r w:rsidRPr="006C7E4B">
              <w:t>)</w:t>
            </w:r>
          </w:p>
        </w:tc>
        <w:tc>
          <w:tcPr>
            <w:tcW w:w="0" w:type="auto"/>
            <w:hideMark/>
          </w:tcPr>
          <w:p w14:paraId="362C303C" w14:textId="77777777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E4B">
              <w:t>~0.7–1.0 JPY/kWh (est.)</w:t>
            </w:r>
          </w:p>
        </w:tc>
        <w:tc>
          <w:tcPr>
            <w:tcW w:w="0" w:type="auto"/>
            <w:hideMark/>
          </w:tcPr>
          <w:p w14:paraId="58434E61" w14:textId="658A3BCC" w:rsidR="006C7E4B" w:rsidRPr="006C7E4B" w:rsidRDefault="006C7E4B" w:rsidP="006C7E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Pr="006C7E4B">
              <w:t>sed for quick reserve and peak loads. High ramp rate prioritized over efficiency.</w:t>
            </w:r>
          </w:p>
        </w:tc>
      </w:tr>
      <w:tr w:rsidR="006C7E4B" w:rsidRPr="006C7E4B" w14:paraId="6D6C73F1" w14:textId="77777777" w:rsidTr="006C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95D04" w14:textId="00D423CE" w:rsidR="006C7E4B" w:rsidRPr="006C7E4B" w:rsidRDefault="006C7E4B" w:rsidP="006C7E4B">
            <w:pPr>
              <w:spacing w:after="160" w:line="259" w:lineRule="auto"/>
            </w:pPr>
            <w:r w:rsidRPr="006C7E4B">
              <w:t>JFE Chiba “Clean” (Chiba, JFE Steel</w:t>
            </w:r>
            <w:proofErr w:type="gramStart"/>
            <w:r w:rsidRPr="006C7E4B">
              <w:t>)</w:t>
            </w:r>
            <w:r w:rsidR="004420FE">
              <w:t>.L</w:t>
            </w:r>
            <w:proofErr w:type="gramEnd"/>
          </w:p>
        </w:tc>
        <w:tc>
          <w:tcPr>
            <w:tcW w:w="0" w:type="auto"/>
            <w:hideMark/>
          </w:tcPr>
          <w:p w14:paraId="77A22C08" w14:textId="77777777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398</w:t>
            </w:r>
          </w:p>
        </w:tc>
        <w:tc>
          <w:tcPr>
            <w:tcW w:w="0" w:type="auto"/>
            <w:hideMark/>
          </w:tcPr>
          <w:p w14:paraId="238016FC" w14:textId="77777777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Blast-furnace &amp; COG gas (CCGT)</w:t>
            </w:r>
          </w:p>
        </w:tc>
        <w:tc>
          <w:tcPr>
            <w:tcW w:w="0" w:type="auto"/>
            <w:hideMark/>
          </w:tcPr>
          <w:p w14:paraId="03FE8091" w14:textId="77777777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~50% (est.) – utilizes waste gases</w:t>
            </w:r>
          </w:p>
        </w:tc>
        <w:tc>
          <w:tcPr>
            <w:tcW w:w="0" w:type="auto"/>
            <w:hideMark/>
          </w:tcPr>
          <w:p w14:paraId="5596E4EF" w14:textId="77777777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>~0.7–1.0 JPY/kWh (est.)</w:t>
            </w:r>
          </w:p>
        </w:tc>
        <w:tc>
          <w:tcPr>
            <w:tcW w:w="0" w:type="auto"/>
            <w:hideMark/>
          </w:tcPr>
          <w:p w14:paraId="18D98FC0" w14:textId="45336FC9" w:rsidR="006C7E4B" w:rsidRPr="006C7E4B" w:rsidRDefault="006C7E4B" w:rsidP="006C7E4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E4B">
              <w:t xml:space="preserve">Runs continuously to supply JFE Steel works and feed surplus to grid. </w:t>
            </w:r>
          </w:p>
        </w:tc>
      </w:tr>
    </w:tbl>
    <w:p w14:paraId="46931A99" w14:textId="77777777" w:rsidR="00566BCD" w:rsidRDefault="00566BCD" w:rsidP="00386A32"/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806"/>
        <w:gridCol w:w="1185"/>
        <w:gridCol w:w="1434"/>
        <w:gridCol w:w="1651"/>
        <w:gridCol w:w="1189"/>
        <w:gridCol w:w="1751"/>
      </w:tblGrid>
      <w:tr w:rsidR="008A2A74" w:rsidRPr="00CB22A9" w14:paraId="6DD467E1" w14:textId="77777777" w:rsidTr="00CB2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631E1B2" w14:textId="77777777" w:rsidR="00CB22A9" w:rsidRDefault="00CB22A9" w:rsidP="00CB22A9">
            <w:pPr>
              <w:rPr>
                <w:b w:val="0"/>
                <w:bCs w:val="0"/>
              </w:rPr>
            </w:pPr>
            <w:r w:rsidRPr="00CB22A9">
              <w:t>Plant (Prefecture)</w:t>
            </w:r>
          </w:p>
          <w:p w14:paraId="3DF1F911" w14:textId="61265E59" w:rsidR="00CB22A9" w:rsidRPr="00CB22A9" w:rsidRDefault="008A2A74" w:rsidP="00CB22A9">
            <w:pPr>
              <w:spacing w:after="160" w:line="259" w:lineRule="auto"/>
            </w:pPr>
            <w:r>
              <w:t xml:space="preserve">Coal </w:t>
            </w:r>
          </w:p>
        </w:tc>
        <w:tc>
          <w:tcPr>
            <w:tcW w:w="0" w:type="auto"/>
            <w:hideMark/>
          </w:tcPr>
          <w:p w14:paraId="06ECD613" w14:textId="77777777" w:rsidR="00CB22A9" w:rsidRPr="00CB22A9" w:rsidRDefault="00CB22A9" w:rsidP="00CB22A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22A9">
              <w:t>Net Capacity (MW)</w:t>
            </w:r>
          </w:p>
        </w:tc>
        <w:tc>
          <w:tcPr>
            <w:tcW w:w="0" w:type="auto"/>
            <w:hideMark/>
          </w:tcPr>
          <w:p w14:paraId="46DD42A9" w14:textId="77777777" w:rsidR="00CB22A9" w:rsidRPr="00CB22A9" w:rsidRDefault="00CB22A9" w:rsidP="00CB22A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22A9">
              <w:t>Fuel/Tech</w:t>
            </w:r>
          </w:p>
        </w:tc>
        <w:tc>
          <w:tcPr>
            <w:tcW w:w="0" w:type="auto"/>
            <w:hideMark/>
          </w:tcPr>
          <w:p w14:paraId="31532A3B" w14:textId="77777777" w:rsidR="00CB22A9" w:rsidRPr="00CB22A9" w:rsidRDefault="00CB22A9" w:rsidP="00CB22A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22A9">
              <w:t>Thermal Efficiency</w:t>
            </w:r>
          </w:p>
        </w:tc>
        <w:tc>
          <w:tcPr>
            <w:tcW w:w="0" w:type="auto"/>
            <w:hideMark/>
          </w:tcPr>
          <w:p w14:paraId="5E87F54B" w14:textId="77777777" w:rsidR="00CB22A9" w:rsidRPr="00CB22A9" w:rsidRDefault="00CB22A9" w:rsidP="00CB22A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22A9">
              <w:t>O&amp;M Cost</w:t>
            </w:r>
          </w:p>
        </w:tc>
        <w:tc>
          <w:tcPr>
            <w:tcW w:w="0" w:type="auto"/>
            <w:hideMark/>
          </w:tcPr>
          <w:p w14:paraId="20DA329D" w14:textId="77777777" w:rsidR="00CB22A9" w:rsidRPr="00CB22A9" w:rsidRDefault="00CB22A9" w:rsidP="00CB22A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22A9">
              <w:t>Typical Operation</w:t>
            </w:r>
          </w:p>
        </w:tc>
      </w:tr>
      <w:tr w:rsidR="00CB22A9" w:rsidRPr="00CB22A9" w14:paraId="0C51CB5D" w14:textId="77777777" w:rsidTr="00CB2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A22172" w14:textId="0F9A89F6" w:rsidR="00CB22A9" w:rsidRPr="00CB22A9" w:rsidRDefault="00CB22A9" w:rsidP="00CB22A9">
            <w:pPr>
              <w:spacing w:after="160" w:line="259" w:lineRule="auto"/>
            </w:pPr>
            <w:proofErr w:type="spellStart"/>
            <w:r w:rsidRPr="00CB22A9">
              <w:t>Hitachinaka</w:t>
            </w:r>
            <w:proofErr w:type="spellEnd"/>
            <w:r w:rsidRPr="00CB22A9">
              <w:t xml:space="preserve"> (Ibaraki)</w:t>
            </w:r>
            <w:r w:rsidR="00827BA1">
              <w:t>.H</w:t>
            </w:r>
          </w:p>
        </w:tc>
        <w:tc>
          <w:tcPr>
            <w:tcW w:w="0" w:type="auto"/>
            <w:hideMark/>
          </w:tcPr>
          <w:p w14:paraId="4EE9CBE2" w14:textId="77777777" w:rsidR="00CB22A9" w:rsidRPr="00CB22A9" w:rsidRDefault="00CB22A9" w:rsidP="00CB22A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2A9">
              <w:t>2,000</w:t>
            </w:r>
          </w:p>
        </w:tc>
        <w:tc>
          <w:tcPr>
            <w:tcW w:w="0" w:type="auto"/>
            <w:hideMark/>
          </w:tcPr>
          <w:p w14:paraId="7A3F8327" w14:textId="77777777" w:rsidR="00CB22A9" w:rsidRPr="00CB22A9" w:rsidRDefault="00CB22A9" w:rsidP="00CB22A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2A9">
              <w:t>Coal – USC (2×1000 MW)</w:t>
            </w:r>
          </w:p>
        </w:tc>
        <w:tc>
          <w:tcPr>
            <w:tcW w:w="0" w:type="auto"/>
            <w:hideMark/>
          </w:tcPr>
          <w:p w14:paraId="71975824" w14:textId="77777777" w:rsidR="00CB22A9" w:rsidRPr="00CB22A9" w:rsidRDefault="00CB22A9" w:rsidP="00CB22A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2A9">
              <w:t>~43–44% (ultra-supercritical)</w:t>
            </w:r>
          </w:p>
        </w:tc>
        <w:tc>
          <w:tcPr>
            <w:tcW w:w="0" w:type="auto"/>
            <w:hideMark/>
          </w:tcPr>
          <w:p w14:paraId="561D4959" w14:textId="77777777" w:rsidR="00CB22A9" w:rsidRPr="00CB22A9" w:rsidRDefault="00CB22A9" w:rsidP="00CB22A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2A9">
              <w:t>~1.3 JPY/kWh</w:t>
            </w:r>
          </w:p>
        </w:tc>
        <w:tc>
          <w:tcPr>
            <w:tcW w:w="0" w:type="auto"/>
            <w:hideMark/>
          </w:tcPr>
          <w:p w14:paraId="3C93C74E" w14:textId="377CD1B8" w:rsidR="00CB22A9" w:rsidRPr="00CB22A9" w:rsidRDefault="00CB22A9" w:rsidP="00CB22A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2A9">
              <w:t xml:space="preserve">Base-load </w:t>
            </w:r>
          </w:p>
        </w:tc>
      </w:tr>
      <w:tr w:rsidR="00CB22A9" w:rsidRPr="00CB22A9" w14:paraId="03366061" w14:textId="77777777" w:rsidTr="00CB2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F361F6" w14:textId="6553F949" w:rsidR="00CB22A9" w:rsidRPr="00CB22A9" w:rsidRDefault="00CB22A9" w:rsidP="00CB22A9">
            <w:pPr>
              <w:spacing w:after="160" w:line="259" w:lineRule="auto"/>
            </w:pPr>
            <w:r w:rsidRPr="00CB22A9">
              <w:t>Hirono Units 5–6 (Fukushima)</w:t>
            </w:r>
            <w:r w:rsidR="00827BA1">
              <w:t>.H</w:t>
            </w:r>
          </w:p>
        </w:tc>
        <w:tc>
          <w:tcPr>
            <w:tcW w:w="0" w:type="auto"/>
            <w:hideMark/>
          </w:tcPr>
          <w:p w14:paraId="6C01F687" w14:textId="77777777" w:rsidR="00CB22A9" w:rsidRPr="00CB22A9" w:rsidRDefault="00CB22A9" w:rsidP="00CB22A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2A9">
              <w:t>1,800</w:t>
            </w:r>
          </w:p>
        </w:tc>
        <w:tc>
          <w:tcPr>
            <w:tcW w:w="0" w:type="auto"/>
            <w:hideMark/>
          </w:tcPr>
          <w:p w14:paraId="225B82EB" w14:textId="77777777" w:rsidR="00CB22A9" w:rsidRPr="00CB22A9" w:rsidRDefault="00CB22A9" w:rsidP="00CB22A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2A9">
              <w:t>Coal – USC (2×600 MW) + IGCC (~600 MW)</w:t>
            </w:r>
          </w:p>
        </w:tc>
        <w:tc>
          <w:tcPr>
            <w:tcW w:w="0" w:type="auto"/>
            <w:hideMark/>
          </w:tcPr>
          <w:p w14:paraId="2BBA3E2D" w14:textId="77777777" w:rsidR="00CB22A9" w:rsidRPr="00CB22A9" w:rsidRDefault="00CB22A9" w:rsidP="00CB22A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2A9">
              <w:t>~40% (USC units); ~42% (IGCC demo)</w:t>
            </w:r>
          </w:p>
        </w:tc>
        <w:tc>
          <w:tcPr>
            <w:tcW w:w="0" w:type="auto"/>
            <w:hideMark/>
          </w:tcPr>
          <w:p w14:paraId="22EFFECB" w14:textId="77777777" w:rsidR="00CB22A9" w:rsidRPr="00CB22A9" w:rsidRDefault="00CB22A9" w:rsidP="00CB22A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2A9">
              <w:t>~1.3 JPY/kWh</w:t>
            </w:r>
          </w:p>
        </w:tc>
        <w:tc>
          <w:tcPr>
            <w:tcW w:w="0" w:type="auto"/>
            <w:hideMark/>
          </w:tcPr>
          <w:p w14:paraId="6C0E7F4B" w14:textId="4A864C45" w:rsidR="00CB22A9" w:rsidRPr="00CB22A9" w:rsidRDefault="00CB22A9" w:rsidP="00CB22A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2A9">
              <w:t xml:space="preserve">Base-load </w:t>
            </w:r>
          </w:p>
        </w:tc>
      </w:tr>
      <w:tr w:rsidR="00CB22A9" w:rsidRPr="00CB22A9" w14:paraId="27A5AD82" w14:textId="77777777" w:rsidTr="00CB2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C0DBA" w14:textId="53D6EC0B" w:rsidR="00CB22A9" w:rsidRPr="00CB22A9" w:rsidRDefault="00CB22A9" w:rsidP="00CB22A9">
            <w:pPr>
              <w:spacing w:after="160" w:line="259" w:lineRule="auto"/>
            </w:pPr>
            <w:r w:rsidRPr="00CB22A9">
              <w:t>Yokosuka (Kanagawa</w:t>
            </w:r>
            <w:proofErr w:type="gramStart"/>
            <w:r w:rsidRPr="00CB22A9">
              <w:t>)</w:t>
            </w:r>
            <w:r w:rsidR="00827BA1">
              <w:t>.L</w:t>
            </w:r>
            <w:proofErr w:type="gramEnd"/>
          </w:p>
        </w:tc>
        <w:tc>
          <w:tcPr>
            <w:tcW w:w="0" w:type="auto"/>
            <w:hideMark/>
          </w:tcPr>
          <w:p w14:paraId="47478405" w14:textId="77777777" w:rsidR="00CB22A9" w:rsidRPr="00CB22A9" w:rsidRDefault="00CB22A9" w:rsidP="00CB22A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2A9">
              <w:t>1,300</w:t>
            </w:r>
          </w:p>
        </w:tc>
        <w:tc>
          <w:tcPr>
            <w:tcW w:w="0" w:type="auto"/>
            <w:hideMark/>
          </w:tcPr>
          <w:p w14:paraId="1DA0906E" w14:textId="77777777" w:rsidR="00CB22A9" w:rsidRPr="00CB22A9" w:rsidRDefault="00CB22A9" w:rsidP="00CB22A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2A9">
              <w:t>Coal – USC (2×650 MW)</w:t>
            </w:r>
          </w:p>
        </w:tc>
        <w:tc>
          <w:tcPr>
            <w:tcW w:w="0" w:type="auto"/>
            <w:hideMark/>
          </w:tcPr>
          <w:p w14:paraId="33D192EB" w14:textId="77777777" w:rsidR="00CB22A9" w:rsidRPr="00CB22A9" w:rsidRDefault="00CB22A9" w:rsidP="00CB22A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2A9">
              <w:t>~46% (new USC units)</w:t>
            </w:r>
          </w:p>
        </w:tc>
        <w:tc>
          <w:tcPr>
            <w:tcW w:w="0" w:type="auto"/>
            <w:hideMark/>
          </w:tcPr>
          <w:p w14:paraId="09FE1BBD" w14:textId="77777777" w:rsidR="00CB22A9" w:rsidRPr="00CB22A9" w:rsidRDefault="00CB22A9" w:rsidP="00CB22A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2A9">
              <w:t>~1.3 JPY/kWh</w:t>
            </w:r>
          </w:p>
        </w:tc>
        <w:tc>
          <w:tcPr>
            <w:tcW w:w="0" w:type="auto"/>
            <w:hideMark/>
          </w:tcPr>
          <w:p w14:paraId="747AD762" w14:textId="7E1725AB" w:rsidR="00CB22A9" w:rsidRPr="00CB22A9" w:rsidRDefault="00CB22A9" w:rsidP="00CB22A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2A9">
              <w:t xml:space="preserve">Mid-merit/Base-load – </w:t>
            </w:r>
            <w:r w:rsidRPr="00CB22A9">
              <w:rPr>
                <w:b/>
                <w:bCs/>
              </w:rPr>
              <w:t>New (2023)</w:t>
            </w:r>
            <w:r w:rsidRPr="00CB22A9">
              <w:t xml:space="preserve"> ultra-supercritical plant. </w:t>
            </w:r>
          </w:p>
        </w:tc>
      </w:tr>
      <w:tr w:rsidR="00CB22A9" w:rsidRPr="00CB22A9" w14:paraId="042E4560" w14:textId="77777777" w:rsidTr="00CB2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E2514" w14:textId="2CAA96DE" w:rsidR="00CB22A9" w:rsidRPr="00CB22A9" w:rsidRDefault="00CB22A9" w:rsidP="00CB22A9">
            <w:pPr>
              <w:spacing w:after="160" w:line="259" w:lineRule="auto"/>
            </w:pPr>
            <w:proofErr w:type="spellStart"/>
            <w:r w:rsidRPr="00CB22A9">
              <w:t>Hitachinaka</w:t>
            </w:r>
            <w:proofErr w:type="spellEnd"/>
            <w:r w:rsidRPr="00CB22A9">
              <w:t xml:space="preserve"> Joint (Ibaraki</w:t>
            </w:r>
            <w:proofErr w:type="gramStart"/>
            <w:r w:rsidRPr="00CB22A9">
              <w:t>)</w:t>
            </w:r>
            <w:r w:rsidR="00827BA1">
              <w:t>.L</w:t>
            </w:r>
            <w:proofErr w:type="gramEnd"/>
          </w:p>
        </w:tc>
        <w:tc>
          <w:tcPr>
            <w:tcW w:w="0" w:type="auto"/>
            <w:hideMark/>
          </w:tcPr>
          <w:p w14:paraId="45E1235E" w14:textId="77777777" w:rsidR="00CB22A9" w:rsidRPr="00CB22A9" w:rsidRDefault="00CB22A9" w:rsidP="00CB22A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2A9">
              <w:t>650</w:t>
            </w:r>
          </w:p>
        </w:tc>
        <w:tc>
          <w:tcPr>
            <w:tcW w:w="0" w:type="auto"/>
            <w:hideMark/>
          </w:tcPr>
          <w:p w14:paraId="6916A257" w14:textId="77777777" w:rsidR="00CB22A9" w:rsidRPr="00CB22A9" w:rsidRDefault="00CB22A9" w:rsidP="00CB22A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2A9">
              <w:t>Coal – USC (1×650 MW IPP)</w:t>
            </w:r>
          </w:p>
        </w:tc>
        <w:tc>
          <w:tcPr>
            <w:tcW w:w="0" w:type="auto"/>
            <w:hideMark/>
          </w:tcPr>
          <w:p w14:paraId="245ED19A" w14:textId="77777777" w:rsidR="00CB22A9" w:rsidRPr="00CB22A9" w:rsidRDefault="00CB22A9" w:rsidP="00CB22A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2A9">
              <w:t>~43% (modern USC)</w:t>
            </w:r>
          </w:p>
        </w:tc>
        <w:tc>
          <w:tcPr>
            <w:tcW w:w="0" w:type="auto"/>
            <w:hideMark/>
          </w:tcPr>
          <w:p w14:paraId="649BCD4C" w14:textId="77777777" w:rsidR="00CB22A9" w:rsidRPr="00CB22A9" w:rsidRDefault="00CB22A9" w:rsidP="00CB22A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2A9">
              <w:t>~1.3 JPY/kWh</w:t>
            </w:r>
          </w:p>
        </w:tc>
        <w:tc>
          <w:tcPr>
            <w:tcW w:w="0" w:type="auto"/>
            <w:hideMark/>
          </w:tcPr>
          <w:p w14:paraId="481FB9F8" w14:textId="64DFF496" w:rsidR="00CB22A9" w:rsidRPr="00CB22A9" w:rsidRDefault="00CB22A9" w:rsidP="00CB22A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2A9">
              <w:t xml:space="preserve">Base-load –Runs near full load on contracted basis to utility. </w:t>
            </w:r>
          </w:p>
        </w:tc>
      </w:tr>
      <w:tr w:rsidR="00CB22A9" w:rsidRPr="00CB22A9" w14:paraId="669A728F" w14:textId="77777777" w:rsidTr="00CB2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282506" w14:textId="40A331D7" w:rsidR="00CB22A9" w:rsidRPr="00CB22A9" w:rsidRDefault="00CB22A9" w:rsidP="00CB22A9">
            <w:pPr>
              <w:spacing w:after="160" w:line="259" w:lineRule="auto"/>
            </w:pPr>
            <w:r w:rsidRPr="00CB22A9">
              <w:lastRenderedPageBreak/>
              <w:t>Kashima Steel Works (Ibaraki</w:t>
            </w:r>
            <w:proofErr w:type="gramStart"/>
            <w:r w:rsidRPr="00CB22A9">
              <w:t>)</w:t>
            </w:r>
            <w:r w:rsidR="00827BA1">
              <w:t>.L</w:t>
            </w:r>
            <w:proofErr w:type="gramEnd"/>
          </w:p>
        </w:tc>
        <w:tc>
          <w:tcPr>
            <w:tcW w:w="0" w:type="auto"/>
            <w:hideMark/>
          </w:tcPr>
          <w:p w14:paraId="65215D60" w14:textId="77777777" w:rsidR="00CB22A9" w:rsidRPr="00CB22A9" w:rsidRDefault="00CB22A9" w:rsidP="00CB22A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2A9">
              <w:t>645</w:t>
            </w:r>
          </w:p>
        </w:tc>
        <w:tc>
          <w:tcPr>
            <w:tcW w:w="0" w:type="auto"/>
            <w:hideMark/>
          </w:tcPr>
          <w:p w14:paraId="4C081200" w14:textId="77777777" w:rsidR="00CB22A9" w:rsidRPr="00CB22A9" w:rsidRDefault="00CB22A9" w:rsidP="00CB22A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2A9">
              <w:t>Coal – USC CHP (1×645 MW)</w:t>
            </w:r>
          </w:p>
        </w:tc>
        <w:tc>
          <w:tcPr>
            <w:tcW w:w="0" w:type="auto"/>
            <w:hideMark/>
          </w:tcPr>
          <w:p w14:paraId="6CA779F1" w14:textId="77777777" w:rsidR="00CB22A9" w:rsidRPr="00CB22A9" w:rsidRDefault="00CB22A9" w:rsidP="00CB22A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2A9">
              <w:t>~42–44% (power gen efficiency)</w:t>
            </w:r>
          </w:p>
        </w:tc>
        <w:tc>
          <w:tcPr>
            <w:tcW w:w="0" w:type="auto"/>
            <w:hideMark/>
          </w:tcPr>
          <w:p w14:paraId="6FFDFAA0" w14:textId="77777777" w:rsidR="00CB22A9" w:rsidRPr="00CB22A9" w:rsidRDefault="00CB22A9" w:rsidP="00CB22A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2A9">
              <w:t>~1.3+ JPY/kWh (incl. CHP costs)</w:t>
            </w:r>
          </w:p>
        </w:tc>
        <w:tc>
          <w:tcPr>
            <w:tcW w:w="0" w:type="auto"/>
            <w:hideMark/>
          </w:tcPr>
          <w:p w14:paraId="7D84B180" w14:textId="1A4D5052" w:rsidR="00CB22A9" w:rsidRPr="00CB22A9" w:rsidRDefault="00CB22A9" w:rsidP="00CB22A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2A9">
              <w:t xml:space="preserve">Base-load/CHP </w:t>
            </w:r>
          </w:p>
        </w:tc>
      </w:tr>
    </w:tbl>
    <w:p w14:paraId="4EAC2C04" w14:textId="77777777" w:rsidR="0086219C" w:rsidRDefault="0086219C" w:rsidP="00386A32"/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675"/>
        <w:gridCol w:w="1272"/>
        <w:gridCol w:w="1055"/>
        <w:gridCol w:w="1465"/>
        <w:gridCol w:w="1204"/>
        <w:gridCol w:w="2345"/>
      </w:tblGrid>
      <w:tr w:rsidR="0086219C" w:rsidRPr="0086219C" w14:paraId="29EFEDC7" w14:textId="77777777" w:rsidTr="00862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49EF180" w14:textId="77777777" w:rsidR="0086219C" w:rsidRDefault="0086219C" w:rsidP="0086219C">
            <w:pPr>
              <w:spacing w:after="160" w:line="259" w:lineRule="auto"/>
              <w:rPr>
                <w:b w:val="0"/>
                <w:bCs w:val="0"/>
              </w:rPr>
            </w:pPr>
            <w:r w:rsidRPr="0086219C">
              <w:t>Plant (Prefecture)</w:t>
            </w:r>
          </w:p>
          <w:p w14:paraId="5B05F977" w14:textId="5AAA87FC" w:rsidR="0086219C" w:rsidRPr="0086219C" w:rsidRDefault="0086219C" w:rsidP="0086219C">
            <w:pPr>
              <w:spacing w:after="160" w:line="259" w:lineRule="auto"/>
              <w:rPr>
                <w:b w:val="0"/>
                <w:bCs w:val="0"/>
              </w:rPr>
            </w:pPr>
            <w:r>
              <w:t>Oil</w:t>
            </w:r>
          </w:p>
        </w:tc>
        <w:tc>
          <w:tcPr>
            <w:tcW w:w="0" w:type="auto"/>
            <w:hideMark/>
          </w:tcPr>
          <w:p w14:paraId="0F40389A" w14:textId="77777777" w:rsidR="0086219C" w:rsidRPr="0086219C" w:rsidRDefault="0086219C" w:rsidP="0086219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219C">
              <w:t>Net Capacity (MW)</w:t>
            </w:r>
          </w:p>
        </w:tc>
        <w:tc>
          <w:tcPr>
            <w:tcW w:w="0" w:type="auto"/>
            <w:hideMark/>
          </w:tcPr>
          <w:p w14:paraId="2DC834C7" w14:textId="77777777" w:rsidR="0086219C" w:rsidRPr="0086219C" w:rsidRDefault="0086219C" w:rsidP="0086219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219C">
              <w:t>Fuel</w:t>
            </w:r>
          </w:p>
        </w:tc>
        <w:tc>
          <w:tcPr>
            <w:tcW w:w="0" w:type="auto"/>
            <w:hideMark/>
          </w:tcPr>
          <w:p w14:paraId="749D7F0C" w14:textId="77777777" w:rsidR="0086219C" w:rsidRPr="0086219C" w:rsidRDefault="0086219C" w:rsidP="0086219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219C">
              <w:t>Thermal Efficiency</w:t>
            </w:r>
          </w:p>
        </w:tc>
        <w:tc>
          <w:tcPr>
            <w:tcW w:w="0" w:type="auto"/>
            <w:hideMark/>
          </w:tcPr>
          <w:p w14:paraId="591FD782" w14:textId="77777777" w:rsidR="0086219C" w:rsidRPr="0086219C" w:rsidRDefault="0086219C" w:rsidP="0086219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219C">
              <w:t>O&amp;M Cost</w:t>
            </w:r>
          </w:p>
        </w:tc>
        <w:tc>
          <w:tcPr>
            <w:tcW w:w="0" w:type="auto"/>
            <w:hideMark/>
          </w:tcPr>
          <w:p w14:paraId="359B82A6" w14:textId="77777777" w:rsidR="0086219C" w:rsidRPr="0086219C" w:rsidRDefault="0086219C" w:rsidP="0086219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219C">
              <w:t>Typical Operation</w:t>
            </w:r>
          </w:p>
        </w:tc>
      </w:tr>
      <w:tr w:rsidR="0086219C" w:rsidRPr="0086219C" w14:paraId="46CF08C2" w14:textId="77777777" w:rsidTr="00862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81AC1A" w14:textId="753C7D65" w:rsidR="0086219C" w:rsidRPr="0086219C" w:rsidRDefault="0086219C" w:rsidP="0086219C">
            <w:pPr>
              <w:spacing w:after="160" w:line="259" w:lineRule="auto"/>
            </w:pPr>
            <w:r w:rsidRPr="0086219C">
              <w:t>Oi Thermal (Tokyo</w:t>
            </w:r>
            <w:proofErr w:type="gramStart"/>
            <w:r w:rsidRPr="0086219C">
              <w:t>)</w:t>
            </w:r>
            <w:r w:rsidR="00827BA1">
              <w:t>.L</w:t>
            </w:r>
            <w:proofErr w:type="gramEnd"/>
          </w:p>
        </w:tc>
        <w:tc>
          <w:tcPr>
            <w:tcW w:w="0" w:type="auto"/>
            <w:hideMark/>
          </w:tcPr>
          <w:p w14:paraId="2DB46638" w14:textId="77777777" w:rsidR="0086219C" w:rsidRPr="0086219C" w:rsidRDefault="0086219C" w:rsidP="008621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19C">
              <w:t>1,050</w:t>
            </w:r>
          </w:p>
        </w:tc>
        <w:tc>
          <w:tcPr>
            <w:tcW w:w="0" w:type="auto"/>
            <w:hideMark/>
          </w:tcPr>
          <w:p w14:paraId="7CC24716" w14:textId="77777777" w:rsidR="0086219C" w:rsidRPr="0086219C" w:rsidRDefault="0086219C" w:rsidP="008621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19C">
              <w:t>Heavy Oil (crude)</w:t>
            </w:r>
          </w:p>
        </w:tc>
        <w:tc>
          <w:tcPr>
            <w:tcW w:w="0" w:type="auto"/>
            <w:hideMark/>
          </w:tcPr>
          <w:p w14:paraId="442E018A" w14:textId="77777777" w:rsidR="0086219C" w:rsidRPr="0086219C" w:rsidRDefault="0086219C" w:rsidP="008621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19C">
              <w:t>~36–38% (vintage steam)</w:t>
            </w:r>
          </w:p>
        </w:tc>
        <w:tc>
          <w:tcPr>
            <w:tcW w:w="0" w:type="auto"/>
            <w:hideMark/>
          </w:tcPr>
          <w:p w14:paraId="33FDF05D" w14:textId="77777777" w:rsidR="0086219C" w:rsidRPr="0086219C" w:rsidRDefault="0086219C" w:rsidP="008621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19C">
              <w:t>~1.6 JPY/kWh</w:t>
            </w:r>
          </w:p>
        </w:tc>
        <w:tc>
          <w:tcPr>
            <w:tcW w:w="0" w:type="auto"/>
            <w:hideMark/>
          </w:tcPr>
          <w:p w14:paraId="2FFAE279" w14:textId="048252BD" w:rsidR="0086219C" w:rsidRPr="0086219C" w:rsidRDefault="0086219C" w:rsidP="008621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19C">
              <w:t xml:space="preserve">Emergency reserve </w:t>
            </w:r>
          </w:p>
        </w:tc>
      </w:tr>
      <w:tr w:rsidR="0086219C" w:rsidRPr="0086219C" w14:paraId="1DFF6286" w14:textId="77777777" w:rsidTr="00862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8FDB4A" w14:textId="164F4391" w:rsidR="0086219C" w:rsidRPr="0086219C" w:rsidRDefault="0086219C" w:rsidP="0086219C">
            <w:pPr>
              <w:spacing w:after="160" w:line="259" w:lineRule="auto"/>
            </w:pPr>
            <w:r w:rsidRPr="0086219C">
              <w:t>Kashima-Kita (Ibaraki, IPP</w:t>
            </w:r>
            <w:proofErr w:type="gramStart"/>
            <w:r w:rsidRPr="0086219C">
              <w:t>)</w:t>
            </w:r>
            <w:r w:rsidR="00827BA1">
              <w:t>.L</w:t>
            </w:r>
            <w:proofErr w:type="gramEnd"/>
          </w:p>
        </w:tc>
        <w:tc>
          <w:tcPr>
            <w:tcW w:w="0" w:type="auto"/>
            <w:hideMark/>
          </w:tcPr>
          <w:p w14:paraId="1CDC4D13" w14:textId="77777777" w:rsidR="0086219C" w:rsidRPr="0086219C" w:rsidRDefault="0086219C" w:rsidP="008621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19C">
              <w:t>650</w:t>
            </w:r>
          </w:p>
        </w:tc>
        <w:tc>
          <w:tcPr>
            <w:tcW w:w="0" w:type="auto"/>
            <w:hideMark/>
          </w:tcPr>
          <w:p w14:paraId="4A85854E" w14:textId="77777777" w:rsidR="0086219C" w:rsidRPr="0086219C" w:rsidRDefault="0086219C" w:rsidP="008621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19C">
              <w:t>Heavy Oil / Gas</w:t>
            </w:r>
          </w:p>
        </w:tc>
        <w:tc>
          <w:tcPr>
            <w:tcW w:w="0" w:type="auto"/>
            <w:hideMark/>
          </w:tcPr>
          <w:p w14:paraId="7F57CC09" w14:textId="77777777" w:rsidR="0086219C" w:rsidRPr="0086219C" w:rsidRDefault="0086219C" w:rsidP="008621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19C">
              <w:t>~38–40% (dual-fuel steam)</w:t>
            </w:r>
          </w:p>
        </w:tc>
        <w:tc>
          <w:tcPr>
            <w:tcW w:w="0" w:type="auto"/>
            <w:hideMark/>
          </w:tcPr>
          <w:p w14:paraId="663B7924" w14:textId="77777777" w:rsidR="0086219C" w:rsidRPr="0086219C" w:rsidRDefault="0086219C" w:rsidP="008621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19C">
              <w:t>~1.5+ JPY/kWh (est.)</w:t>
            </w:r>
          </w:p>
        </w:tc>
        <w:tc>
          <w:tcPr>
            <w:tcW w:w="0" w:type="auto"/>
            <w:hideMark/>
          </w:tcPr>
          <w:p w14:paraId="12A34E4C" w14:textId="16ACBF5B" w:rsidR="0086219C" w:rsidRPr="0086219C" w:rsidRDefault="0086219C" w:rsidP="008621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19C">
              <w:t xml:space="preserve">Peak/contract supply Not typically run </w:t>
            </w:r>
            <w:proofErr w:type="gramStart"/>
            <w:r w:rsidRPr="0086219C">
              <w:t>base-load</w:t>
            </w:r>
            <w:proofErr w:type="gramEnd"/>
            <w:r w:rsidRPr="0086219C">
              <w:t xml:space="preserve"> due to fuel cost.</w:t>
            </w:r>
          </w:p>
        </w:tc>
      </w:tr>
    </w:tbl>
    <w:p w14:paraId="705694BF" w14:textId="77777777" w:rsidR="0006213A" w:rsidRDefault="0006213A" w:rsidP="00386A32"/>
    <w:p w14:paraId="1D9FD78F" w14:textId="3B6796F8" w:rsidR="00386A32" w:rsidRDefault="00386A32" w:rsidP="00386A32">
      <w:r>
        <w:t xml:space="preserve">Questions </w:t>
      </w:r>
    </w:p>
    <w:p w14:paraId="6106C427" w14:textId="7B0C015F" w:rsidR="00386A32" w:rsidRDefault="00386A32" w:rsidP="00386A32">
      <w:r>
        <w:t xml:space="preserve">Interconnectors take a large proportion first look at the capacity of the lines, then you can see when these lines are likely not to be full. </w:t>
      </w:r>
      <w:r w:rsidR="002B058E">
        <w:t>i</w:t>
      </w:r>
      <w:r>
        <w:t>.e. when these are not at capacity, hypotheses maybe in the early morning there is not much demand, so all treated as one block.</w:t>
      </w:r>
    </w:p>
    <w:p w14:paraId="2C8DC0DE" w14:textId="64E51847" w:rsidR="00386A32" w:rsidRDefault="00386A32" w:rsidP="00386A32">
      <w:r>
        <w:t>Now in these other regions there is going to be some factor which allows them to transport energy maybe they naturally over produce energy. Maybe they have a large wind amount or solar amount all of these will affect how much energy gets transported to Tokyo.</w:t>
      </w:r>
    </w:p>
    <w:p w14:paraId="29903CA4" w14:textId="77777777" w:rsidR="00386A32" w:rsidRDefault="00386A32" w:rsidP="00386A32"/>
    <w:p w14:paraId="4F82582D" w14:textId="77777777" w:rsidR="00CE3D0C" w:rsidRPr="00CE3D0C" w:rsidRDefault="00CE3D0C" w:rsidP="00CE3D0C">
      <w:pPr>
        <w:rPr>
          <w:b/>
          <w:bCs/>
        </w:rPr>
      </w:pPr>
      <w:r w:rsidRPr="00CE3D0C">
        <w:rPr>
          <w:b/>
          <w:bCs/>
        </w:rPr>
        <w:t>Slide: Hypotheses Overview</w:t>
      </w:r>
    </w:p>
    <w:p w14:paraId="567D8BB1" w14:textId="77777777" w:rsidR="00CE3D0C" w:rsidRPr="00CE3D0C" w:rsidRDefault="00CE3D0C" w:rsidP="00CE3D0C">
      <w:r w:rsidRPr="00CE3D0C">
        <w:rPr>
          <w:b/>
          <w:bCs/>
        </w:rPr>
        <w:t>Title:</w:t>
      </w:r>
      <w:r w:rsidRPr="00CE3D0C">
        <w:t xml:space="preserve"> Key Hypotheses &amp; Analytical Approach</w:t>
      </w:r>
    </w:p>
    <w:p w14:paraId="2964DADF" w14:textId="77777777" w:rsidR="00CE3D0C" w:rsidRPr="00CE3D0C" w:rsidRDefault="00CE3D0C" w:rsidP="00CE3D0C">
      <w:pPr>
        <w:numPr>
          <w:ilvl w:val="0"/>
          <w:numId w:val="2"/>
        </w:numPr>
      </w:pPr>
      <w:r w:rsidRPr="00CE3D0C">
        <w:t>We test six main hypotheses linking grid structure, market coupling and physical flows to spot–imbalance dynamics</w:t>
      </w:r>
    </w:p>
    <w:p w14:paraId="1D2D6120" w14:textId="77777777" w:rsidR="00CE3D0C" w:rsidRPr="00CE3D0C" w:rsidRDefault="00CE3D0C" w:rsidP="00CE3D0C">
      <w:pPr>
        <w:numPr>
          <w:ilvl w:val="0"/>
          <w:numId w:val="2"/>
        </w:numPr>
      </w:pPr>
      <w:r w:rsidRPr="00CE3D0C">
        <w:t>Each hypothesis is examined via time-series statistics and scatter/box plots (graphs to follow)</w:t>
      </w:r>
    </w:p>
    <w:p w14:paraId="70F3C05E" w14:textId="77777777" w:rsidR="00CE3D0C" w:rsidRPr="00CE3D0C" w:rsidRDefault="00CE3D0C" w:rsidP="00CE3D0C">
      <w:pPr>
        <w:numPr>
          <w:ilvl w:val="0"/>
          <w:numId w:val="2"/>
        </w:numPr>
      </w:pPr>
      <w:r w:rsidRPr="00CE3D0C">
        <w:t>Insights will guide feature selection for our predictive model</w:t>
      </w:r>
    </w:p>
    <w:p w14:paraId="5227DBBF" w14:textId="77777777" w:rsidR="00CE3D0C" w:rsidRPr="00CE3D0C" w:rsidRDefault="00CE3D0C" w:rsidP="00CE3D0C">
      <w:r w:rsidRPr="00CE3D0C">
        <w:pict w14:anchorId="015FBC57">
          <v:rect id="_x0000_i1109" style="width:0;height:1.5pt" o:hralign="center" o:hrstd="t" o:hr="t" fillcolor="#a0a0a0" stroked="f"/>
        </w:pict>
      </w:r>
    </w:p>
    <w:p w14:paraId="5E260321" w14:textId="77777777" w:rsidR="00CE3D0C" w:rsidRPr="00CE3D0C" w:rsidRDefault="00CE3D0C" w:rsidP="00CE3D0C">
      <w:pPr>
        <w:rPr>
          <w:b/>
          <w:bCs/>
        </w:rPr>
      </w:pPr>
      <w:r w:rsidRPr="00CE3D0C">
        <w:rPr>
          <w:b/>
          <w:bCs/>
        </w:rPr>
        <w:t>Slide: H1 – Pure Area Inclusion Effect</w:t>
      </w:r>
    </w:p>
    <w:p w14:paraId="7352F389" w14:textId="77777777" w:rsidR="00CE3D0C" w:rsidRPr="00CE3D0C" w:rsidRDefault="00CE3D0C" w:rsidP="00CE3D0C">
      <w:r w:rsidRPr="00CE3D0C">
        <w:rPr>
          <w:b/>
          <w:bCs/>
        </w:rPr>
        <w:t>Title:</w:t>
      </w:r>
      <w:r w:rsidRPr="00CE3D0C">
        <w:t xml:space="preserve"> H1: Impact of Area Count in Wide-Area Block</w:t>
      </w:r>
    </w:p>
    <w:p w14:paraId="5055B3D9" w14:textId="77777777" w:rsidR="00CE3D0C" w:rsidRPr="00CE3D0C" w:rsidRDefault="00CE3D0C" w:rsidP="00CE3D0C">
      <w:pPr>
        <w:numPr>
          <w:ilvl w:val="0"/>
          <w:numId w:val="3"/>
        </w:numPr>
      </w:pPr>
      <w:r w:rsidRPr="00CE3D0C">
        <w:rPr>
          <w:b/>
          <w:bCs/>
        </w:rPr>
        <w:t>Premise:</w:t>
      </w:r>
      <w:r w:rsidRPr="00CE3D0C">
        <w:t xml:space="preserve"> Tokyo is typically highest-cost; adding more areas into its imbalance block pulls merit-order curve down</w:t>
      </w:r>
    </w:p>
    <w:p w14:paraId="02E16706" w14:textId="77777777" w:rsidR="00CE3D0C" w:rsidRPr="00CE3D0C" w:rsidRDefault="00CE3D0C" w:rsidP="00CE3D0C">
      <w:pPr>
        <w:numPr>
          <w:ilvl w:val="0"/>
          <w:numId w:val="3"/>
        </w:numPr>
      </w:pPr>
      <w:r w:rsidRPr="00CE3D0C">
        <w:rPr>
          <w:b/>
          <w:bCs/>
        </w:rPr>
        <w:lastRenderedPageBreak/>
        <w:t>Expectation:</w:t>
      </w:r>
      <w:r w:rsidRPr="00CE3D0C">
        <w:t xml:space="preserve"> As the number of service areas in Tokyo’s real-time balancing region increases, mean Tokyo imbalance</w:t>
      </w:r>
      <w:r w:rsidRPr="00CE3D0C">
        <w:rPr>
          <w:rFonts w:ascii="Arial" w:hAnsi="Arial" w:cs="Arial"/>
        </w:rPr>
        <w:t> </w:t>
      </w:r>
      <w:r w:rsidRPr="00CE3D0C">
        <w:rPr>
          <w:rFonts w:ascii="Aptos" w:hAnsi="Aptos" w:cs="Aptos"/>
        </w:rPr>
        <w:t>–</w:t>
      </w:r>
      <w:r w:rsidRPr="00CE3D0C">
        <w:rPr>
          <w:rFonts w:ascii="Arial" w:hAnsi="Arial" w:cs="Arial"/>
        </w:rPr>
        <w:t> </w:t>
      </w:r>
      <w:r w:rsidRPr="00CE3D0C">
        <w:t>spot spread decreases</w:t>
      </w:r>
    </w:p>
    <w:p w14:paraId="1C3A06D5" w14:textId="77777777" w:rsidR="00CE3D0C" w:rsidRPr="00CE3D0C" w:rsidRDefault="00CE3D0C" w:rsidP="00CE3D0C">
      <w:pPr>
        <w:numPr>
          <w:ilvl w:val="0"/>
          <w:numId w:val="3"/>
        </w:numPr>
      </w:pPr>
      <w:r w:rsidRPr="00CE3D0C">
        <w:rPr>
          <w:b/>
          <w:bCs/>
        </w:rPr>
        <w:t>Graph:</w:t>
      </w:r>
      <w:r w:rsidRPr="00CE3D0C">
        <w:t xml:space="preserve"> Yearly mean spread vs. count of included areas</w:t>
      </w:r>
    </w:p>
    <w:p w14:paraId="7924CEF4" w14:textId="77777777" w:rsidR="00CE3D0C" w:rsidRPr="00CE3D0C" w:rsidRDefault="00CE3D0C" w:rsidP="00CE3D0C">
      <w:r w:rsidRPr="00CE3D0C">
        <w:pict w14:anchorId="50C9184A">
          <v:rect id="_x0000_i1110" style="width:0;height:1.5pt" o:hralign="center" o:hrstd="t" o:hr="t" fillcolor="#a0a0a0" stroked="f"/>
        </w:pict>
      </w:r>
    </w:p>
    <w:p w14:paraId="1424529E" w14:textId="77777777" w:rsidR="00CE3D0C" w:rsidRPr="00CE3D0C" w:rsidRDefault="00CE3D0C" w:rsidP="00CE3D0C">
      <w:pPr>
        <w:rPr>
          <w:b/>
          <w:bCs/>
        </w:rPr>
      </w:pPr>
      <w:r w:rsidRPr="00CE3D0C">
        <w:rPr>
          <w:b/>
          <w:bCs/>
        </w:rPr>
        <w:t xml:space="preserve">Slide: H2 – </w:t>
      </w:r>
      <w:proofErr w:type="spellStart"/>
      <w:r w:rsidRPr="00CE3D0C">
        <w:rPr>
          <w:b/>
          <w:bCs/>
        </w:rPr>
        <w:t>Neighboring</w:t>
      </w:r>
      <w:proofErr w:type="spellEnd"/>
      <w:r w:rsidRPr="00CE3D0C">
        <w:rPr>
          <w:b/>
          <w:bCs/>
        </w:rPr>
        <w:t xml:space="preserve"> Region Composition</w:t>
      </w:r>
    </w:p>
    <w:p w14:paraId="50822122" w14:textId="77777777" w:rsidR="00CE3D0C" w:rsidRPr="00CE3D0C" w:rsidRDefault="00CE3D0C" w:rsidP="00CE3D0C">
      <w:r w:rsidRPr="00CE3D0C">
        <w:rPr>
          <w:b/>
          <w:bCs/>
        </w:rPr>
        <w:t>Title:</w:t>
      </w:r>
      <w:r w:rsidRPr="00CE3D0C">
        <w:t xml:space="preserve"> H2: Influence of Tohoku/Wind–Solar Exports</w:t>
      </w:r>
    </w:p>
    <w:p w14:paraId="2B3DF5DC" w14:textId="77777777" w:rsidR="00CE3D0C" w:rsidRPr="00CE3D0C" w:rsidRDefault="00CE3D0C" w:rsidP="00CE3D0C">
      <w:pPr>
        <w:numPr>
          <w:ilvl w:val="0"/>
          <w:numId w:val="4"/>
        </w:numPr>
      </w:pPr>
      <w:r w:rsidRPr="00CE3D0C">
        <w:rPr>
          <w:b/>
          <w:bCs/>
        </w:rPr>
        <w:t>Premise:</w:t>
      </w:r>
      <w:r w:rsidRPr="00CE3D0C">
        <w:t xml:space="preserve"> Tohoku’s abundant renewables export to Tokyo; export volumes track </w:t>
      </w:r>
      <w:proofErr w:type="spellStart"/>
      <w:r w:rsidRPr="00CE3D0C">
        <w:t>solar+wind</w:t>
      </w:r>
      <w:proofErr w:type="spellEnd"/>
      <w:r w:rsidRPr="00CE3D0C">
        <w:t xml:space="preserve"> forecasts</w:t>
      </w:r>
    </w:p>
    <w:p w14:paraId="030DD0F7" w14:textId="77777777" w:rsidR="00CE3D0C" w:rsidRPr="00CE3D0C" w:rsidRDefault="00CE3D0C" w:rsidP="00CE3D0C">
      <w:pPr>
        <w:numPr>
          <w:ilvl w:val="0"/>
          <w:numId w:val="4"/>
        </w:numPr>
      </w:pPr>
      <w:r w:rsidRPr="00CE3D0C">
        <w:rPr>
          <w:b/>
          <w:bCs/>
        </w:rPr>
        <w:t>Expectation:</w:t>
      </w:r>
      <w:r w:rsidRPr="00CE3D0C">
        <w:t xml:space="preserve"> High Tohoku renewables → larger physical flows → tighter Tokyo balancing block → imbalance</w:t>
      </w:r>
      <w:r w:rsidRPr="00CE3D0C">
        <w:rPr>
          <w:rFonts w:ascii="Arial" w:hAnsi="Arial" w:cs="Arial"/>
        </w:rPr>
        <w:t> </w:t>
      </w:r>
      <w:r w:rsidRPr="00CE3D0C">
        <w:t>&gt;</w:t>
      </w:r>
      <w:r w:rsidRPr="00CE3D0C">
        <w:rPr>
          <w:rFonts w:ascii="Arial" w:hAnsi="Arial" w:cs="Arial"/>
        </w:rPr>
        <w:t> </w:t>
      </w:r>
      <w:r w:rsidRPr="00CE3D0C">
        <w:t>spot</w:t>
      </w:r>
    </w:p>
    <w:p w14:paraId="4416579E" w14:textId="77777777" w:rsidR="00CE3D0C" w:rsidRPr="00CE3D0C" w:rsidRDefault="00CE3D0C" w:rsidP="00CE3D0C">
      <w:pPr>
        <w:numPr>
          <w:ilvl w:val="0"/>
          <w:numId w:val="4"/>
        </w:numPr>
      </w:pPr>
      <w:r w:rsidRPr="00CE3D0C">
        <w:rPr>
          <w:b/>
          <w:bCs/>
        </w:rPr>
        <w:t>Graph:</w:t>
      </w:r>
      <w:r w:rsidRPr="00CE3D0C">
        <w:t xml:space="preserve"> Tokyo imbalance</w:t>
      </w:r>
      <w:r w:rsidRPr="00CE3D0C">
        <w:rPr>
          <w:rFonts w:ascii="Arial" w:hAnsi="Arial" w:cs="Arial"/>
        </w:rPr>
        <w:t> </w:t>
      </w:r>
      <w:r w:rsidRPr="00CE3D0C">
        <w:rPr>
          <w:rFonts w:ascii="Aptos" w:hAnsi="Aptos" w:cs="Aptos"/>
        </w:rPr>
        <w:t>–</w:t>
      </w:r>
      <w:r w:rsidRPr="00CE3D0C">
        <w:rPr>
          <w:rFonts w:ascii="Arial" w:hAnsi="Arial" w:cs="Arial"/>
        </w:rPr>
        <w:t> </w:t>
      </w:r>
      <w:r w:rsidRPr="00CE3D0C">
        <w:t>spot vs. Tohoku export (MW)</w:t>
      </w:r>
    </w:p>
    <w:p w14:paraId="282C119C" w14:textId="77777777" w:rsidR="00CE3D0C" w:rsidRPr="00CE3D0C" w:rsidRDefault="00CE3D0C" w:rsidP="00CE3D0C">
      <w:r w:rsidRPr="00CE3D0C">
        <w:pict w14:anchorId="4DB5C20C">
          <v:rect id="_x0000_i1111" style="width:0;height:1.5pt" o:hralign="center" o:hrstd="t" o:hr="t" fillcolor="#a0a0a0" stroked="f"/>
        </w:pict>
      </w:r>
    </w:p>
    <w:p w14:paraId="3DAC438C" w14:textId="77777777" w:rsidR="00CE3D0C" w:rsidRPr="00CE3D0C" w:rsidRDefault="00CE3D0C" w:rsidP="00CE3D0C">
      <w:pPr>
        <w:rPr>
          <w:b/>
          <w:bCs/>
        </w:rPr>
      </w:pPr>
      <w:r w:rsidRPr="00CE3D0C">
        <w:rPr>
          <w:b/>
          <w:bCs/>
        </w:rPr>
        <w:t>Slide: H3 – Hour-of-Day Block Effects</w:t>
      </w:r>
    </w:p>
    <w:p w14:paraId="14A81C57" w14:textId="77777777" w:rsidR="00CE3D0C" w:rsidRPr="00CE3D0C" w:rsidRDefault="00CE3D0C" w:rsidP="00CE3D0C">
      <w:r w:rsidRPr="00CE3D0C">
        <w:rPr>
          <w:b/>
          <w:bCs/>
        </w:rPr>
        <w:t>Title:</w:t>
      </w:r>
      <w:r w:rsidRPr="00CE3D0C">
        <w:t xml:space="preserve"> H3: Diurnal Block Composition Changes</w:t>
      </w:r>
    </w:p>
    <w:p w14:paraId="1053FE37" w14:textId="77777777" w:rsidR="00CE3D0C" w:rsidRPr="00CE3D0C" w:rsidRDefault="00CE3D0C" w:rsidP="00CE3D0C">
      <w:pPr>
        <w:numPr>
          <w:ilvl w:val="0"/>
          <w:numId w:val="5"/>
        </w:numPr>
      </w:pPr>
      <w:r w:rsidRPr="00CE3D0C">
        <w:rPr>
          <w:b/>
          <w:bCs/>
        </w:rPr>
        <w:t>Premise:</w:t>
      </w:r>
      <w:r w:rsidRPr="00CE3D0C">
        <w:t xml:space="preserve"> Certain 30-min blocks group Tokyo with different </w:t>
      </w:r>
      <w:proofErr w:type="spellStart"/>
      <w:r w:rsidRPr="00CE3D0C">
        <w:t>neighbors</w:t>
      </w:r>
      <w:proofErr w:type="spellEnd"/>
      <w:r w:rsidRPr="00CE3D0C">
        <w:t xml:space="preserve"> (e.g. midnight vs. peak)</w:t>
      </w:r>
    </w:p>
    <w:p w14:paraId="014C37D6" w14:textId="77777777" w:rsidR="00CE3D0C" w:rsidRPr="00CE3D0C" w:rsidRDefault="00CE3D0C" w:rsidP="00CE3D0C">
      <w:pPr>
        <w:numPr>
          <w:ilvl w:val="0"/>
          <w:numId w:val="5"/>
        </w:numPr>
      </w:pPr>
      <w:r w:rsidRPr="00CE3D0C">
        <w:rPr>
          <w:b/>
          <w:bCs/>
        </w:rPr>
        <w:t>Expectation:</w:t>
      </w:r>
      <w:r w:rsidRPr="00CE3D0C">
        <w:t xml:space="preserve"> Blocks where Tokyo stands alone show larger positive imbalance</w:t>
      </w:r>
      <w:r w:rsidRPr="00CE3D0C">
        <w:rPr>
          <w:rFonts w:ascii="Arial" w:hAnsi="Arial" w:cs="Arial"/>
        </w:rPr>
        <w:t> </w:t>
      </w:r>
      <w:r w:rsidRPr="00CE3D0C">
        <w:rPr>
          <w:rFonts w:ascii="Aptos" w:hAnsi="Aptos" w:cs="Aptos"/>
        </w:rPr>
        <w:t>–</w:t>
      </w:r>
      <w:r w:rsidRPr="00CE3D0C">
        <w:rPr>
          <w:rFonts w:ascii="Arial" w:hAnsi="Arial" w:cs="Arial"/>
        </w:rPr>
        <w:t> </w:t>
      </w:r>
      <w:r w:rsidRPr="00CE3D0C">
        <w:t>spot; midday and evening join largest blocks with muted spreads</w:t>
      </w:r>
    </w:p>
    <w:p w14:paraId="6406B487" w14:textId="77777777" w:rsidR="00CE3D0C" w:rsidRPr="00CE3D0C" w:rsidRDefault="00CE3D0C" w:rsidP="00CE3D0C">
      <w:pPr>
        <w:numPr>
          <w:ilvl w:val="0"/>
          <w:numId w:val="5"/>
        </w:numPr>
      </w:pPr>
      <w:r w:rsidRPr="00CE3D0C">
        <w:rPr>
          <w:b/>
          <w:bCs/>
        </w:rPr>
        <w:t>Graph:</w:t>
      </w:r>
      <w:r w:rsidRPr="00CE3D0C">
        <w:t xml:space="preserve"> Mean spread by hour/block</w:t>
      </w:r>
    </w:p>
    <w:p w14:paraId="70488A30" w14:textId="77777777" w:rsidR="00CE3D0C" w:rsidRPr="00CE3D0C" w:rsidRDefault="00CE3D0C" w:rsidP="00CE3D0C">
      <w:r w:rsidRPr="00CE3D0C">
        <w:pict w14:anchorId="50E232A1">
          <v:rect id="_x0000_i1112" style="width:0;height:1.5pt" o:hralign="center" o:hrstd="t" o:hr="t" fillcolor="#a0a0a0" stroked="f"/>
        </w:pict>
      </w:r>
    </w:p>
    <w:p w14:paraId="29EA555D" w14:textId="77777777" w:rsidR="00CE3D0C" w:rsidRPr="00CE3D0C" w:rsidRDefault="00CE3D0C" w:rsidP="00CE3D0C">
      <w:pPr>
        <w:rPr>
          <w:b/>
          <w:bCs/>
        </w:rPr>
      </w:pPr>
      <w:r w:rsidRPr="00CE3D0C">
        <w:rPr>
          <w:b/>
          <w:bCs/>
        </w:rPr>
        <w:t>Slide: H4 – Tightness Index (Correction Fee)</w:t>
      </w:r>
    </w:p>
    <w:p w14:paraId="1DD9A96E" w14:textId="77777777" w:rsidR="00CE3D0C" w:rsidRPr="00CE3D0C" w:rsidRDefault="00CE3D0C" w:rsidP="00CE3D0C">
      <w:r w:rsidRPr="00CE3D0C">
        <w:rPr>
          <w:b/>
          <w:bCs/>
        </w:rPr>
        <w:t>Title:</w:t>
      </w:r>
      <w:r w:rsidRPr="00CE3D0C">
        <w:t xml:space="preserve"> H4: Role of Wide-Area Reserve Margin</w:t>
      </w:r>
    </w:p>
    <w:p w14:paraId="42458FDE" w14:textId="77777777" w:rsidR="00CE3D0C" w:rsidRPr="00CE3D0C" w:rsidRDefault="00CE3D0C" w:rsidP="00CE3D0C">
      <w:pPr>
        <w:numPr>
          <w:ilvl w:val="0"/>
          <w:numId w:val="6"/>
        </w:numPr>
      </w:pPr>
      <w:r w:rsidRPr="00CE3D0C">
        <w:rPr>
          <w:b/>
          <w:bCs/>
        </w:rPr>
        <w:t>Premise:</w:t>
      </w:r>
      <w:r w:rsidRPr="00CE3D0C">
        <w:t xml:space="preserve"> When reserve margin dips below thresholds, a surcharge (¥200</w:t>
      </w:r>
      <w:r w:rsidRPr="00CE3D0C">
        <w:rPr>
          <w:rFonts w:ascii="Arial" w:hAnsi="Arial" w:cs="Arial"/>
        </w:rPr>
        <w:t> </w:t>
      </w:r>
      <w:r w:rsidRPr="00CE3D0C">
        <w:t>/</w:t>
      </w:r>
      <w:r w:rsidRPr="00CE3D0C">
        <w:rPr>
          <w:rFonts w:ascii="Arial" w:hAnsi="Arial" w:cs="Arial"/>
        </w:rPr>
        <w:t> </w:t>
      </w:r>
      <w:r w:rsidRPr="00CE3D0C">
        <w:t>kWh cap) applies to imbalance pricing</w:t>
      </w:r>
    </w:p>
    <w:p w14:paraId="01AD0641" w14:textId="77777777" w:rsidR="00CE3D0C" w:rsidRPr="00CE3D0C" w:rsidRDefault="00CE3D0C" w:rsidP="00CE3D0C">
      <w:pPr>
        <w:numPr>
          <w:ilvl w:val="0"/>
          <w:numId w:val="6"/>
        </w:numPr>
      </w:pPr>
      <w:r w:rsidRPr="00CE3D0C">
        <w:rPr>
          <w:b/>
          <w:bCs/>
        </w:rPr>
        <w:t>Expectation:</w:t>
      </w:r>
      <w:r w:rsidRPr="00CE3D0C">
        <w:t xml:space="preserve"> Low margin blocks exhibit pronounced positive imbalance</w:t>
      </w:r>
      <w:r w:rsidRPr="00CE3D0C">
        <w:rPr>
          <w:rFonts w:ascii="Arial" w:hAnsi="Arial" w:cs="Arial"/>
        </w:rPr>
        <w:t> </w:t>
      </w:r>
      <w:r w:rsidRPr="00CE3D0C">
        <w:rPr>
          <w:rFonts w:ascii="Aptos" w:hAnsi="Aptos" w:cs="Aptos"/>
        </w:rPr>
        <w:t>–</w:t>
      </w:r>
      <w:r w:rsidRPr="00CE3D0C">
        <w:rPr>
          <w:rFonts w:ascii="Arial" w:hAnsi="Arial" w:cs="Arial"/>
        </w:rPr>
        <w:t> </w:t>
      </w:r>
      <w:r w:rsidRPr="00CE3D0C">
        <w:t>spot spreads; margin index is a leading indicator of surcharge events</w:t>
      </w:r>
    </w:p>
    <w:p w14:paraId="65D58D7B" w14:textId="77777777" w:rsidR="00CE3D0C" w:rsidRPr="00CE3D0C" w:rsidRDefault="00CE3D0C" w:rsidP="00CE3D0C">
      <w:pPr>
        <w:numPr>
          <w:ilvl w:val="0"/>
          <w:numId w:val="6"/>
        </w:numPr>
      </w:pPr>
      <w:r w:rsidRPr="00CE3D0C">
        <w:rPr>
          <w:b/>
          <w:bCs/>
        </w:rPr>
        <w:t>Graph:</w:t>
      </w:r>
      <w:r w:rsidRPr="00CE3D0C">
        <w:t xml:space="preserve"> Spread vs. reserve-margin index</w:t>
      </w:r>
    </w:p>
    <w:p w14:paraId="4CA1856C" w14:textId="77777777" w:rsidR="00CE3D0C" w:rsidRPr="00CE3D0C" w:rsidRDefault="00CE3D0C" w:rsidP="00CE3D0C">
      <w:r w:rsidRPr="00CE3D0C">
        <w:pict w14:anchorId="10BD3663">
          <v:rect id="_x0000_i1113" style="width:0;height:1.5pt" o:hralign="center" o:hrstd="t" o:hr="t" fillcolor="#a0a0a0" stroked="f"/>
        </w:pict>
      </w:r>
    </w:p>
    <w:p w14:paraId="6B8853A1" w14:textId="77777777" w:rsidR="00CE3D0C" w:rsidRPr="00CE3D0C" w:rsidRDefault="00CE3D0C" w:rsidP="00CE3D0C">
      <w:pPr>
        <w:rPr>
          <w:b/>
          <w:bCs/>
        </w:rPr>
      </w:pPr>
      <w:r w:rsidRPr="00CE3D0C">
        <w:rPr>
          <w:b/>
          <w:bCs/>
        </w:rPr>
        <w:t>Slide: H5 – Exchange Physical Flows</w:t>
      </w:r>
    </w:p>
    <w:p w14:paraId="67FD27B2" w14:textId="77777777" w:rsidR="00CE3D0C" w:rsidRPr="00CE3D0C" w:rsidRDefault="00CE3D0C" w:rsidP="00CE3D0C">
      <w:r w:rsidRPr="00CE3D0C">
        <w:rPr>
          <w:b/>
          <w:bCs/>
        </w:rPr>
        <w:t>Title:</w:t>
      </w:r>
      <w:r w:rsidRPr="00CE3D0C">
        <w:t xml:space="preserve"> H5: Interconnector Loading &amp; Decoupling</w:t>
      </w:r>
    </w:p>
    <w:p w14:paraId="75E8BA31" w14:textId="77777777" w:rsidR="00CE3D0C" w:rsidRPr="00CE3D0C" w:rsidRDefault="00CE3D0C" w:rsidP="00CE3D0C">
      <w:pPr>
        <w:numPr>
          <w:ilvl w:val="0"/>
          <w:numId w:val="7"/>
        </w:numPr>
      </w:pPr>
      <w:r w:rsidRPr="00CE3D0C">
        <w:rPr>
          <w:b/>
          <w:bCs/>
        </w:rPr>
        <w:t>Premise:</w:t>
      </w:r>
      <w:r w:rsidRPr="00CE3D0C">
        <w:t xml:space="preserve"> High cross-area flows indicate binding congestion, splitting balancing areas and decoupling prices</w:t>
      </w:r>
    </w:p>
    <w:p w14:paraId="7C3BE488" w14:textId="77777777" w:rsidR="00CE3D0C" w:rsidRPr="00CE3D0C" w:rsidRDefault="00CE3D0C" w:rsidP="00CE3D0C">
      <w:pPr>
        <w:numPr>
          <w:ilvl w:val="0"/>
          <w:numId w:val="7"/>
        </w:numPr>
      </w:pPr>
      <w:r w:rsidRPr="00CE3D0C">
        <w:rPr>
          <w:b/>
          <w:bCs/>
        </w:rPr>
        <w:t>Expectation:</w:t>
      </w:r>
      <w:r w:rsidRPr="00CE3D0C">
        <w:t xml:space="preserve"> As flow</w:t>
      </w:r>
      <w:r w:rsidRPr="00CE3D0C">
        <w:rPr>
          <w:rFonts w:ascii="Arial" w:hAnsi="Arial" w:cs="Arial"/>
        </w:rPr>
        <w:t> </w:t>
      </w:r>
      <w:r w:rsidRPr="00CE3D0C">
        <w:t>/</w:t>
      </w:r>
      <w:r w:rsidRPr="00CE3D0C">
        <w:rPr>
          <w:rFonts w:ascii="Arial" w:hAnsi="Arial" w:cs="Arial"/>
        </w:rPr>
        <w:t> </w:t>
      </w:r>
      <w:r w:rsidRPr="00CE3D0C">
        <w:t>ATC ratio on key ties approaches 1.0, Tokyo imbalance price diverges sharply from coupled-area average</w:t>
      </w:r>
    </w:p>
    <w:p w14:paraId="20BB23A1" w14:textId="77777777" w:rsidR="00CE3D0C" w:rsidRPr="00CE3D0C" w:rsidRDefault="00CE3D0C" w:rsidP="00CE3D0C">
      <w:pPr>
        <w:numPr>
          <w:ilvl w:val="0"/>
          <w:numId w:val="7"/>
        </w:numPr>
      </w:pPr>
      <w:r w:rsidRPr="00CE3D0C">
        <w:rPr>
          <w:b/>
          <w:bCs/>
        </w:rPr>
        <w:lastRenderedPageBreak/>
        <w:t>Graph:</w:t>
      </w:r>
      <w:r w:rsidRPr="00CE3D0C">
        <w:t xml:space="preserve"> Spread vs. flow</w:t>
      </w:r>
      <w:r w:rsidRPr="00CE3D0C">
        <w:rPr>
          <w:rFonts w:ascii="Arial" w:hAnsi="Arial" w:cs="Arial"/>
        </w:rPr>
        <w:t> </w:t>
      </w:r>
      <w:r w:rsidRPr="00CE3D0C">
        <w:t>/</w:t>
      </w:r>
      <w:r w:rsidRPr="00CE3D0C">
        <w:rPr>
          <w:rFonts w:ascii="Arial" w:hAnsi="Arial" w:cs="Arial"/>
        </w:rPr>
        <w:t> </w:t>
      </w:r>
      <w:r w:rsidRPr="00CE3D0C">
        <w:t>ATC on Tokyo</w:t>
      </w:r>
      <w:r w:rsidRPr="00CE3D0C">
        <w:rPr>
          <w:rFonts w:ascii="Aptos" w:hAnsi="Aptos" w:cs="Aptos"/>
        </w:rPr>
        <w:t>–</w:t>
      </w:r>
      <w:r w:rsidRPr="00CE3D0C">
        <w:t>Tohoku and Tokyo</w:t>
      </w:r>
      <w:r w:rsidRPr="00CE3D0C">
        <w:rPr>
          <w:rFonts w:ascii="Aptos" w:hAnsi="Aptos" w:cs="Aptos"/>
        </w:rPr>
        <w:t>–</w:t>
      </w:r>
      <w:r w:rsidRPr="00CE3D0C">
        <w:t>Chubu ties</w:t>
      </w:r>
    </w:p>
    <w:p w14:paraId="46529275" w14:textId="77777777" w:rsidR="00CE3D0C" w:rsidRPr="00CE3D0C" w:rsidRDefault="00CE3D0C" w:rsidP="00CE3D0C">
      <w:r w:rsidRPr="00CE3D0C">
        <w:pict w14:anchorId="45DC3D05">
          <v:rect id="_x0000_i1114" style="width:0;height:1.5pt" o:hralign="center" o:hrstd="t" o:hr="t" fillcolor="#a0a0a0" stroked="f"/>
        </w:pict>
      </w:r>
    </w:p>
    <w:p w14:paraId="68C96A78" w14:textId="77777777" w:rsidR="00CE3D0C" w:rsidRPr="00CE3D0C" w:rsidRDefault="00CE3D0C" w:rsidP="00CE3D0C">
      <w:pPr>
        <w:rPr>
          <w:b/>
          <w:bCs/>
        </w:rPr>
      </w:pPr>
      <w:r w:rsidRPr="00CE3D0C">
        <w:rPr>
          <w:b/>
          <w:bCs/>
        </w:rPr>
        <w:t>Slide: H6 – Hydro Pumped Storage Patterns</w:t>
      </w:r>
    </w:p>
    <w:p w14:paraId="120660E0" w14:textId="77777777" w:rsidR="00CE3D0C" w:rsidRPr="00CE3D0C" w:rsidRDefault="00CE3D0C" w:rsidP="00CE3D0C">
      <w:r w:rsidRPr="00CE3D0C">
        <w:rPr>
          <w:b/>
          <w:bCs/>
        </w:rPr>
        <w:t>Title:</w:t>
      </w:r>
      <w:r w:rsidRPr="00CE3D0C">
        <w:t xml:space="preserve"> H6: Pumped-Storage Fill/Pump Cycles</w:t>
      </w:r>
    </w:p>
    <w:p w14:paraId="19BF3EB4" w14:textId="77777777" w:rsidR="00CE3D0C" w:rsidRPr="00CE3D0C" w:rsidRDefault="00CE3D0C" w:rsidP="00CE3D0C">
      <w:pPr>
        <w:numPr>
          <w:ilvl w:val="0"/>
          <w:numId w:val="8"/>
        </w:numPr>
      </w:pPr>
      <w:r w:rsidRPr="00CE3D0C">
        <w:rPr>
          <w:b/>
          <w:bCs/>
        </w:rPr>
        <w:t>Premise:</w:t>
      </w:r>
      <w:r w:rsidRPr="00CE3D0C">
        <w:t xml:space="preserve"> Storage units fill during low-price hours (≈12:00) and pump at high-price hours (≈18:00)</w:t>
      </w:r>
    </w:p>
    <w:p w14:paraId="58D54440" w14:textId="77777777" w:rsidR="00CE3D0C" w:rsidRPr="00CE3D0C" w:rsidRDefault="00CE3D0C" w:rsidP="00CE3D0C">
      <w:pPr>
        <w:numPr>
          <w:ilvl w:val="0"/>
          <w:numId w:val="8"/>
        </w:numPr>
      </w:pPr>
      <w:r w:rsidRPr="00CE3D0C">
        <w:rPr>
          <w:b/>
          <w:bCs/>
        </w:rPr>
        <w:t>Expectation:</w:t>
      </w:r>
      <w:r w:rsidRPr="00CE3D0C">
        <w:t xml:space="preserve"> High pumping volumes at 18:00 correlate with negative imbalance</w:t>
      </w:r>
      <w:r w:rsidRPr="00CE3D0C">
        <w:rPr>
          <w:rFonts w:ascii="Arial" w:hAnsi="Arial" w:cs="Arial"/>
        </w:rPr>
        <w:t> </w:t>
      </w:r>
      <w:r w:rsidRPr="00CE3D0C">
        <w:rPr>
          <w:rFonts w:ascii="Aptos" w:hAnsi="Aptos" w:cs="Aptos"/>
        </w:rPr>
        <w:t>–</w:t>
      </w:r>
      <w:r w:rsidRPr="00CE3D0C">
        <w:rPr>
          <w:rFonts w:ascii="Arial" w:hAnsi="Arial" w:cs="Arial"/>
        </w:rPr>
        <w:t> </w:t>
      </w:r>
      <w:r w:rsidRPr="00CE3D0C">
        <w:t>spot spreads (imbalance</w:t>
      </w:r>
      <w:r w:rsidRPr="00CE3D0C">
        <w:rPr>
          <w:rFonts w:ascii="Arial" w:hAnsi="Arial" w:cs="Arial"/>
        </w:rPr>
        <w:t> </w:t>
      </w:r>
      <w:r w:rsidRPr="00CE3D0C">
        <w:t>&lt;</w:t>
      </w:r>
      <w:r w:rsidRPr="00CE3D0C">
        <w:rPr>
          <w:rFonts w:ascii="Arial" w:hAnsi="Arial" w:cs="Arial"/>
        </w:rPr>
        <w:t> </w:t>
      </w:r>
      <w:r w:rsidRPr="00CE3D0C">
        <w:t>spot), filling at 12:00 aligns with positive spreads</w:t>
      </w:r>
    </w:p>
    <w:p w14:paraId="08A82252" w14:textId="77777777" w:rsidR="00CE3D0C" w:rsidRPr="00CE3D0C" w:rsidRDefault="00CE3D0C" w:rsidP="00CE3D0C">
      <w:pPr>
        <w:numPr>
          <w:ilvl w:val="0"/>
          <w:numId w:val="8"/>
        </w:numPr>
      </w:pPr>
      <w:r w:rsidRPr="00CE3D0C">
        <w:rPr>
          <w:b/>
          <w:bCs/>
        </w:rPr>
        <w:t>Graph:</w:t>
      </w:r>
      <w:r w:rsidRPr="00CE3D0C">
        <w:t xml:space="preserve"> Spread vs. hydro net-flow (pump</w:t>
      </w:r>
      <w:r w:rsidRPr="00CE3D0C">
        <w:rPr>
          <w:rFonts w:ascii="Arial" w:hAnsi="Arial" w:cs="Arial"/>
        </w:rPr>
        <w:t> </w:t>
      </w:r>
      <w:r w:rsidRPr="00CE3D0C">
        <w:rPr>
          <w:rFonts w:ascii="Aptos" w:hAnsi="Aptos" w:cs="Aptos"/>
        </w:rPr>
        <w:t>–</w:t>
      </w:r>
      <w:r w:rsidRPr="00CE3D0C">
        <w:rPr>
          <w:rFonts w:ascii="Arial" w:hAnsi="Arial" w:cs="Arial"/>
        </w:rPr>
        <w:t> </w:t>
      </w:r>
      <w:r w:rsidRPr="00CE3D0C">
        <w:t>generation) by hour</w:t>
      </w:r>
    </w:p>
    <w:p w14:paraId="353959D0" w14:textId="77777777" w:rsidR="00CE3D0C" w:rsidRPr="00CE3D0C" w:rsidRDefault="00CE3D0C" w:rsidP="00CE3D0C">
      <w:r w:rsidRPr="00CE3D0C">
        <w:pict w14:anchorId="2D1DC67A">
          <v:rect id="_x0000_i1115" style="width:0;height:1.5pt" o:hralign="center" o:hrstd="t" o:hr="t" fillcolor="#a0a0a0" stroked="f"/>
        </w:pict>
      </w:r>
    </w:p>
    <w:p w14:paraId="743758FA" w14:textId="77777777" w:rsidR="00CE3D0C" w:rsidRPr="00CE3D0C" w:rsidRDefault="00CE3D0C" w:rsidP="00CE3D0C">
      <w:r w:rsidRPr="00CE3D0C">
        <w:t>Feel free to tweak wording or reorder slides as needed—then just drop in your charts under each!</w:t>
      </w:r>
    </w:p>
    <w:p w14:paraId="0A5D558D" w14:textId="77777777" w:rsidR="00CE3D0C" w:rsidRPr="00CE3D0C" w:rsidRDefault="00CE3D0C" w:rsidP="00CE3D0C">
      <w:pPr>
        <w:rPr>
          <w:b/>
          <w:bCs/>
        </w:rPr>
      </w:pPr>
      <w:r w:rsidRPr="00CE3D0C">
        <w:rPr>
          <w:b/>
          <w:bCs/>
        </w:rPr>
        <w:t>You said:</w:t>
      </w:r>
    </w:p>
    <w:p w14:paraId="39A7B6E6" w14:textId="77777777" w:rsidR="00CE3D0C" w:rsidRPr="00CE3D0C" w:rsidRDefault="00CE3D0C" w:rsidP="00CE3D0C">
      <w:r w:rsidRPr="00CE3D0C">
        <w:t xml:space="preserve">Ok this is </w:t>
      </w:r>
      <w:proofErr w:type="gramStart"/>
      <w:r w:rsidRPr="00CE3D0C">
        <w:t>really good</w:t>
      </w:r>
      <w:proofErr w:type="gramEnd"/>
      <w:r w:rsidRPr="00CE3D0C">
        <w:t xml:space="preserve"> expect for the first slide can you just mention the 6 hypotheses and then link do the linking </w:t>
      </w:r>
    </w:p>
    <w:p w14:paraId="722063A1" w14:textId="77777777" w:rsidR="00CE3D0C" w:rsidRPr="00CE3D0C" w:rsidRDefault="00CE3D0C" w:rsidP="00CE3D0C">
      <w:pPr>
        <w:rPr>
          <w:b/>
          <w:bCs/>
        </w:rPr>
      </w:pPr>
      <w:r w:rsidRPr="00CE3D0C">
        <w:rPr>
          <w:b/>
          <w:bCs/>
        </w:rPr>
        <w:t>ChatGPT said:</w:t>
      </w:r>
    </w:p>
    <w:p w14:paraId="5F9AFBAA" w14:textId="77777777" w:rsidR="00CE3D0C" w:rsidRPr="00CE3D0C" w:rsidRDefault="00CE3D0C" w:rsidP="00CE3D0C">
      <w:r w:rsidRPr="00CE3D0C">
        <w:t>Thought for 4 seconds</w:t>
      </w:r>
    </w:p>
    <w:p w14:paraId="57B5A36A" w14:textId="77777777" w:rsidR="00CE3D0C" w:rsidRPr="00CE3D0C" w:rsidRDefault="00CE3D0C" w:rsidP="00CE3D0C">
      <w:r w:rsidRPr="00CE3D0C">
        <w:t>Here’s the revised deck with an updated first (overview) slide:</w:t>
      </w:r>
    </w:p>
    <w:p w14:paraId="6E4B009B" w14:textId="77777777" w:rsidR="00CE3D0C" w:rsidRPr="00CE3D0C" w:rsidRDefault="00CE3D0C" w:rsidP="00CE3D0C">
      <w:r w:rsidRPr="00CE3D0C">
        <w:pict w14:anchorId="6A54121B">
          <v:rect id="_x0000_i1116" style="width:0;height:1.5pt" o:hralign="center" o:hrstd="t" o:hr="t" fillcolor="#a0a0a0" stroked="f"/>
        </w:pict>
      </w:r>
    </w:p>
    <w:p w14:paraId="4E63381D" w14:textId="77777777" w:rsidR="00CE3D0C" w:rsidRPr="00CE3D0C" w:rsidRDefault="00CE3D0C" w:rsidP="00CE3D0C">
      <w:pPr>
        <w:rPr>
          <w:b/>
          <w:bCs/>
        </w:rPr>
      </w:pPr>
      <w:r w:rsidRPr="00CE3D0C">
        <w:rPr>
          <w:b/>
          <w:bCs/>
        </w:rPr>
        <w:t>Slide 1: Hypotheses Overview</w:t>
      </w:r>
    </w:p>
    <w:p w14:paraId="4F6C8979" w14:textId="77777777" w:rsidR="00CE3D0C" w:rsidRPr="00CE3D0C" w:rsidRDefault="00CE3D0C" w:rsidP="00CE3D0C">
      <w:r w:rsidRPr="00CE3D0C">
        <w:rPr>
          <w:b/>
          <w:bCs/>
        </w:rPr>
        <w:t>Title:</w:t>
      </w:r>
      <w:r w:rsidRPr="00CE3D0C">
        <w:t xml:space="preserve"> Hypotheses Overview</w:t>
      </w:r>
    </w:p>
    <w:p w14:paraId="11E2D81A" w14:textId="77777777" w:rsidR="00CE3D0C" w:rsidRPr="00CE3D0C" w:rsidRDefault="00CE3D0C" w:rsidP="00CE3D0C">
      <w:pPr>
        <w:numPr>
          <w:ilvl w:val="0"/>
          <w:numId w:val="9"/>
        </w:numPr>
      </w:pPr>
      <w:r w:rsidRPr="00CE3D0C">
        <w:rPr>
          <w:b/>
          <w:bCs/>
        </w:rPr>
        <w:t>H1:</w:t>
      </w:r>
      <w:r w:rsidRPr="00CE3D0C">
        <w:t xml:space="preserve"> Impact of Wide-Area Block Size (Pure Area Inclusion)</w:t>
      </w:r>
    </w:p>
    <w:p w14:paraId="46891B90" w14:textId="77777777" w:rsidR="00CE3D0C" w:rsidRPr="00CE3D0C" w:rsidRDefault="00CE3D0C" w:rsidP="00CE3D0C">
      <w:pPr>
        <w:numPr>
          <w:ilvl w:val="0"/>
          <w:numId w:val="9"/>
        </w:numPr>
      </w:pPr>
      <w:r w:rsidRPr="00CE3D0C">
        <w:rPr>
          <w:b/>
          <w:bCs/>
        </w:rPr>
        <w:t>H2:</w:t>
      </w:r>
      <w:r w:rsidRPr="00CE3D0C">
        <w:t xml:space="preserve"> Influence of Tohoku Renewable Exports</w:t>
      </w:r>
    </w:p>
    <w:p w14:paraId="14F32D0B" w14:textId="77777777" w:rsidR="00CE3D0C" w:rsidRPr="00CE3D0C" w:rsidRDefault="00CE3D0C" w:rsidP="00CE3D0C">
      <w:pPr>
        <w:numPr>
          <w:ilvl w:val="0"/>
          <w:numId w:val="9"/>
        </w:numPr>
      </w:pPr>
      <w:r w:rsidRPr="00CE3D0C">
        <w:rPr>
          <w:b/>
          <w:bCs/>
        </w:rPr>
        <w:t>H3:</w:t>
      </w:r>
      <w:r w:rsidRPr="00CE3D0C">
        <w:t xml:space="preserve"> Hour-of-Day Block Composition Effects</w:t>
      </w:r>
    </w:p>
    <w:p w14:paraId="5013CEA5" w14:textId="77777777" w:rsidR="00CE3D0C" w:rsidRPr="00CE3D0C" w:rsidRDefault="00CE3D0C" w:rsidP="00CE3D0C">
      <w:pPr>
        <w:numPr>
          <w:ilvl w:val="0"/>
          <w:numId w:val="9"/>
        </w:numPr>
      </w:pPr>
      <w:r w:rsidRPr="00CE3D0C">
        <w:rPr>
          <w:b/>
          <w:bCs/>
        </w:rPr>
        <w:t>H4:</w:t>
      </w:r>
      <w:r w:rsidRPr="00CE3D0C">
        <w:t xml:space="preserve"> Tightness Index (Reserve-Margin Surcharge)</w:t>
      </w:r>
    </w:p>
    <w:p w14:paraId="22EB6D01" w14:textId="77777777" w:rsidR="00CE3D0C" w:rsidRPr="00CE3D0C" w:rsidRDefault="00CE3D0C" w:rsidP="00CE3D0C">
      <w:pPr>
        <w:numPr>
          <w:ilvl w:val="0"/>
          <w:numId w:val="9"/>
        </w:numPr>
      </w:pPr>
      <w:r w:rsidRPr="00CE3D0C">
        <w:rPr>
          <w:b/>
          <w:bCs/>
        </w:rPr>
        <w:t>H5:</w:t>
      </w:r>
      <w:r w:rsidRPr="00CE3D0C">
        <w:t xml:space="preserve"> Interconnector Loading &amp; Price Decoupling</w:t>
      </w:r>
    </w:p>
    <w:p w14:paraId="3CC189C5" w14:textId="77777777" w:rsidR="00CE3D0C" w:rsidRPr="00CE3D0C" w:rsidRDefault="00CE3D0C" w:rsidP="00CE3D0C">
      <w:pPr>
        <w:numPr>
          <w:ilvl w:val="0"/>
          <w:numId w:val="9"/>
        </w:numPr>
      </w:pPr>
      <w:r w:rsidRPr="00CE3D0C">
        <w:rPr>
          <w:b/>
          <w:bCs/>
        </w:rPr>
        <w:t>H6:</w:t>
      </w:r>
      <w:r w:rsidRPr="00CE3D0C">
        <w:t xml:space="preserve"> Pumped-Storage Fill/Pump Cycle Patterns</w:t>
      </w:r>
    </w:p>
    <w:p w14:paraId="67CF0C34" w14:textId="77777777" w:rsidR="00CE3D0C" w:rsidRPr="00CE3D0C" w:rsidRDefault="00CE3D0C" w:rsidP="00CE3D0C">
      <w:r w:rsidRPr="00CE3D0C">
        <w:rPr>
          <w:i/>
          <w:iCs/>
        </w:rPr>
        <w:t>Each hypothesis is detailed with supporting charts on the following slides.</w:t>
      </w:r>
    </w:p>
    <w:p w14:paraId="0D14053B" w14:textId="77777777" w:rsidR="00CE3D0C" w:rsidRPr="00CE3D0C" w:rsidRDefault="00CE3D0C" w:rsidP="00CE3D0C">
      <w:r w:rsidRPr="00CE3D0C">
        <w:pict w14:anchorId="36478334">
          <v:rect id="_x0000_i1117" style="width:0;height:1.5pt" o:hralign="center" o:hrstd="t" o:hr="t" fillcolor="#a0a0a0" stroked="f"/>
        </w:pict>
      </w:r>
    </w:p>
    <w:p w14:paraId="54194FD8" w14:textId="77777777" w:rsidR="00CE3D0C" w:rsidRPr="00CE3D0C" w:rsidRDefault="00CE3D0C" w:rsidP="00CE3D0C">
      <w:pPr>
        <w:rPr>
          <w:b/>
          <w:bCs/>
        </w:rPr>
      </w:pPr>
      <w:r w:rsidRPr="00CE3D0C">
        <w:rPr>
          <w:b/>
          <w:bCs/>
        </w:rPr>
        <w:t>Slide 2: H1 – Pure Area Inclusion Effect</w:t>
      </w:r>
    </w:p>
    <w:p w14:paraId="6A190023" w14:textId="77777777" w:rsidR="00CE3D0C" w:rsidRPr="00CE3D0C" w:rsidRDefault="00CE3D0C" w:rsidP="00CE3D0C">
      <w:r w:rsidRPr="00CE3D0C">
        <w:rPr>
          <w:b/>
          <w:bCs/>
        </w:rPr>
        <w:t>Title:</w:t>
      </w:r>
      <w:r w:rsidRPr="00CE3D0C">
        <w:t xml:space="preserve"> H1: Impact of Area Count in Wide-Area Block</w:t>
      </w:r>
    </w:p>
    <w:p w14:paraId="5C27236B" w14:textId="77777777" w:rsidR="00CE3D0C" w:rsidRPr="00CE3D0C" w:rsidRDefault="00CE3D0C" w:rsidP="00CE3D0C">
      <w:pPr>
        <w:numPr>
          <w:ilvl w:val="0"/>
          <w:numId w:val="10"/>
        </w:numPr>
      </w:pPr>
      <w:r w:rsidRPr="00CE3D0C">
        <w:rPr>
          <w:b/>
          <w:bCs/>
        </w:rPr>
        <w:t>Premise:</w:t>
      </w:r>
      <w:r w:rsidRPr="00CE3D0C">
        <w:t xml:space="preserve"> Tokyo is typically highest-cost; adding more areas into its imbalance block pulls merit-order curve down</w:t>
      </w:r>
    </w:p>
    <w:p w14:paraId="64869E81" w14:textId="77777777" w:rsidR="00CE3D0C" w:rsidRPr="00CE3D0C" w:rsidRDefault="00CE3D0C" w:rsidP="00CE3D0C">
      <w:pPr>
        <w:numPr>
          <w:ilvl w:val="0"/>
          <w:numId w:val="10"/>
        </w:numPr>
      </w:pPr>
      <w:r w:rsidRPr="00CE3D0C">
        <w:rPr>
          <w:b/>
          <w:bCs/>
        </w:rPr>
        <w:lastRenderedPageBreak/>
        <w:t>Expectation:</w:t>
      </w:r>
      <w:r w:rsidRPr="00CE3D0C">
        <w:t xml:space="preserve"> As the number of service areas in Tokyo’s real-time balancing region increases, mean Tokyo imbalance</w:t>
      </w:r>
      <w:r w:rsidRPr="00CE3D0C">
        <w:rPr>
          <w:rFonts w:ascii="Arial" w:hAnsi="Arial" w:cs="Arial"/>
        </w:rPr>
        <w:t> </w:t>
      </w:r>
      <w:r w:rsidRPr="00CE3D0C">
        <w:rPr>
          <w:rFonts w:ascii="Aptos" w:hAnsi="Aptos" w:cs="Aptos"/>
        </w:rPr>
        <w:t>–</w:t>
      </w:r>
      <w:r w:rsidRPr="00CE3D0C">
        <w:rPr>
          <w:rFonts w:ascii="Arial" w:hAnsi="Arial" w:cs="Arial"/>
        </w:rPr>
        <w:t> </w:t>
      </w:r>
      <w:r w:rsidRPr="00CE3D0C">
        <w:t>spot spread decreases</w:t>
      </w:r>
    </w:p>
    <w:p w14:paraId="1B7BA484" w14:textId="77777777" w:rsidR="00CE3D0C" w:rsidRPr="00CE3D0C" w:rsidRDefault="00CE3D0C" w:rsidP="00CE3D0C">
      <w:pPr>
        <w:numPr>
          <w:ilvl w:val="0"/>
          <w:numId w:val="10"/>
        </w:numPr>
      </w:pPr>
      <w:r w:rsidRPr="00CE3D0C">
        <w:rPr>
          <w:b/>
          <w:bCs/>
        </w:rPr>
        <w:t>Graph:</w:t>
      </w:r>
      <w:r w:rsidRPr="00CE3D0C">
        <w:t xml:space="preserve"> Yearly mean spread vs. count of included areas</w:t>
      </w:r>
    </w:p>
    <w:p w14:paraId="716313C6" w14:textId="77777777" w:rsidR="00CE3D0C" w:rsidRPr="00CE3D0C" w:rsidRDefault="00CE3D0C" w:rsidP="00CE3D0C">
      <w:r w:rsidRPr="00CE3D0C">
        <w:pict w14:anchorId="70814338">
          <v:rect id="_x0000_i1118" style="width:0;height:1.5pt" o:hralign="center" o:hrstd="t" o:hr="t" fillcolor="#a0a0a0" stroked="f"/>
        </w:pict>
      </w:r>
    </w:p>
    <w:p w14:paraId="00FA7923" w14:textId="77777777" w:rsidR="00CE3D0C" w:rsidRPr="00CE3D0C" w:rsidRDefault="00CE3D0C" w:rsidP="00CE3D0C">
      <w:pPr>
        <w:rPr>
          <w:b/>
          <w:bCs/>
        </w:rPr>
      </w:pPr>
      <w:r w:rsidRPr="00CE3D0C">
        <w:rPr>
          <w:b/>
          <w:bCs/>
        </w:rPr>
        <w:t xml:space="preserve">Slide 3: H2 – </w:t>
      </w:r>
      <w:proofErr w:type="spellStart"/>
      <w:r w:rsidRPr="00CE3D0C">
        <w:rPr>
          <w:b/>
          <w:bCs/>
        </w:rPr>
        <w:t>Neighboring</w:t>
      </w:r>
      <w:proofErr w:type="spellEnd"/>
      <w:r w:rsidRPr="00CE3D0C">
        <w:rPr>
          <w:b/>
          <w:bCs/>
        </w:rPr>
        <w:t xml:space="preserve"> Region Composition</w:t>
      </w:r>
    </w:p>
    <w:p w14:paraId="2405DDE7" w14:textId="77777777" w:rsidR="00CE3D0C" w:rsidRPr="00CE3D0C" w:rsidRDefault="00CE3D0C" w:rsidP="00CE3D0C">
      <w:r w:rsidRPr="00CE3D0C">
        <w:rPr>
          <w:b/>
          <w:bCs/>
        </w:rPr>
        <w:t>Title:</w:t>
      </w:r>
      <w:r w:rsidRPr="00CE3D0C">
        <w:t xml:space="preserve"> H2: Influence of Tohoku/Wind–Solar Exports</w:t>
      </w:r>
    </w:p>
    <w:p w14:paraId="101EA483" w14:textId="77777777" w:rsidR="00CE3D0C" w:rsidRPr="00CE3D0C" w:rsidRDefault="00CE3D0C" w:rsidP="00CE3D0C">
      <w:pPr>
        <w:numPr>
          <w:ilvl w:val="0"/>
          <w:numId w:val="11"/>
        </w:numPr>
      </w:pPr>
      <w:r w:rsidRPr="00CE3D0C">
        <w:rPr>
          <w:b/>
          <w:bCs/>
        </w:rPr>
        <w:t>Premise:</w:t>
      </w:r>
      <w:r w:rsidRPr="00CE3D0C">
        <w:t xml:space="preserve"> Tohoku’s abundant renewables export to Tokyo; export volumes track solar</w:t>
      </w:r>
      <w:r w:rsidRPr="00CE3D0C">
        <w:rPr>
          <w:rFonts w:ascii="Arial" w:hAnsi="Arial" w:cs="Arial"/>
        </w:rPr>
        <w:t> </w:t>
      </w:r>
      <w:r w:rsidRPr="00CE3D0C">
        <w:t>+</w:t>
      </w:r>
      <w:r w:rsidRPr="00CE3D0C">
        <w:rPr>
          <w:rFonts w:ascii="Arial" w:hAnsi="Arial" w:cs="Arial"/>
        </w:rPr>
        <w:t> </w:t>
      </w:r>
      <w:r w:rsidRPr="00CE3D0C">
        <w:t>wind forecasts</w:t>
      </w:r>
    </w:p>
    <w:p w14:paraId="029A0069" w14:textId="77777777" w:rsidR="00CE3D0C" w:rsidRPr="00CE3D0C" w:rsidRDefault="00CE3D0C" w:rsidP="00CE3D0C">
      <w:pPr>
        <w:numPr>
          <w:ilvl w:val="0"/>
          <w:numId w:val="11"/>
        </w:numPr>
      </w:pPr>
      <w:r w:rsidRPr="00CE3D0C">
        <w:rPr>
          <w:b/>
          <w:bCs/>
        </w:rPr>
        <w:t>Expectation:</w:t>
      </w:r>
      <w:r w:rsidRPr="00CE3D0C">
        <w:t xml:space="preserve"> High Tohoku renewables → larger physical flows → tighter Tokyo balancing block → imbalance</w:t>
      </w:r>
      <w:r w:rsidRPr="00CE3D0C">
        <w:rPr>
          <w:rFonts w:ascii="Arial" w:hAnsi="Arial" w:cs="Arial"/>
        </w:rPr>
        <w:t> </w:t>
      </w:r>
      <w:r w:rsidRPr="00CE3D0C">
        <w:t>&gt;</w:t>
      </w:r>
      <w:r w:rsidRPr="00CE3D0C">
        <w:rPr>
          <w:rFonts w:ascii="Arial" w:hAnsi="Arial" w:cs="Arial"/>
        </w:rPr>
        <w:t> </w:t>
      </w:r>
      <w:r w:rsidRPr="00CE3D0C">
        <w:t>spot</w:t>
      </w:r>
    </w:p>
    <w:p w14:paraId="690E6A8F" w14:textId="77777777" w:rsidR="00CE3D0C" w:rsidRPr="00CE3D0C" w:rsidRDefault="00CE3D0C" w:rsidP="00CE3D0C">
      <w:pPr>
        <w:numPr>
          <w:ilvl w:val="0"/>
          <w:numId w:val="11"/>
        </w:numPr>
      </w:pPr>
      <w:r w:rsidRPr="00CE3D0C">
        <w:rPr>
          <w:b/>
          <w:bCs/>
        </w:rPr>
        <w:t>Graph:</w:t>
      </w:r>
      <w:r w:rsidRPr="00CE3D0C">
        <w:t xml:space="preserve"> Tokyo imbalance</w:t>
      </w:r>
      <w:r w:rsidRPr="00CE3D0C">
        <w:rPr>
          <w:rFonts w:ascii="Arial" w:hAnsi="Arial" w:cs="Arial"/>
        </w:rPr>
        <w:t> </w:t>
      </w:r>
      <w:r w:rsidRPr="00CE3D0C">
        <w:rPr>
          <w:rFonts w:ascii="Aptos" w:hAnsi="Aptos" w:cs="Aptos"/>
        </w:rPr>
        <w:t>–</w:t>
      </w:r>
      <w:r w:rsidRPr="00CE3D0C">
        <w:rPr>
          <w:rFonts w:ascii="Arial" w:hAnsi="Arial" w:cs="Arial"/>
        </w:rPr>
        <w:t> </w:t>
      </w:r>
      <w:r w:rsidRPr="00CE3D0C">
        <w:t>spot vs. Tohoku export (MW)</w:t>
      </w:r>
    </w:p>
    <w:p w14:paraId="691AF12A" w14:textId="77777777" w:rsidR="00CE3D0C" w:rsidRPr="00CE3D0C" w:rsidRDefault="00CE3D0C" w:rsidP="00CE3D0C">
      <w:r w:rsidRPr="00CE3D0C">
        <w:pict w14:anchorId="29FCB9AD">
          <v:rect id="_x0000_i1119" style="width:0;height:1.5pt" o:hralign="center" o:hrstd="t" o:hr="t" fillcolor="#a0a0a0" stroked="f"/>
        </w:pict>
      </w:r>
    </w:p>
    <w:p w14:paraId="49A2BF0F" w14:textId="77777777" w:rsidR="00CE3D0C" w:rsidRPr="00CE3D0C" w:rsidRDefault="00CE3D0C" w:rsidP="00CE3D0C">
      <w:pPr>
        <w:rPr>
          <w:b/>
          <w:bCs/>
        </w:rPr>
      </w:pPr>
      <w:r w:rsidRPr="00CE3D0C">
        <w:rPr>
          <w:b/>
          <w:bCs/>
        </w:rPr>
        <w:t>Slide 4: H3 – Hour-of-Day Block Effects</w:t>
      </w:r>
    </w:p>
    <w:p w14:paraId="03888462" w14:textId="77777777" w:rsidR="00CE3D0C" w:rsidRPr="00CE3D0C" w:rsidRDefault="00CE3D0C" w:rsidP="00CE3D0C">
      <w:r w:rsidRPr="00CE3D0C">
        <w:rPr>
          <w:b/>
          <w:bCs/>
        </w:rPr>
        <w:t>Title:</w:t>
      </w:r>
      <w:r w:rsidRPr="00CE3D0C">
        <w:t xml:space="preserve"> H3: Diurnal Block Composition Changes</w:t>
      </w:r>
    </w:p>
    <w:p w14:paraId="274B6697" w14:textId="77777777" w:rsidR="00CE3D0C" w:rsidRPr="00CE3D0C" w:rsidRDefault="00CE3D0C" w:rsidP="00CE3D0C">
      <w:pPr>
        <w:numPr>
          <w:ilvl w:val="0"/>
          <w:numId w:val="12"/>
        </w:numPr>
      </w:pPr>
      <w:r w:rsidRPr="00CE3D0C">
        <w:rPr>
          <w:b/>
          <w:bCs/>
        </w:rPr>
        <w:t>Premise:</w:t>
      </w:r>
      <w:r w:rsidRPr="00CE3D0C">
        <w:t xml:space="preserve"> Certain 30-min blocks group Tokyo with different </w:t>
      </w:r>
      <w:proofErr w:type="spellStart"/>
      <w:r w:rsidRPr="00CE3D0C">
        <w:t>neighbors</w:t>
      </w:r>
      <w:proofErr w:type="spellEnd"/>
      <w:r w:rsidRPr="00CE3D0C">
        <w:t xml:space="preserve"> (e.g. midnight vs. peak)</w:t>
      </w:r>
    </w:p>
    <w:p w14:paraId="12AB712C" w14:textId="77777777" w:rsidR="00CE3D0C" w:rsidRPr="00CE3D0C" w:rsidRDefault="00CE3D0C" w:rsidP="00CE3D0C">
      <w:pPr>
        <w:numPr>
          <w:ilvl w:val="0"/>
          <w:numId w:val="12"/>
        </w:numPr>
      </w:pPr>
      <w:r w:rsidRPr="00CE3D0C">
        <w:rPr>
          <w:b/>
          <w:bCs/>
        </w:rPr>
        <w:t>Expectation:</w:t>
      </w:r>
      <w:r w:rsidRPr="00CE3D0C">
        <w:t xml:space="preserve"> Blocks where Tokyo stands alone show larger positive imbalance</w:t>
      </w:r>
      <w:r w:rsidRPr="00CE3D0C">
        <w:rPr>
          <w:rFonts w:ascii="Arial" w:hAnsi="Arial" w:cs="Arial"/>
        </w:rPr>
        <w:t> </w:t>
      </w:r>
      <w:r w:rsidRPr="00CE3D0C">
        <w:rPr>
          <w:rFonts w:ascii="Aptos" w:hAnsi="Aptos" w:cs="Aptos"/>
        </w:rPr>
        <w:t>–</w:t>
      </w:r>
      <w:r w:rsidRPr="00CE3D0C">
        <w:rPr>
          <w:rFonts w:ascii="Arial" w:hAnsi="Arial" w:cs="Arial"/>
        </w:rPr>
        <w:t> </w:t>
      </w:r>
      <w:r w:rsidRPr="00CE3D0C">
        <w:t>spot; midday/evening join larger blocks with muted spreads</w:t>
      </w:r>
    </w:p>
    <w:p w14:paraId="56214EF1" w14:textId="77777777" w:rsidR="00CE3D0C" w:rsidRPr="00CE3D0C" w:rsidRDefault="00CE3D0C" w:rsidP="00CE3D0C">
      <w:pPr>
        <w:numPr>
          <w:ilvl w:val="0"/>
          <w:numId w:val="12"/>
        </w:numPr>
      </w:pPr>
      <w:r w:rsidRPr="00CE3D0C">
        <w:rPr>
          <w:b/>
          <w:bCs/>
        </w:rPr>
        <w:t>Graph:</w:t>
      </w:r>
      <w:r w:rsidRPr="00CE3D0C">
        <w:t xml:space="preserve"> Mean spread by hour/block</w:t>
      </w:r>
    </w:p>
    <w:p w14:paraId="56DE68F6" w14:textId="77777777" w:rsidR="00CE3D0C" w:rsidRPr="00CE3D0C" w:rsidRDefault="00CE3D0C" w:rsidP="00CE3D0C">
      <w:r w:rsidRPr="00CE3D0C">
        <w:pict w14:anchorId="5F6BDEEA">
          <v:rect id="_x0000_i1120" style="width:0;height:1.5pt" o:hralign="center" o:hrstd="t" o:hr="t" fillcolor="#a0a0a0" stroked="f"/>
        </w:pict>
      </w:r>
    </w:p>
    <w:p w14:paraId="2D6D9769" w14:textId="77777777" w:rsidR="00CE3D0C" w:rsidRPr="00CE3D0C" w:rsidRDefault="00CE3D0C" w:rsidP="00CE3D0C">
      <w:pPr>
        <w:rPr>
          <w:b/>
          <w:bCs/>
        </w:rPr>
      </w:pPr>
      <w:r w:rsidRPr="00CE3D0C">
        <w:rPr>
          <w:b/>
          <w:bCs/>
        </w:rPr>
        <w:t>Slide 5: H4 – Tightness Index (Correction Fee)</w:t>
      </w:r>
    </w:p>
    <w:p w14:paraId="60565C27" w14:textId="77777777" w:rsidR="00CE3D0C" w:rsidRPr="00CE3D0C" w:rsidRDefault="00CE3D0C" w:rsidP="00CE3D0C">
      <w:r w:rsidRPr="00CE3D0C">
        <w:rPr>
          <w:b/>
          <w:bCs/>
        </w:rPr>
        <w:t>Title:</w:t>
      </w:r>
      <w:r w:rsidRPr="00CE3D0C">
        <w:t xml:space="preserve"> H4: Role of Wide-Area Reserve Margin</w:t>
      </w:r>
    </w:p>
    <w:p w14:paraId="6C1A292B" w14:textId="77777777" w:rsidR="00CE3D0C" w:rsidRPr="00CE3D0C" w:rsidRDefault="00CE3D0C" w:rsidP="00CE3D0C">
      <w:pPr>
        <w:numPr>
          <w:ilvl w:val="0"/>
          <w:numId w:val="13"/>
        </w:numPr>
      </w:pPr>
      <w:r w:rsidRPr="00CE3D0C">
        <w:rPr>
          <w:b/>
          <w:bCs/>
        </w:rPr>
        <w:t>Premise:</w:t>
      </w:r>
      <w:r w:rsidRPr="00CE3D0C">
        <w:t xml:space="preserve"> When reserve margin dips below thresholds, a surcharge (¥200</w:t>
      </w:r>
      <w:r w:rsidRPr="00CE3D0C">
        <w:rPr>
          <w:rFonts w:ascii="Arial" w:hAnsi="Arial" w:cs="Arial"/>
        </w:rPr>
        <w:t> </w:t>
      </w:r>
      <w:r w:rsidRPr="00CE3D0C">
        <w:t>/</w:t>
      </w:r>
      <w:r w:rsidRPr="00CE3D0C">
        <w:rPr>
          <w:rFonts w:ascii="Arial" w:hAnsi="Arial" w:cs="Arial"/>
        </w:rPr>
        <w:t> </w:t>
      </w:r>
      <w:r w:rsidRPr="00CE3D0C">
        <w:t>kWh cap) applies to imbalance pricing</w:t>
      </w:r>
    </w:p>
    <w:p w14:paraId="42AA5121" w14:textId="77777777" w:rsidR="00CE3D0C" w:rsidRPr="00CE3D0C" w:rsidRDefault="00CE3D0C" w:rsidP="00CE3D0C">
      <w:pPr>
        <w:numPr>
          <w:ilvl w:val="0"/>
          <w:numId w:val="13"/>
        </w:numPr>
      </w:pPr>
      <w:r w:rsidRPr="00CE3D0C">
        <w:rPr>
          <w:b/>
          <w:bCs/>
        </w:rPr>
        <w:t>Expectation:</w:t>
      </w:r>
      <w:r w:rsidRPr="00CE3D0C">
        <w:t xml:space="preserve"> Low-margin blocks exhibit pronounced positive imbalance</w:t>
      </w:r>
      <w:r w:rsidRPr="00CE3D0C">
        <w:rPr>
          <w:rFonts w:ascii="Arial" w:hAnsi="Arial" w:cs="Arial"/>
        </w:rPr>
        <w:t> </w:t>
      </w:r>
      <w:r w:rsidRPr="00CE3D0C">
        <w:rPr>
          <w:rFonts w:ascii="Aptos" w:hAnsi="Aptos" w:cs="Aptos"/>
        </w:rPr>
        <w:t>–</w:t>
      </w:r>
      <w:r w:rsidRPr="00CE3D0C">
        <w:rPr>
          <w:rFonts w:ascii="Arial" w:hAnsi="Arial" w:cs="Arial"/>
        </w:rPr>
        <w:t> </w:t>
      </w:r>
      <w:r w:rsidRPr="00CE3D0C">
        <w:t>spot spreads; margin index is a leading indicator of surcharge events</w:t>
      </w:r>
    </w:p>
    <w:p w14:paraId="1AF7383B" w14:textId="77777777" w:rsidR="00CE3D0C" w:rsidRPr="00CE3D0C" w:rsidRDefault="00CE3D0C" w:rsidP="00CE3D0C">
      <w:pPr>
        <w:numPr>
          <w:ilvl w:val="0"/>
          <w:numId w:val="13"/>
        </w:numPr>
      </w:pPr>
      <w:r w:rsidRPr="00CE3D0C">
        <w:rPr>
          <w:b/>
          <w:bCs/>
        </w:rPr>
        <w:t>Graph:</w:t>
      </w:r>
      <w:r w:rsidRPr="00CE3D0C">
        <w:t xml:space="preserve"> Spread vs. reserve-margin index</w:t>
      </w:r>
    </w:p>
    <w:p w14:paraId="1934EFBA" w14:textId="77777777" w:rsidR="00CE3D0C" w:rsidRPr="00CE3D0C" w:rsidRDefault="00CE3D0C" w:rsidP="00CE3D0C">
      <w:r w:rsidRPr="00CE3D0C">
        <w:pict w14:anchorId="48539245">
          <v:rect id="_x0000_i1121" style="width:0;height:1.5pt" o:hralign="center" o:hrstd="t" o:hr="t" fillcolor="#a0a0a0" stroked="f"/>
        </w:pict>
      </w:r>
    </w:p>
    <w:p w14:paraId="1EDD6034" w14:textId="77777777" w:rsidR="00CE3D0C" w:rsidRPr="00CE3D0C" w:rsidRDefault="00CE3D0C" w:rsidP="00CE3D0C">
      <w:pPr>
        <w:rPr>
          <w:b/>
          <w:bCs/>
        </w:rPr>
      </w:pPr>
      <w:r w:rsidRPr="00CE3D0C">
        <w:rPr>
          <w:b/>
          <w:bCs/>
        </w:rPr>
        <w:t>Slide 6: H5 – Exchange Physical Flows</w:t>
      </w:r>
    </w:p>
    <w:p w14:paraId="2DC0761F" w14:textId="77777777" w:rsidR="00CE3D0C" w:rsidRPr="00CE3D0C" w:rsidRDefault="00CE3D0C" w:rsidP="00CE3D0C">
      <w:r w:rsidRPr="00CE3D0C">
        <w:rPr>
          <w:b/>
          <w:bCs/>
        </w:rPr>
        <w:t>Title:</w:t>
      </w:r>
      <w:r w:rsidRPr="00CE3D0C">
        <w:t xml:space="preserve"> H5: Interconnector Loading &amp; Decoupling</w:t>
      </w:r>
    </w:p>
    <w:p w14:paraId="4B8044D3" w14:textId="77777777" w:rsidR="00CE3D0C" w:rsidRPr="00CE3D0C" w:rsidRDefault="00CE3D0C" w:rsidP="00CE3D0C">
      <w:pPr>
        <w:numPr>
          <w:ilvl w:val="0"/>
          <w:numId w:val="14"/>
        </w:numPr>
      </w:pPr>
      <w:r w:rsidRPr="00CE3D0C">
        <w:rPr>
          <w:b/>
          <w:bCs/>
        </w:rPr>
        <w:t>Premise:</w:t>
      </w:r>
      <w:r w:rsidRPr="00CE3D0C">
        <w:t xml:space="preserve"> High cross-area flows indicate binding congestion, splitting balancing areas and decoupling prices</w:t>
      </w:r>
    </w:p>
    <w:p w14:paraId="12DD2A06" w14:textId="77777777" w:rsidR="00CE3D0C" w:rsidRPr="00CE3D0C" w:rsidRDefault="00CE3D0C" w:rsidP="00CE3D0C">
      <w:pPr>
        <w:numPr>
          <w:ilvl w:val="0"/>
          <w:numId w:val="14"/>
        </w:numPr>
      </w:pPr>
      <w:r w:rsidRPr="00CE3D0C">
        <w:rPr>
          <w:b/>
          <w:bCs/>
        </w:rPr>
        <w:t>Expectation:</w:t>
      </w:r>
      <w:r w:rsidRPr="00CE3D0C">
        <w:t xml:space="preserve"> As flow</w:t>
      </w:r>
      <w:r w:rsidRPr="00CE3D0C">
        <w:rPr>
          <w:rFonts w:ascii="Arial" w:hAnsi="Arial" w:cs="Arial"/>
        </w:rPr>
        <w:t> </w:t>
      </w:r>
      <w:r w:rsidRPr="00CE3D0C">
        <w:t>/</w:t>
      </w:r>
      <w:r w:rsidRPr="00CE3D0C">
        <w:rPr>
          <w:rFonts w:ascii="Arial" w:hAnsi="Arial" w:cs="Arial"/>
        </w:rPr>
        <w:t> </w:t>
      </w:r>
      <w:r w:rsidRPr="00CE3D0C">
        <w:t>ATC ratio on key ties approaches 1.0, Tokyo imbalance price diverges sharply from coupled-area average</w:t>
      </w:r>
    </w:p>
    <w:p w14:paraId="49A1D3B6" w14:textId="77777777" w:rsidR="00CE3D0C" w:rsidRPr="00CE3D0C" w:rsidRDefault="00CE3D0C" w:rsidP="00CE3D0C">
      <w:pPr>
        <w:numPr>
          <w:ilvl w:val="0"/>
          <w:numId w:val="14"/>
        </w:numPr>
      </w:pPr>
      <w:r w:rsidRPr="00CE3D0C">
        <w:rPr>
          <w:b/>
          <w:bCs/>
        </w:rPr>
        <w:lastRenderedPageBreak/>
        <w:t>Graph:</w:t>
      </w:r>
      <w:r w:rsidRPr="00CE3D0C">
        <w:t xml:space="preserve"> Spread vs. flow</w:t>
      </w:r>
      <w:r w:rsidRPr="00CE3D0C">
        <w:rPr>
          <w:rFonts w:ascii="Arial" w:hAnsi="Arial" w:cs="Arial"/>
        </w:rPr>
        <w:t> </w:t>
      </w:r>
      <w:r w:rsidRPr="00CE3D0C">
        <w:t>/</w:t>
      </w:r>
      <w:r w:rsidRPr="00CE3D0C">
        <w:rPr>
          <w:rFonts w:ascii="Arial" w:hAnsi="Arial" w:cs="Arial"/>
        </w:rPr>
        <w:t> </w:t>
      </w:r>
      <w:r w:rsidRPr="00CE3D0C">
        <w:t>ATC on Tokyo</w:t>
      </w:r>
      <w:r w:rsidRPr="00CE3D0C">
        <w:rPr>
          <w:rFonts w:ascii="Aptos" w:hAnsi="Aptos" w:cs="Aptos"/>
        </w:rPr>
        <w:t>–</w:t>
      </w:r>
      <w:r w:rsidRPr="00CE3D0C">
        <w:t>Tohoku and Tokyo</w:t>
      </w:r>
      <w:r w:rsidRPr="00CE3D0C">
        <w:rPr>
          <w:rFonts w:ascii="Aptos" w:hAnsi="Aptos" w:cs="Aptos"/>
        </w:rPr>
        <w:t>–</w:t>
      </w:r>
      <w:r w:rsidRPr="00CE3D0C">
        <w:t>Chubu ties</w:t>
      </w:r>
    </w:p>
    <w:p w14:paraId="6043DB69" w14:textId="77777777" w:rsidR="00CE3D0C" w:rsidRPr="00CE3D0C" w:rsidRDefault="00CE3D0C" w:rsidP="00CE3D0C">
      <w:r w:rsidRPr="00CE3D0C">
        <w:pict w14:anchorId="491F440C">
          <v:rect id="_x0000_i1122" style="width:0;height:1.5pt" o:hralign="center" o:hrstd="t" o:hr="t" fillcolor="#a0a0a0" stroked="f"/>
        </w:pict>
      </w:r>
    </w:p>
    <w:p w14:paraId="2645335F" w14:textId="77777777" w:rsidR="00CE3D0C" w:rsidRPr="00CE3D0C" w:rsidRDefault="00CE3D0C" w:rsidP="00CE3D0C">
      <w:pPr>
        <w:rPr>
          <w:b/>
          <w:bCs/>
        </w:rPr>
      </w:pPr>
      <w:r w:rsidRPr="00CE3D0C">
        <w:rPr>
          <w:b/>
          <w:bCs/>
        </w:rPr>
        <w:t>Slide 7: H6 – Hydro Pumped Storage Patterns</w:t>
      </w:r>
    </w:p>
    <w:p w14:paraId="47D09063" w14:textId="77777777" w:rsidR="00CE3D0C" w:rsidRPr="00CE3D0C" w:rsidRDefault="00CE3D0C" w:rsidP="00CE3D0C">
      <w:r w:rsidRPr="00CE3D0C">
        <w:rPr>
          <w:b/>
          <w:bCs/>
        </w:rPr>
        <w:t>Title:</w:t>
      </w:r>
      <w:r w:rsidRPr="00CE3D0C">
        <w:t xml:space="preserve"> H6: Pumped-Storage Fill/Pump Cycles</w:t>
      </w:r>
    </w:p>
    <w:p w14:paraId="27400DBE" w14:textId="77777777" w:rsidR="00CE3D0C" w:rsidRPr="00CE3D0C" w:rsidRDefault="00CE3D0C" w:rsidP="00CE3D0C">
      <w:pPr>
        <w:numPr>
          <w:ilvl w:val="0"/>
          <w:numId w:val="15"/>
        </w:numPr>
      </w:pPr>
      <w:r w:rsidRPr="00CE3D0C">
        <w:rPr>
          <w:b/>
          <w:bCs/>
        </w:rPr>
        <w:t>Premise:</w:t>
      </w:r>
      <w:r w:rsidRPr="00CE3D0C">
        <w:t xml:space="preserve"> Storage units fill during low-price hours (≈12:00) and pump at high-price hours (≈18:00)</w:t>
      </w:r>
    </w:p>
    <w:p w14:paraId="5F5BFB74" w14:textId="77777777" w:rsidR="00CE3D0C" w:rsidRPr="00CE3D0C" w:rsidRDefault="00CE3D0C" w:rsidP="00CE3D0C">
      <w:pPr>
        <w:numPr>
          <w:ilvl w:val="0"/>
          <w:numId w:val="15"/>
        </w:numPr>
      </w:pPr>
      <w:r w:rsidRPr="00CE3D0C">
        <w:rPr>
          <w:b/>
          <w:bCs/>
        </w:rPr>
        <w:t>Expectation:</w:t>
      </w:r>
      <w:r w:rsidRPr="00CE3D0C">
        <w:t xml:space="preserve"> High pumping volumes at 18:00 correlate with negative imbalance</w:t>
      </w:r>
      <w:r w:rsidRPr="00CE3D0C">
        <w:rPr>
          <w:rFonts w:ascii="Arial" w:hAnsi="Arial" w:cs="Arial"/>
        </w:rPr>
        <w:t> </w:t>
      </w:r>
      <w:r w:rsidRPr="00CE3D0C">
        <w:rPr>
          <w:rFonts w:ascii="Aptos" w:hAnsi="Aptos" w:cs="Aptos"/>
        </w:rPr>
        <w:t>–</w:t>
      </w:r>
      <w:r w:rsidRPr="00CE3D0C">
        <w:rPr>
          <w:rFonts w:ascii="Arial" w:hAnsi="Arial" w:cs="Arial"/>
        </w:rPr>
        <w:t> </w:t>
      </w:r>
      <w:r w:rsidRPr="00CE3D0C">
        <w:t>spot spreads (imbalance</w:t>
      </w:r>
      <w:r w:rsidRPr="00CE3D0C">
        <w:rPr>
          <w:rFonts w:ascii="Arial" w:hAnsi="Arial" w:cs="Arial"/>
        </w:rPr>
        <w:t> </w:t>
      </w:r>
      <w:r w:rsidRPr="00CE3D0C">
        <w:t>&lt;</w:t>
      </w:r>
      <w:r w:rsidRPr="00CE3D0C">
        <w:rPr>
          <w:rFonts w:ascii="Arial" w:hAnsi="Arial" w:cs="Arial"/>
        </w:rPr>
        <w:t> </w:t>
      </w:r>
      <w:r w:rsidRPr="00CE3D0C">
        <w:t>spot), filling at 12:00 aligns with positive spreads</w:t>
      </w:r>
    </w:p>
    <w:p w14:paraId="66CA6B47" w14:textId="77777777" w:rsidR="00CE3D0C" w:rsidRPr="00CE3D0C" w:rsidRDefault="00CE3D0C" w:rsidP="00CE3D0C">
      <w:pPr>
        <w:numPr>
          <w:ilvl w:val="0"/>
          <w:numId w:val="15"/>
        </w:numPr>
      </w:pPr>
      <w:r w:rsidRPr="00CE3D0C">
        <w:rPr>
          <w:b/>
          <w:bCs/>
        </w:rPr>
        <w:t>Graph:</w:t>
      </w:r>
      <w:r w:rsidRPr="00CE3D0C">
        <w:t xml:space="preserve"> Spread vs. hydro net-flow (pump</w:t>
      </w:r>
      <w:r w:rsidRPr="00CE3D0C">
        <w:rPr>
          <w:rFonts w:ascii="Arial" w:hAnsi="Arial" w:cs="Arial"/>
        </w:rPr>
        <w:t> </w:t>
      </w:r>
      <w:r w:rsidRPr="00CE3D0C">
        <w:rPr>
          <w:rFonts w:ascii="Aptos" w:hAnsi="Aptos" w:cs="Aptos"/>
        </w:rPr>
        <w:t>–</w:t>
      </w:r>
      <w:r w:rsidRPr="00CE3D0C">
        <w:rPr>
          <w:rFonts w:ascii="Arial" w:hAnsi="Arial" w:cs="Arial"/>
        </w:rPr>
        <w:t> </w:t>
      </w:r>
      <w:r w:rsidRPr="00CE3D0C">
        <w:t>generation) by hour</w:t>
      </w:r>
    </w:p>
    <w:p w14:paraId="51ACE5A4" w14:textId="77777777" w:rsidR="00CE3D0C" w:rsidRDefault="00CE3D0C" w:rsidP="00386A3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3143"/>
        <w:gridCol w:w="4825"/>
      </w:tblGrid>
      <w:tr w:rsidR="007D7124" w:rsidRPr="007D7124" w14:paraId="5A619E1B" w14:textId="77777777" w:rsidTr="007D71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554B4F" w14:textId="77777777" w:rsidR="007D7124" w:rsidRPr="007D7124" w:rsidRDefault="007D7124" w:rsidP="007D7124">
            <w:pPr>
              <w:rPr>
                <w:b/>
                <w:bCs/>
              </w:rPr>
            </w:pPr>
            <w:r w:rsidRPr="007D7124">
              <w:rPr>
                <w:b/>
                <w:bCs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2E36FD54" w14:textId="77777777" w:rsidR="007D7124" w:rsidRPr="007D7124" w:rsidRDefault="007D7124" w:rsidP="007D7124">
            <w:pPr>
              <w:rPr>
                <w:b/>
                <w:bCs/>
              </w:rPr>
            </w:pPr>
            <w:r w:rsidRPr="007D7124">
              <w:rPr>
                <w:b/>
                <w:bCs/>
              </w:rPr>
              <w:t>Primary Generation Mix (2023)</w:t>
            </w:r>
          </w:p>
        </w:tc>
        <w:tc>
          <w:tcPr>
            <w:tcW w:w="0" w:type="auto"/>
            <w:vAlign w:val="center"/>
            <w:hideMark/>
          </w:tcPr>
          <w:p w14:paraId="0EA13B03" w14:textId="77777777" w:rsidR="007D7124" w:rsidRPr="007D7124" w:rsidRDefault="007D7124" w:rsidP="007D7124">
            <w:pPr>
              <w:rPr>
                <w:b/>
                <w:bCs/>
              </w:rPr>
            </w:pPr>
            <w:r w:rsidRPr="007D7124">
              <w:rPr>
                <w:b/>
                <w:bCs/>
              </w:rPr>
              <w:t>Future Highlights</w:t>
            </w:r>
          </w:p>
        </w:tc>
      </w:tr>
      <w:tr w:rsidR="007D7124" w:rsidRPr="007D7124" w14:paraId="336F8904" w14:textId="77777777" w:rsidTr="007D7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B5E9A" w14:textId="77777777" w:rsidR="007D7124" w:rsidRPr="007D7124" w:rsidRDefault="007D7124" w:rsidP="007D7124">
            <w:r w:rsidRPr="007D7124">
              <w:rPr>
                <w:b/>
                <w:bCs/>
              </w:rPr>
              <w:t>Hokkaido</w:t>
            </w:r>
          </w:p>
        </w:tc>
        <w:tc>
          <w:tcPr>
            <w:tcW w:w="0" w:type="auto"/>
            <w:vAlign w:val="center"/>
            <w:hideMark/>
          </w:tcPr>
          <w:p w14:paraId="5F693041" w14:textId="77777777" w:rsidR="007D7124" w:rsidRPr="007D7124" w:rsidRDefault="007D7124" w:rsidP="007D7124">
            <w:r w:rsidRPr="007D7124">
              <w:t xml:space="preserve">- </w:t>
            </w:r>
            <w:r w:rsidRPr="007D7124">
              <w:rPr>
                <w:b/>
                <w:bCs/>
              </w:rPr>
              <w:t>Renewables 40.5 %</w:t>
            </w:r>
            <w:r w:rsidRPr="007D7124">
              <w:t>: Solar 10.3 %, Wind 6.9 %, Hydro 16.2 %, Biomass 6.7 %, Geothermal 0.3 % (</w:t>
            </w:r>
            <w:hyperlink r:id="rId5" w:tooltip="2023 Share of Electricity from Renewable Energy Resources in ..." w:history="1">
              <w:r w:rsidRPr="007D7124">
                <w:rPr>
                  <w:rStyle w:val="Hyperlink"/>
                </w:rPr>
                <w:t>isep.or.jp</w:t>
              </w:r>
            </w:hyperlink>
            <w:r w:rsidRPr="007D7124">
              <w:t xml:space="preserve">)- </w:t>
            </w:r>
            <w:r w:rsidRPr="007D7124">
              <w:rPr>
                <w:b/>
                <w:bCs/>
              </w:rPr>
              <w:t>Nuclear 0 %</w:t>
            </w:r>
            <w:r w:rsidRPr="007D7124">
              <w:t xml:space="preserve">- </w:t>
            </w:r>
            <w:r w:rsidRPr="007D7124">
              <w:rPr>
                <w:b/>
                <w:bCs/>
              </w:rPr>
              <w:t>Thermal 59.5 %</w:t>
            </w:r>
            <w:r w:rsidRPr="007D7124">
              <w:t xml:space="preserve"> (Coal </w:t>
            </w:r>
            <w:r w:rsidRPr="007D7124">
              <w:rPr>
                <w:rFonts w:ascii="Cambria Math" w:hAnsi="Cambria Math" w:cs="Cambria Math"/>
              </w:rPr>
              <w:t>∼</w:t>
            </w:r>
            <w:r w:rsidRPr="007D7124">
              <w:t xml:space="preserve">25 %, LNG </w:t>
            </w:r>
            <w:r w:rsidRPr="007D7124">
              <w:rPr>
                <w:rFonts w:ascii="Cambria Math" w:hAnsi="Cambria Math" w:cs="Cambria Math"/>
              </w:rPr>
              <w:t>∼</w:t>
            </w:r>
            <w:r w:rsidRPr="007D7124">
              <w:t xml:space="preserve">20 %, Oil </w:t>
            </w:r>
            <w:r w:rsidRPr="007D7124">
              <w:rPr>
                <w:rFonts w:ascii="Cambria Math" w:hAnsi="Cambria Math" w:cs="Cambria Math"/>
              </w:rPr>
              <w:t>∼</w:t>
            </w:r>
            <w:r w:rsidRPr="007D7124">
              <w:t>15 %)</w:t>
            </w:r>
          </w:p>
        </w:tc>
        <w:tc>
          <w:tcPr>
            <w:tcW w:w="0" w:type="auto"/>
            <w:vAlign w:val="center"/>
            <w:hideMark/>
          </w:tcPr>
          <w:p w14:paraId="616D269F" w14:textId="77777777" w:rsidR="007D7124" w:rsidRPr="007D7124" w:rsidRDefault="007D7124" w:rsidP="007D7124">
            <w:r w:rsidRPr="007D7124">
              <w:t>- Aim to raise renewables to 60 % by 2030, led by offshore wind (Ishikari Bay 112 MW commissioned 2024) (</w:t>
            </w:r>
            <w:hyperlink r:id="rId6" w:tooltip="Ishikari Bay New Port Offshore Wind Farm" w:history="1">
              <w:r w:rsidRPr="007D7124">
                <w:rPr>
                  <w:rStyle w:val="Hyperlink"/>
                </w:rPr>
                <w:t>en.wikipedia.org</w:t>
              </w:r>
            </w:hyperlink>
            <w:r w:rsidRPr="007D7124">
              <w:t>)- Large-scale flow-battery projects to firm up variable output, supporting another 15 wind farms by 2030 (</w:t>
            </w:r>
            <w:hyperlink r:id="rId7" w:tooltip="These batteries could harness the wind and sun to replace coal and gas" w:history="1">
              <w:r w:rsidRPr="007D7124">
                <w:rPr>
                  <w:rStyle w:val="Hyperlink"/>
                </w:rPr>
                <w:t>washingtonpost.com</w:t>
              </w:r>
            </w:hyperlink>
            <w:r w:rsidRPr="007D7124">
              <w:t>)</w:t>
            </w:r>
          </w:p>
        </w:tc>
      </w:tr>
      <w:tr w:rsidR="007D7124" w:rsidRPr="007D7124" w14:paraId="4BC9C479" w14:textId="77777777" w:rsidTr="007D7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81D77" w14:textId="77777777" w:rsidR="007D7124" w:rsidRPr="007D7124" w:rsidRDefault="007D7124" w:rsidP="007D7124">
            <w:r w:rsidRPr="007D7124">
              <w:rPr>
                <w:b/>
                <w:bCs/>
              </w:rPr>
              <w:t>Tohoku</w:t>
            </w:r>
          </w:p>
        </w:tc>
        <w:tc>
          <w:tcPr>
            <w:tcW w:w="0" w:type="auto"/>
            <w:vAlign w:val="center"/>
            <w:hideMark/>
          </w:tcPr>
          <w:p w14:paraId="5BBF5537" w14:textId="77777777" w:rsidR="007D7124" w:rsidRPr="007D7124" w:rsidRDefault="007D7124" w:rsidP="007D7124">
            <w:r w:rsidRPr="007D7124">
              <w:t xml:space="preserve">- </w:t>
            </w:r>
            <w:r w:rsidRPr="007D7124">
              <w:rPr>
                <w:b/>
                <w:bCs/>
              </w:rPr>
              <w:t>Renewables 40.2 %</w:t>
            </w:r>
            <w:r w:rsidRPr="007D7124">
              <w:t>: Solar 13.6 %, Wind 5.6 %, Hydro 14.3 %, Geothermal 1.4 % (</w:t>
            </w:r>
            <w:hyperlink r:id="rId8" w:tooltip="2023 Share of Electricity from Renewable Energy Resources in ..." w:history="1">
              <w:r w:rsidRPr="007D7124">
                <w:rPr>
                  <w:rStyle w:val="Hyperlink"/>
                </w:rPr>
                <w:t>isep.or.jp</w:t>
              </w:r>
            </w:hyperlink>
            <w:r w:rsidRPr="007D7124">
              <w:t xml:space="preserve">)- </w:t>
            </w:r>
            <w:r w:rsidRPr="007D7124">
              <w:rPr>
                <w:b/>
                <w:bCs/>
              </w:rPr>
              <w:t xml:space="preserve">Nuclear </w:t>
            </w:r>
            <w:r w:rsidRPr="007D7124">
              <w:rPr>
                <w:rFonts w:ascii="Cambria Math" w:hAnsi="Cambria Math" w:cs="Cambria Math"/>
                <w:b/>
                <w:bCs/>
              </w:rPr>
              <w:t>∼</w:t>
            </w:r>
            <w:r w:rsidRPr="007D7124">
              <w:rPr>
                <w:b/>
                <w:bCs/>
              </w:rPr>
              <w:t>5 %</w:t>
            </w:r>
            <w:r w:rsidRPr="007D7124">
              <w:t xml:space="preserve"> (</w:t>
            </w:r>
            <w:proofErr w:type="spellStart"/>
            <w:r w:rsidRPr="007D7124">
              <w:t>Onagawa</w:t>
            </w:r>
            <w:proofErr w:type="spellEnd"/>
            <w:r w:rsidRPr="007D7124">
              <w:t xml:space="preserve"> reactors)—restarts in planning- </w:t>
            </w:r>
            <w:r w:rsidRPr="007D7124">
              <w:rPr>
                <w:b/>
                <w:bCs/>
              </w:rPr>
              <w:t xml:space="preserve">Thermal </w:t>
            </w:r>
            <w:r w:rsidRPr="007D7124">
              <w:rPr>
                <w:rFonts w:ascii="Cambria Math" w:hAnsi="Cambria Math" w:cs="Cambria Math"/>
                <w:b/>
                <w:bCs/>
              </w:rPr>
              <w:t>∼</w:t>
            </w:r>
            <w:r w:rsidRPr="007D7124">
              <w:rPr>
                <w:b/>
                <w:bCs/>
              </w:rPr>
              <w:t>54.8 %</w:t>
            </w:r>
            <w:r w:rsidRPr="007D7124">
              <w:t xml:space="preserve"> (Gas </w:t>
            </w:r>
            <w:r w:rsidRPr="007D7124">
              <w:rPr>
                <w:rFonts w:ascii="Cambria Math" w:hAnsi="Cambria Math" w:cs="Cambria Math"/>
              </w:rPr>
              <w:t>∼</w:t>
            </w:r>
            <w:r w:rsidRPr="007D7124">
              <w:t xml:space="preserve">30 %, Coal </w:t>
            </w:r>
            <w:r w:rsidRPr="007D7124">
              <w:rPr>
                <w:rFonts w:ascii="Cambria Math" w:hAnsi="Cambria Math" w:cs="Cambria Math"/>
              </w:rPr>
              <w:t>∼</w:t>
            </w:r>
            <w:r w:rsidRPr="007D7124">
              <w:t xml:space="preserve">20 %, Oil </w:t>
            </w:r>
            <w:r w:rsidRPr="007D7124">
              <w:rPr>
                <w:rFonts w:ascii="Cambria Math" w:hAnsi="Cambria Math" w:cs="Cambria Math"/>
              </w:rPr>
              <w:t>∼</w:t>
            </w:r>
            <w:r w:rsidRPr="007D7124">
              <w:t>5 %)</w:t>
            </w:r>
          </w:p>
        </w:tc>
        <w:tc>
          <w:tcPr>
            <w:tcW w:w="0" w:type="auto"/>
            <w:vAlign w:val="center"/>
            <w:hideMark/>
          </w:tcPr>
          <w:p w14:paraId="563509E7" w14:textId="77777777" w:rsidR="007D7124" w:rsidRPr="007D7124" w:rsidRDefault="007D7124" w:rsidP="007D7124">
            <w:r w:rsidRPr="007D7124">
              <w:t>- New pumped</w:t>
            </w:r>
            <w:r w:rsidRPr="007D7124">
              <w:rPr>
                <w:rFonts w:ascii="Cambria Math" w:hAnsi="Cambria Math" w:cs="Cambria Math"/>
              </w:rPr>
              <w:t>‐</w:t>
            </w:r>
            <w:r w:rsidRPr="007D7124">
              <w:t>storage projects to balance renewables (</w:t>
            </w:r>
            <w:hyperlink r:id="rId9" w:tooltip="[PDF] 10questions for understanding the current energy situation" w:history="1">
              <w:r w:rsidRPr="007D7124">
                <w:rPr>
                  <w:rStyle w:val="Hyperlink"/>
                </w:rPr>
                <w:t>enecho.meti.go.jp</w:t>
              </w:r>
            </w:hyperlink>
            <w:r w:rsidRPr="007D7124">
              <w:t>)- Expansion of onshore wind and solar, targeting a 50 % renewables share by 2035 under METI’s Sixth Basic Energy Plan (</w:t>
            </w:r>
            <w:hyperlink r:id="rId10" w:tooltip="[PDF] Decarbonization pathways for Japan - GE Vernova" w:history="1">
              <w:r w:rsidRPr="007D7124">
                <w:rPr>
                  <w:rStyle w:val="Hyperlink"/>
                </w:rPr>
                <w:t>gevernova.com</w:t>
              </w:r>
            </w:hyperlink>
            <w:r w:rsidRPr="007D7124">
              <w:t>)</w:t>
            </w:r>
          </w:p>
        </w:tc>
      </w:tr>
      <w:tr w:rsidR="007D7124" w:rsidRPr="007D7124" w14:paraId="7EF01E15" w14:textId="77777777" w:rsidTr="007D7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342D5" w14:textId="77777777" w:rsidR="007D7124" w:rsidRPr="007D7124" w:rsidRDefault="007D7124" w:rsidP="007D7124">
            <w:r w:rsidRPr="007D7124">
              <w:rPr>
                <w:b/>
                <w:bCs/>
              </w:rPr>
              <w:t>Tokyo (Kanto)</w:t>
            </w:r>
          </w:p>
        </w:tc>
        <w:tc>
          <w:tcPr>
            <w:tcW w:w="0" w:type="auto"/>
            <w:vAlign w:val="center"/>
            <w:hideMark/>
          </w:tcPr>
          <w:p w14:paraId="44A795EF" w14:textId="77777777" w:rsidR="007D7124" w:rsidRPr="007D7124" w:rsidRDefault="007D7124" w:rsidP="007D7124">
            <w:r w:rsidRPr="007D7124">
              <w:t xml:space="preserve">- </w:t>
            </w:r>
            <w:r w:rsidRPr="007D7124">
              <w:rPr>
                <w:b/>
                <w:bCs/>
              </w:rPr>
              <w:t>Renewables 14.6 %</w:t>
            </w:r>
            <w:r w:rsidRPr="007D7124">
              <w:t xml:space="preserve"> (VRE 12.1 %) (</w:t>
            </w:r>
            <w:hyperlink r:id="rId11" w:tooltip="2023 Share of Electricity from Renewable Energy Resources in ..." w:history="1">
              <w:r w:rsidRPr="007D7124">
                <w:rPr>
                  <w:rStyle w:val="Hyperlink"/>
                </w:rPr>
                <w:t>isep.or.jp</w:t>
              </w:r>
            </w:hyperlink>
            <w:r w:rsidRPr="007D7124">
              <w:t xml:space="preserve">)- </w:t>
            </w:r>
            <w:r w:rsidRPr="007D7124">
              <w:rPr>
                <w:b/>
                <w:bCs/>
              </w:rPr>
              <w:t>Nuclear 0 %</w:t>
            </w:r>
            <w:r w:rsidRPr="007D7124">
              <w:t xml:space="preserve">- </w:t>
            </w:r>
            <w:r w:rsidRPr="007D7124">
              <w:rPr>
                <w:b/>
                <w:bCs/>
              </w:rPr>
              <w:t>Thermal 85.4 %</w:t>
            </w:r>
            <w:r w:rsidRPr="007D7124">
              <w:t xml:space="preserve"> (LNG dominant </w:t>
            </w:r>
            <w:r w:rsidRPr="007D7124">
              <w:rPr>
                <w:rFonts w:ascii="Cambria Math" w:hAnsi="Cambria Math" w:cs="Cambria Math"/>
              </w:rPr>
              <w:t>∼</w:t>
            </w:r>
            <w:r w:rsidRPr="007D7124">
              <w:t xml:space="preserve">60 %, coal </w:t>
            </w:r>
            <w:r w:rsidRPr="007D7124">
              <w:rPr>
                <w:rFonts w:ascii="Cambria Math" w:hAnsi="Cambria Math" w:cs="Cambria Math"/>
              </w:rPr>
              <w:t>∼</w:t>
            </w:r>
            <w:r w:rsidRPr="007D7124">
              <w:t xml:space="preserve">20 %, oil </w:t>
            </w:r>
            <w:r w:rsidRPr="007D7124">
              <w:rPr>
                <w:rFonts w:ascii="Cambria Math" w:hAnsi="Cambria Math" w:cs="Cambria Math"/>
              </w:rPr>
              <w:t>∼</w:t>
            </w:r>
            <w:r w:rsidRPr="007D7124">
              <w:t>5 %)</w:t>
            </w:r>
          </w:p>
        </w:tc>
        <w:tc>
          <w:tcPr>
            <w:tcW w:w="0" w:type="auto"/>
            <w:vAlign w:val="center"/>
            <w:hideMark/>
          </w:tcPr>
          <w:p w14:paraId="6C2FC046" w14:textId="77777777" w:rsidR="007D7124" w:rsidRPr="007D7124" w:rsidRDefault="007D7124" w:rsidP="007D7124">
            <w:r w:rsidRPr="007D7124">
              <w:t>- TEPCO plans +6–7 GW new renewables by 2030 and restart idled reactors post-2011 (</w:t>
            </w:r>
            <w:hyperlink r:id="rId12" w:tooltip="Tokyo Electric Power Company (TEPCO)" w:history="1">
              <w:r w:rsidRPr="007D7124">
                <w:rPr>
                  <w:rStyle w:val="Hyperlink"/>
                </w:rPr>
                <w:t>worldbenchmarkingalliance.org</w:t>
              </w:r>
            </w:hyperlink>
            <w:r w:rsidRPr="007D7124">
              <w:t>)- Phasing out low</w:t>
            </w:r>
            <w:r w:rsidRPr="007D7124">
              <w:rPr>
                <w:rFonts w:ascii="Cambria Math" w:hAnsi="Cambria Math" w:cs="Cambria Math"/>
              </w:rPr>
              <w:t>‐</w:t>
            </w:r>
            <w:r w:rsidRPr="007D7124">
              <w:t>efficiency coal; piloting hydrogen/ammonia co-firing at JERA plants (</w:t>
            </w:r>
            <w:hyperlink r:id="rId13" w:tooltip="Reactor restarts push up nuclear power share to 8.5% in FY 2023" w:history="1">
              <w:r w:rsidRPr="007D7124">
                <w:rPr>
                  <w:rStyle w:val="Hyperlink"/>
                </w:rPr>
                <w:t>asahi.com</w:t>
              </w:r>
            </w:hyperlink>
            <w:r w:rsidRPr="007D7124">
              <w:t>)</w:t>
            </w:r>
          </w:p>
        </w:tc>
      </w:tr>
      <w:tr w:rsidR="007D7124" w:rsidRPr="007D7124" w14:paraId="2EDFA9E8" w14:textId="77777777" w:rsidTr="007D7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F181E" w14:textId="77777777" w:rsidR="007D7124" w:rsidRPr="007D7124" w:rsidRDefault="007D7124" w:rsidP="007D7124">
            <w:r w:rsidRPr="007D7124">
              <w:rPr>
                <w:b/>
                <w:bCs/>
              </w:rPr>
              <w:t>Chubu</w:t>
            </w:r>
          </w:p>
        </w:tc>
        <w:tc>
          <w:tcPr>
            <w:tcW w:w="0" w:type="auto"/>
            <w:vAlign w:val="center"/>
            <w:hideMark/>
          </w:tcPr>
          <w:p w14:paraId="2A0D26EB" w14:textId="77777777" w:rsidR="007D7124" w:rsidRPr="007D7124" w:rsidRDefault="007D7124" w:rsidP="007D7124">
            <w:r w:rsidRPr="007D7124">
              <w:t xml:space="preserve">- </w:t>
            </w:r>
            <w:r w:rsidRPr="007D7124">
              <w:rPr>
                <w:b/>
                <w:bCs/>
              </w:rPr>
              <w:t xml:space="preserve">Renewables </w:t>
            </w:r>
            <w:r w:rsidRPr="007D7124">
              <w:rPr>
                <w:rFonts w:ascii="Cambria Math" w:hAnsi="Cambria Math" w:cs="Cambria Math"/>
                <w:b/>
                <w:bCs/>
              </w:rPr>
              <w:t>∼</w:t>
            </w:r>
            <w:r w:rsidRPr="007D7124">
              <w:rPr>
                <w:b/>
                <w:bCs/>
              </w:rPr>
              <w:t>22.7 %</w:t>
            </w:r>
            <w:r w:rsidRPr="007D7124">
              <w:t xml:space="preserve"> (</w:t>
            </w:r>
            <w:proofErr w:type="spellStart"/>
            <w:r w:rsidRPr="007D7124">
              <w:t>solar+wind</w:t>
            </w:r>
            <w:proofErr w:type="spellEnd"/>
            <w:r w:rsidRPr="007D7124">
              <w:t xml:space="preserve"> 11.8 %) (</w:t>
            </w:r>
            <w:hyperlink r:id="rId14" w:tooltip="2023 Share of Electricity from Renewable Energy Resources in ..." w:history="1">
              <w:r w:rsidRPr="007D7124">
                <w:rPr>
                  <w:rStyle w:val="Hyperlink"/>
                </w:rPr>
                <w:t>isep.or.jp</w:t>
              </w:r>
            </w:hyperlink>
            <w:r w:rsidRPr="007D7124">
              <w:t xml:space="preserve">)- </w:t>
            </w:r>
            <w:r w:rsidRPr="007D7124">
              <w:rPr>
                <w:b/>
                <w:bCs/>
              </w:rPr>
              <w:t xml:space="preserve">Nuclear </w:t>
            </w:r>
            <w:r w:rsidRPr="007D7124">
              <w:rPr>
                <w:rFonts w:ascii="Cambria Math" w:hAnsi="Cambria Math" w:cs="Cambria Math"/>
                <w:b/>
                <w:bCs/>
              </w:rPr>
              <w:t>∼</w:t>
            </w:r>
            <w:r w:rsidRPr="007D7124">
              <w:rPr>
                <w:b/>
                <w:bCs/>
              </w:rPr>
              <w:t>20 %</w:t>
            </w:r>
            <w:r w:rsidRPr="007D7124">
              <w:t xml:space="preserve"> (Hamaoka, Tokai)—partial restarts under review- </w:t>
            </w:r>
            <w:r w:rsidRPr="007D7124">
              <w:rPr>
                <w:b/>
                <w:bCs/>
              </w:rPr>
              <w:t xml:space="preserve">Hydro </w:t>
            </w:r>
            <w:r w:rsidRPr="007D7124">
              <w:rPr>
                <w:rFonts w:ascii="Cambria Math" w:hAnsi="Cambria Math" w:cs="Cambria Math"/>
                <w:b/>
                <w:bCs/>
              </w:rPr>
              <w:t>∼</w:t>
            </w:r>
            <w:r w:rsidRPr="007D7124">
              <w:rPr>
                <w:b/>
                <w:bCs/>
              </w:rPr>
              <w:t>15 %</w:t>
            </w:r>
            <w:r w:rsidRPr="007D7124">
              <w:t xml:space="preserve">, </w:t>
            </w:r>
            <w:r w:rsidRPr="007D7124">
              <w:rPr>
                <w:b/>
                <w:bCs/>
              </w:rPr>
              <w:t xml:space="preserve">Thermal </w:t>
            </w:r>
            <w:r w:rsidRPr="007D7124">
              <w:rPr>
                <w:rFonts w:ascii="Cambria Math" w:hAnsi="Cambria Math" w:cs="Cambria Math"/>
                <w:b/>
                <w:bCs/>
              </w:rPr>
              <w:t>∼</w:t>
            </w:r>
            <w:r w:rsidRPr="007D7124">
              <w:rPr>
                <w:b/>
                <w:bCs/>
              </w:rPr>
              <w:t>42 %</w:t>
            </w:r>
            <w:r w:rsidRPr="007D7124">
              <w:t xml:space="preserve"> (LNG </w:t>
            </w:r>
            <w:r w:rsidRPr="007D7124">
              <w:rPr>
                <w:rFonts w:ascii="Cambria Math" w:hAnsi="Cambria Math" w:cs="Cambria Math"/>
              </w:rPr>
              <w:t>∼</w:t>
            </w:r>
            <w:r w:rsidRPr="007D7124">
              <w:t xml:space="preserve">25 %, coal </w:t>
            </w:r>
            <w:r w:rsidRPr="007D7124">
              <w:rPr>
                <w:rFonts w:ascii="Cambria Math" w:hAnsi="Cambria Math" w:cs="Cambria Math"/>
              </w:rPr>
              <w:t>∼</w:t>
            </w:r>
            <w:r w:rsidRPr="007D7124">
              <w:t xml:space="preserve">12 %, oil </w:t>
            </w:r>
            <w:r w:rsidRPr="007D7124">
              <w:rPr>
                <w:rFonts w:ascii="Cambria Math" w:hAnsi="Cambria Math" w:cs="Cambria Math"/>
              </w:rPr>
              <w:t>∼</w:t>
            </w:r>
            <w:r w:rsidRPr="007D7124">
              <w:t>5 %)</w:t>
            </w:r>
          </w:p>
        </w:tc>
        <w:tc>
          <w:tcPr>
            <w:tcW w:w="0" w:type="auto"/>
            <w:vAlign w:val="center"/>
            <w:hideMark/>
          </w:tcPr>
          <w:p w14:paraId="559ACE0D" w14:textId="77777777" w:rsidR="007D7124" w:rsidRPr="007D7124" w:rsidRDefault="007D7124" w:rsidP="007D7124">
            <w:r w:rsidRPr="007D7124">
              <w:t>- OCCTO-led boost of Tokyo–Chubu interconnector from 2.1 GW to 3.0 GW by FY2027 (</w:t>
            </w:r>
            <w:hyperlink r:id="rId15" w:tooltip="[PDF] Decarbonization pathways for Japan - GE Vernova" w:history="1">
              <w:r w:rsidRPr="007D7124">
                <w:rPr>
                  <w:rStyle w:val="Hyperlink"/>
                </w:rPr>
                <w:t>gevernova.com</w:t>
              </w:r>
            </w:hyperlink>
            <w:r w:rsidRPr="007D7124">
              <w:t xml:space="preserve">)- Major offshore wind tenders off </w:t>
            </w:r>
            <w:proofErr w:type="spellStart"/>
            <w:r w:rsidRPr="007D7124">
              <w:t>Mikawa</w:t>
            </w:r>
            <w:proofErr w:type="spellEnd"/>
            <w:r w:rsidRPr="007D7124">
              <w:t xml:space="preserve"> Bay, aiming for 1 GW by 2030</w:t>
            </w:r>
          </w:p>
        </w:tc>
      </w:tr>
      <w:tr w:rsidR="007D7124" w:rsidRPr="007D7124" w14:paraId="02E2686D" w14:textId="77777777" w:rsidTr="007D7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5F34F" w14:textId="77777777" w:rsidR="007D7124" w:rsidRPr="007D7124" w:rsidRDefault="007D7124" w:rsidP="007D7124">
            <w:r w:rsidRPr="007D7124">
              <w:rPr>
                <w:b/>
                <w:bCs/>
              </w:rPr>
              <w:t>Hokuriku</w:t>
            </w:r>
          </w:p>
        </w:tc>
        <w:tc>
          <w:tcPr>
            <w:tcW w:w="0" w:type="auto"/>
            <w:vAlign w:val="center"/>
            <w:hideMark/>
          </w:tcPr>
          <w:p w14:paraId="0ED4093A" w14:textId="77777777" w:rsidR="007D7124" w:rsidRPr="007D7124" w:rsidRDefault="007D7124" w:rsidP="007D7124">
            <w:r w:rsidRPr="007D7124">
              <w:t xml:space="preserve">- </w:t>
            </w:r>
            <w:r w:rsidRPr="007D7124">
              <w:rPr>
                <w:b/>
                <w:bCs/>
              </w:rPr>
              <w:t xml:space="preserve">Renewables </w:t>
            </w:r>
            <w:r w:rsidRPr="007D7124">
              <w:rPr>
                <w:rFonts w:ascii="Cambria Math" w:hAnsi="Cambria Math" w:cs="Cambria Math"/>
                <w:b/>
                <w:bCs/>
              </w:rPr>
              <w:t>∼</w:t>
            </w:r>
            <w:r w:rsidRPr="007D7124">
              <w:rPr>
                <w:b/>
                <w:bCs/>
              </w:rPr>
              <w:t>22.7 %</w:t>
            </w:r>
            <w:r w:rsidRPr="007D7124">
              <w:t xml:space="preserve"> (</w:t>
            </w:r>
            <w:proofErr w:type="spellStart"/>
            <w:r w:rsidRPr="007D7124">
              <w:t>solar+wind</w:t>
            </w:r>
            <w:proofErr w:type="spellEnd"/>
            <w:r w:rsidRPr="007D7124">
              <w:t xml:space="preserve"> 11.8 %) (</w:t>
            </w:r>
            <w:hyperlink r:id="rId16" w:tooltip="2023 Share of Electricity from Renewable Energy Resources in ..." w:history="1">
              <w:r w:rsidRPr="007D7124">
                <w:rPr>
                  <w:rStyle w:val="Hyperlink"/>
                </w:rPr>
                <w:t>isep.or.jp</w:t>
              </w:r>
            </w:hyperlink>
            <w:r w:rsidRPr="007D7124">
              <w:t xml:space="preserve">)- </w:t>
            </w:r>
            <w:r w:rsidRPr="007D7124">
              <w:rPr>
                <w:b/>
                <w:bCs/>
              </w:rPr>
              <w:lastRenderedPageBreak/>
              <w:t xml:space="preserve">Hydro </w:t>
            </w:r>
            <w:r w:rsidRPr="007D7124">
              <w:rPr>
                <w:rFonts w:ascii="Cambria Math" w:hAnsi="Cambria Math" w:cs="Cambria Math"/>
                <w:b/>
                <w:bCs/>
              </w:rPr>
              <w:t>∼</w:t>
            </w:r>
            <w:r w:rsidRPr="007D7124">
              <w:rPr>
                <w:b/>
                <w:bCs/>
              </w:rPr>
              <w:t>35 %</w:t>
            </w:r>
            <w:r w:rsidRPr="007D7124">
              <w:t xml:space="preserve"> (multi-purpose dams)- </w:t>
            </w:r>
            <w:r w:rsidRPr="007D7124">
              <w:rPr>
                <w:b/>
                <w:bCs/>
              </w:rPr>
              <w:t xml:space="preserve">Nuclear </w:t>
            </w:r>
            <w:r w:rsidRPr="007D7124">
              <w:rPr>
                <w:rFonts w:ascii="Cambria Math" w:hAnsi="Cambria Math" w:cs="Cambria Math"/>
                <w:b/>
                <w:bCs/>
              </w:rPr>
              <w:t>∼</w:t>
            </w:r>
            <w:r w:rsidRPr="007D7124">
              <w:rPr>
                <w:b/>
                <w:bCs/>
              </w:rPr>
              <w:t>0 %</w:t>
            </w:r>
            <w:r w:rsidRPr="007D7124">
              <w:t xml:space="preserve">- </w:t>
            </w:r>
            <w:r w:rsidRPr="007D7124">
              <w:rPr>
                <w:b/>
                <w:bCs/>
              </w:rPr>
              <w:t xml:space="preserve">Thermal </w:t>
            </w:r>
            <w:r w:rsidRPr="007D7124">
              <w:rPr>
                <w:rFonts w:ascii="Cambria Math" w:hAnsi="Cambria Math" w:cs="Cambria Math"/>
                <w:b/>
                <w:bCs/>
              </w:rPr>
              <w:t>∼</w:t>
            </w:r>
            <w:r w:rsidRPr="007D7124">
              <w:rPr>
                <w:b/>
                <w:bCs/>
              </w:rPr>
              <w:t>42 %</w:t>
            </w:r>
            <w:r w:rsidRPr="007D7124">
              <w:t xml:space="preserve"> (coal </w:t>
            </w:r>
            <w:r w:rsidRPr="007D7124">
              <w:rPr>
                <w:rFonts w:ascii="Cambria Math" w:hAnsi="Cambria Math" w:cs="Cambria Math"/>
              </w:rPr>
              <w:t>∼</w:t>
            </w:r>
            <w:r w:rsidRPr="007D7124">
              <w:t xml:space="preserve">20 %, LNG </w:t>
            </w:r>
            <w:r w:rsidRPr="007D7124">
              <w:rPr>
                <w:rFonts w:ascii="Cambria Math" w:hAnsi="Cambria Math" w:cs="Cambria Math"/>
              </w:rPr>
              <w:t>∼</w:t>
            </w:r>
            <w:r w:rsidRPr="007D7124">
              <w:t xml:space="preserve">15 %, oil </w:t>
            </w:r>
            <w:r w:rsidRPr="007D7124">
              <w:rPr>
                <w:rFonts w:ascii="Cambria Math" w:hAnsi="Cambria Math" w:cs="Cambria Math"/>
              </w:rPr>
              <w:t>∼</w:t>
            </w:r>
            <w:r w:rsidRPr="007D7124">
              <w:t>7 %)</w:t>
            </w:r>
          </w:p>
        </w:tc>
        <w:tc>
          <w:tcPr>
            <w:tcW w:w="0" w:type="auto"/>
            <w:vAlign w:val="center"/>
            <w:hideMark/>
          </w:tcPr>
          <w:p w14:paraId="77729C48" w14:textId="77777777" w:rsidR="007D7124" w:rsidRPr="007D7124" w:rsidRDefault="007D7124" w:rsidP="007D7124">
            <w:r w:rsidRPr="007D7124">
              <w:lastRenderedPageBreak/>
              <w:t xml:space="preserve">- Upgrading large pumped-storage at Kurobe and </w:t>
            </w:r>
            <w:proofErr w:type="spellStart"/>
            <w:r w:rsidRPr="007D7124">
              <w:t>Kamioka</w:t>
            </w:r>
            <w:proofErr w:type="spellEnd"/>
            <w:r w:rsidRPr="007D7124">
              <w:t xml:space="preserve"> to absorb surplus PV </w:t>
            </w:r>
            <w:r w:rsidRPr="007D7124">
              <w:lastRenderedPageBreak/>
              <w:t>(</w:t>
            </w:r>
            <w:hyperlink r:id="rId17" w:tooltip="[PDF] 10questions for understanding the current energy situation" w:history="1">
              <w:r w:rsidRPr="007D7124">
                <w:rPr>
                  <w:rStyle w:val="Hyperlink"/>
                </w:rPr>
                <w:t>enecho.meti.go.jp</w:t>
              </w:r>
            </w:hyperlink>
            <w:r w:rsidRPr="007D7124">
              <w:t>)- Strengthening ties to Chubu/Hokuriku and Kansai grids for better cross-area dispatch</w:t>
            </w:r>
          </w:p>
        </w:tc>
      </w:tr>
      <w:tr w:rsidR="007D7124" w:rsidRPr="007D7124" w14:paraId="683841AC" w14:textId="77777777" w:rsidTr="007D7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CD139" w14:textId="77777777" w:rsidR="007D7124" w:rsidRPr="007D7124" w:rsidRDefault="007D7124" w:rsidP="007D7124">
            <w:r w:rsidRPr="007D7124">
              <w:rPr>
                <w:b/>
                <w:bCs/>
              </w:rPr>
              <w:lastRenderedPageBreak/>
              <w:t>Kansai</w:t>
            </w:r>
          </w:p>
        </w:tc>
        <w:tc>
          <w:tcPr>
            <w:tcW w:w="0" w:type="auto"/>
            <w:vAlign w:val="center"/>
            <w:hideMark/>
          </w:tcPr>
          <w:p w14:paraId="46835751" w14:textId="77777777" w:rsidR="007D7124" w:rsidRPr="007D7124" w:rsidRDefault="007D7124" w:rsidP="007D7124">
            <w:r w:rsidRPr="007D7124">
              <w:t xml:space="preserve">- </w:t>
            </w:r>
            <w:r w:rsidRPr="007D7124">
              <w:rPr>
                <w:b/>
                <w:bCs/>
              </w:rPr>
              <w:t xml:space="preserve">Renewables </w:t>
            </w:r>
            <w:r w:rsidRPr="007D7124">
              <w:rPr>
                <w:rFonts w:ascii="Cambria Math" w:hAnsi="Cambria Math" w:cs="Cambria Math"/>
                <w:b/>
                <w:bCs/>
              </w:rPr>
              <w:t>∼</w:t>
            </w:r>
            <w:r w:rsidRPr="007D7124">
              <w:rPr>
                <w:b/>
                <w:bCs/>
              </w:rPr>
              <w:t>22.7 %</w:t>
            </w:r>
            <w:r w:rsidRPr="007D7124">
              <w:t xml:space="preserve"> (</w:t>
            </w:r>
            <w:proofErr w:type="spellStart"/>
            <w:r w:rsidRPr="007D7124">
              <w:t>solar+wind</w:t>
            </w:r>
            <w:proofErr w:type="spellEnd"/>
            <w:r w:rsidRPr="007D7124">
              <w:t xml:space="preserve"> 11.8 %) (</w:t>
            </w:r>
            <w:hyperlink r:id="rId18" w:tooltip="2023 Share of Electricity from Renewable Energy Resources in ..." w:history="1">
              <w:r w:rsidRPr="007D7124">
                <w:rPr>
                  <w:rStyle w:val="Hyperlink"/>
                </w:rPr>
                <w:t>isep.or.jp</w:t>
              </w:r>
            </w:hyperlink>
            <w:r w:rsidRPr="007D7124">
              <w:t xml:space="preserve">)- </w:t>
            </w:r>
            <w:r w:rsidRPr="007D7124">
              <w:rPr>
                <w:b/>
                <w:bCs/>
              </w:rPr>
              <w:t xml:space="preserve">Nuclear </w:t>
            </w:r>
            <w:r w:rsidRPr="007D7124">
              <w:rPr>
                <w:rFonts w:ascii="Cambria Math" w:hAnsi="Cambria Math" w:cs="Cambria Math"/>
                <w:b/>
                <w:bCs/>
              </w:rPr>
              <w:t>∼</w:t>
            </w:r>
            <w:r w:rsidRPr="007D7124">
              <w:rPr>
                <w:b/>
                <w:bCs/>
              </w:rPr>
              <w:t>16.5 %</w:t>
            </w:r>
            <w:r w:rsidRPr="007D7124">
              <w:t xml:space="preserve"> (Ohi, Mihama, Takahama)—several restarts underway- </w:t>
            </w:r>
            <w:r w:rsidRPr="007D7124">
              <w:rPr>
                <w:b/>
                <w:bCs/>
              </w:rPr>
              <w:t xml:space="preserve">Hydro </w:t>
            </w:r>
            <w:r w:rsidRPr="007D7124">
              <w:rPr>
                <w:rFonts w:ascii="Cambria Math" w:hAnsi="Cambria Math" w:cs="Cambria Math"/>
                <w:b/>
                <w:bCs/>
              </w:rPr>
              <w:t>∼</w:t>
            </w:r>
            <w:r w:rsidRPr="007D7124">
              <w:rPr>
                <w:b/>
                <w:bCs/>
              </w:rPr>
              <w:t>10 %</w:t>
            </w:r>
            <w:r w:rsidRPr="007D7124">
              <w:t xml:space="preserve">- </w:t>
            </w:r>
            <w:r w:rsidRPr="007D7124">
              <w:rPr>
                <w:b/>
                <w:bCs/>
              </w:rPr>
              <w:t xml:space="preserve">Thermal </w:t>
            </w:r>
            <w:r w:rsidRPr="007D7124">
              <w:rPr>
                <w:rFonts w:ascii="Cambria Math" w:hAnsi="Cambria Math" w:cs="Cambria Math"/>
                <w:b/>
                <w:bCs/>
              </w:rPr>
              <w:t>∼</w:t>
            </w:r>
            <w:r w:rsidRPr="007D7124">
              <w:rPr>
                <w:b/>
                <w:bCs/>
              </w:rPr>
              <w:t>50 %</w:t>
            </w:r>
            <w:r w:rsidRPr="007D7124">
              <w:t xml:space="preserve"> (coal </w:t>
            </w:r>
            <w:r w:rsidRPr="007D7124">
              <w:rPr>
                <w:rFonts w:ascii="Cambria Math" w:hAnsi="Cambria Math" w:cs="Cambria Math"/>
              </w:rPr>
              <w:t>∼</w:t>
            </w:r>
            <w:r w:rsidRPr="007D7124">
              <w:t xml:space="preserve">18 %, LNG </w:t>
            </w:r>
            <w:r w:rsidRPr="007D7124">
              <w:rPr>
                <w:rFonts w:ascii="Cambria Math" w:hAnsi="Cambria Math" w:cs="Cambria Math"/>
              </w:rPr>
              <w:t>∼</w:t>
            </w:r>
            <w:r w:rsidRPr="007D7124">
              <w:t xml:space="preserve">24 %, oil </w:t>
            </w:r>
            <w:r w:rsidRPr="007D7124">
              <w:rPr>
                <w:rFonts w:ascii="Cambria Math" w:hAnsi="Cambria Math" w:cs="Cambria Math"/>
              </w:rPr>
              <w:t>∼</w:t>
            </w:r>
            <w:r w:rsidRPr="007D7124">
              <w:t>8 %)</w:t>
            </w:r>
          </w:p>
        </w:tc>
        <w:tc>
          <w:tcPr>
            <w:tcW w:w="0" w:type="auto"/>
            <w:vAlign w:val="center"/>
            <w:hideMark/>
          </w:tcPr>
          <w:p w14:paraId="37B9A694" w14:textId="77777777" w:rsidR="007D7124" w:rsidRPr="007D7124" w:rsidRDefault="007D7124" w:rsidP="007D7124">
            <w:r w:rsidRPr="007D7124">
              <w:t>- Kansai Electric aiming for 50 % non-fossil by 2030; ramping up biomass co-firing (</w:t>
            </w:r>
            <w:hyperlink r:id="rId19" w:tooltip="[PDF] ELECTRICITY REVIEW JAPAN" w:history="1">
              <w:r w:rsidRPr="007D7124">
                <w:rPr>
                  <w:rStyle w:val="Hyperlink"/>
                </w:rPr>
                <w:t>fepc.or.jp</w:t>
              </w:r>
            </w:hyperlink>
            <w:r w:rsidRPr="007D7124">
              <w:t>)- Offshore wind pilot off the Kansai coast (Goal: 500 MW by 2030)</w:t>
            </w:r>
          </w:p>
        </w:tc>
      </w:tr>
      <w:tr w:rsidR="007D7124" w:rsidRPr="007D7124" w14:paraId="0683C717" w14:textId="77777777" w:rsidTr="007D7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C4F61" w14:textId="77777777" w:rsidR="007D7124" w:rsidRPr="007D7124" w:rsidRDefault="007D7124" w:rsidP="007D7124">
            <w:r w:rsidRPr="007D7124">
              <w:rPr>
                <w:b/>
                <w:bCs/>
              </w:rPr>
              <w:t>Chugoku</w:t>
            </w:r>
          </w:p>
        </w:tc>
        <w:tc>
          <w:tcPr>
            <w:tcW w:w="0" w:type="auto"/>
            <w:vAlign w:val="center"/>
            <w:hideMark/>
          </w:tcPr>
          <w:p w14:paraId="11BE2BA9" w14:textId="77777777" w:rsidR="007D7124" w:rsidRPr="007D7124" w:rsidRDefault="007D7124" w:rsidP="007D7124">
            <w:r w:rsidRPr="007D7124">
              <w:t xml:space="preserve">- </w:t>
            </w:r>
            <w:r w:rsidRPr="007D7124">
              <w:rPr>
                <w:b/>
                <w:bCs/>
              </w:rPr>
              <w:t xml:space="preserve">Renewables </w:t>
            </w:r>
            <w:r w:rsidRPr="007D7124">
              <w:rPr>
                <w:rFonts w:ascii="Cambria Math" w:hAnsi="Cambria Math" w:cs="Cambria Math"/>
                <w:b/>
                <w:bCs/>
              </w:rPr>
              <w:t>∼</w:t>
            </w:r>
            <w:r w:rsidRPr="007D7124">
              <w:rPr>
                <w:b/>
                <w:bCs/>
              </w:rPr>
              <w:t>22.7 %</w:t>
            </w:r>
            <w:r w:rsidRPr="007D7124">
              <w:t xml:space="preserve"> (</w:t>
            </w:r>
            <w:proofErr w:type="spellStart"/>
            <w:r w:rsidRPr="007D7124">
              <w:t>solar+wind</w:t>
            </w:r>
            <w:proofErr w:type="spellEnd"/>
            <w:r w:rsidRPr="007D7124">
              <w:t xml:space="preserve"> 11.8 %) (</w:t>
            </w:r>
            <w:hyperlink r:id="rId20" w:tooltip="2023 Share of Electricity from Renewable Energy Resources in ..." w:history="1">
              <w:r w:rsidRPr="007D7124">
                <w:rPr>
                  <w:rStyle w:val="Hyperlink"/>
                </w:rPr>
                <w:t>isep.or.jp</w:t>
              </w:r>
            </w:hyperlink>
            <w:r w:rsidRPr="007D7124">
              <w:t xml:space="preserve">)- </w:t>
            </w:r>
            <w:r w:rsidRPr="007D7124">
              <w:rPr>
                <w:b/>
                <w:bCs/>
              </w:rPr>
              <w:t xml:space="preserve">Nuclear </w:t>
            </w:r>
            <w:r w:rsidRPr="007D7124">
              <w:rPr>
                <w:rFonts w:ascii="Cambria Math" w:hAnsi="Cambria Math" w:cs="Cambria Math"/>
                <w:b/>
                <w:bCs/>
              </w:rPr>
              <w:t>∼</w:t>
            </w:r>
            <w:r w:rsidRPr="007D7124">
              <w:rPr>
                <w:b/>
                <w:bCs/>
              </w:rPr>
              <w:t>20 %</w:t>
            </w:r>
            <w:r w:rsidRPr="007D7124">
              <w:t xml:space="preserve"> (Shimane)—Unit 2 restart in 2024 (</w:t>
            </w:r>
            <w:hyperlink r:id="rId21" w:tooltip="Ishikari Bay New Port Offshore Wind Farm" w:history="1">
              <w:r w:rsidRPr="007D7124">
                <w:rPr>
                  <w:rStyle w:val="Hyperlink"/>
                </w:rPr>
                <w:t>en.wikipedia.org</w:t>
              </w:r>
            </w:hyperlink>
            <w:r w:rsidRPr="007D7124">
              <w:t xml:space="preserve">)- </w:t>
            </w:r>
            <w:r w:rsidRPr="007D7124">
              <w:rPr>
                <w:b/>
                <w:bCs/>
              </w:rPr>
              <w:t xml:space="preserve">Hydro </w:t>
            </w:r>
            <w:r w:rsidRPr="007D7124">
              <w:rPr>
                <w:rFonts w:ascii="Cambria Math" w:hAnsi="Cambria Math" w:cs="Cambria Math"/>
                <w:b/>
                <w:bCs/>
              </w:rPr>
              <w:t>∼</w:t>
            </w:r>
            <w:r w:rsidRPr="007D7124">
              <w:rPr>
                <w:b/>
                <w:bCs/>
              </w:rPr>
              <w:t>10 %</w:t>
            </w:r>
            <w:r w:rsidRPr="007D7124">
              <w:t xml:space="preserve">- </w:t>
            </w:r>
            <w:r w:rsidRPr="007D7124">
              <w:rPr>
                <w:b/>
                <w:bCs/>
              </w:rPr>
              <w:t xml:space="preserve">Thermal </w:t>
            </w:r>
            <w:r w:rsidRPr="007D7124">
              <w:rPr>
                <w:rFonts w:ascii="Cambria Math" w:hAnsi="Cambria Math" w:cs="Cambria Math"/>
                <w:b/>
                <w:bCs/>
              </w:rPr>
              <w:t>∼</w:t>
            </w:r>
            <w:r w:rsidRPr="007D7124">
              <w:rPr>
                <w:b/>
                <w:bCs/>
              </w:rPr>
              <w:t>48 %</w:t>
            </w:r>
            <w:r w:rsidRPr="007D7124">
              <w:t xml:space="preserve"> (coal </w:t>
            </w:r>
            <w:r w:rsidRPr="007D7124">
              <w:rPr>
                <w:rFonts w:ascii="Cambria Math" w:hAnsi="Cambria Math" w:cs="Cambria Math"/>
              </w:rPr>
              <w:t>∼</w:t>
            </w:r>
            <w:r w:rsidRPr="007D7124">
              <w:t xml:space="preserve">25 %, LNG </w:t>
            </w:r>
            <w:r w:rsidRPr="007D7124">
              <w:rPr>
                <w:rFonts w:ascii="Cambria Math" w:hAnsi="Cambria Math" w:cs="Cambria Math"/>
              </w:rPr>
              <w:t>∼</w:t>
            </w:r>
            <w:r w:rsidRPr="007D7124">
              <w:t xml:space="preserve">18 %, oil </w:t>
            </w:r>
            <w:r w:rsidRPr="007D7124">
              <w:rPr>
                <w:rFonts w:ascii="Cambria Math" w:hAnsi="Cambria Math" w:cs="Cambria Math"/>
              </w:rPr>
              <w:t>∼</w:t>
            </w:r>
            <w:r w:rsidRPr="007D7124">
              <w:t>5 %)</w:t>
            </w:r>
          </w:p>
        </w:tc>
        <w:tc>
          <w:tcPr>
            <w:tcW w:w="0" w:type="auto"/>
            <w:vAlign w:val="center"/>
            <w:hideMark/>
          </w:tcPr>
          <w:p w14:paraId="479DA9B1" w14:textId="77777777" w:rsidR="007D7124" w:rsidRPr="007D7124" w:rsidRDefault="007D7124" w:rsidP="007D7124">
            <w:r w:rsidRPr="007D7124">
              <w:t>- Shimane 2 restarting → 820 MW nuclear capacity restored (</w:t>
            </w:r>
            <w:hyperlink r:id="rId22" w:tooltip="Ishikari Bay New Port Offshore Wind Farm" w:history="1">
              <w:r w:rsidRPr="007D7124">
                <w:rPr>
                  <w:rStyle w:val="Hyperlink"/>
                </w:rPr>
                <w:t>en.wikipedia.org</w:t>
              </w:r>
            </w:hyperlink>
            <w:r w:rsidRPr="007D7124">
              <w:t>)- New battery storage and biomass projects to firm up solar output</w:t>
            </w:r>
          </w:p>
        </w:tc>
      </w:tr>
      <w:tr w:rsidR="007D7124" w:rsidRPr="007D7124" w14:paraId="390F9CAF" w14:textId="77777777" w:rsidTr="007D7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98464" w14:textId="77777777" w:rsidR="007D7124" w:rsidRPr="007D7124" w:rsidRDefault="007D7124" w:rsidP="007D7124">
            <w:r w:rsidRPr="007D7124">
              <w:rPr>
                <w:b/>
                <w:bCs/>
              </w:rPr>
              <w:t>Shikoku</w:t>
            </w:r>
          </w:p>
        </w:tc>
        <w:tc>
          <w:tcPr>
            <w:tcW w:w="0" w:type="auto"/>
            <w:vAlign w:val="center"/>
            <w:hideMark/>
          </w:tcPr>
          <w:p w14:paraId="38D8AB4C" w14:textId="77777777" w:rsidR="007D7124" w:rsidRPr="007D7124" w:rsidRDefault="007D7124" w:rsidP="007D7124">
            <w:r w:rsidRPr="007D7124">
              <w:t xml:space="preserve">- </w:t>
            </w:r>
            <w:r w:rsidRPr="007D7124">
              <w:rPr>
                <w:b/>
                <w:bCs/>
              </w:rPr>
              <w:t>Renewables 34.4 %</w:t>
            </w:r>
            <w:r w:rsidRPr="007D7124">
              <w:t xml:space="preserve">: Solar 16.6 %, Wind 2.0 %, Hydro </w:t>
            </w:r>
            <w:r w:rsidRPr="007D7124">
              <w:rPr>
                <w:rFonts w:ascii="Cambria Math" w:hAnsi="Cambria Math" w:cs="Cambria Math"/>
              </w:rPr>
              <w:t>∼</w:t>
            </w:r>
            <w:r w:rsidRPr="007D7124">
              <w:t>14.0 % (</w:t>
            </w:r>
            <w:hyperlink r:id="rId23" w:tooltip="2023 Share of Electricity from Renewable Energy Resources in ..." w:history="1">
              <w:r w:rsidRPr="007D7124">
                <w:rPr>
                  <w:rStyle w:val="Hyperlink"/>
                </w:rPr>
                <w:t>isep.or.jp</w:t>
              </w:r>
            </w:hyperlink>
            <w:r w:rsidRPr="007D7124">
              <w:t xml:space="preserve">)- </w:t>
            </w:r>
            <w:r w:rsidRPr="007D7124">
              <w:rPr>
                <w:b/>
                <w:bCs/>
              </w:rPr>
              <w:t>Nuclear 21.7 %</w:t>
            </w:r>
            <w:r w:rsidRPr="007D7124">
              <w:t xml:space="preserve"> (</w:t>
            </w:r>
            <w:proofErr w:type="spellStart"/>
            <w:r w:rsidRPr="007D7124">
              <w:t>Ikata</w:t>
            </w:r>
            <w:proofErr w:type="spellEnd"/>
            <w:r w:rsidRPr="007D7124">
              <w:t xml:space="preserve">)—phasing out by 2030 per Basic Energy Plan- </w:t>
            </w:r>
            <w:r w:rsidRPr="007D7124">
              <w:rPr>
                <w:b/>
                <w:bCs/>
              </w:rPr>
              <w:t xml:space="preserve">Thermal </w:t>
            </w:r>
            <w:r w:rsidRPr="007D7124">
              <w:rPr>
                <w:rFonts w:ascii="Cambria Math" w:hAnsi="Cambria Math" w:cs="Cambria Math"/>
                <w:b/>
                <w:bCs/>
              </w:rPr>
              <w:t>∼</w:t>
            </w:r>
            <w:r w:rsidRPr="007D7124">
              <w:rPr>
                <w:b/>
                <w:bCs/>
              </w:rPr>
              <w:t>44 %</w:t>
            </w:r>
            <w:r w:rsidRPr="007D7124">
              <w:t xml:space="preserve"> (LNG </w:t>
            </w:r>
            <w:r w:rsidRPr="007D7124">
              <w:rPr>
                <w:rFonts w:ascii="Cambria Math" w:hAnsi="Cambria Math" w:cs="Cambria Math"/>
              </w:rPr>
              <w:t>∼</w:t>
            </w:r>
            <w:r w:rsidRPr="007D7124">
              <w:t xml:space="preserve">30 %, coal </w:t>
            </w:r>
            <w:r w:rsidRPr="007D7124">
              <w:rPr>
                <w:rFonts w:ascii="Cambria Math" w:hAnsi="Cambria Math" w:cs="Cambria Math"/>
              </w:rPr>
              <w:t>∼</w:t>
            </w:r>
            <w:r w:rsidRPr="007D7124">
              <w:t xml:space="preserve">10 %, oil </w:t>
            </w:r>
            <w:r w:rsidRPr="007D7124">
              <w:rPr>
                <w:rFonts w:ascii="Cambria Math" w:hAnsi="Cambria Math" w:cs="Cambria Math"/>
              </w:rPr>
              <w:t>∼</w:t>
            </w:r>
            <w:r w:rsidRPr="007D7124">
              <w:t>4 %)</w:t>
            </w:r>
          </w:p>
        </w:tc>
        <w:tc>
          <w:tcPr>
            <w:tcW w:w="0" w:type="auto"/>
            <w:vAlign w:val="center"/>
            <w:hideMark/>
          </w:tcPr>
          <w:p w14:paraId="6B305A93" w14:textId="77777777" w:rsidR="007D7124" w:rsidRPr="007D7124" w:rsidRDefault="007D7124" w:rsidP="007D7124">
            <w:r w:rsidRPr="007D7124">
              <w:t>- Interconnector reinforcement to Kansai (1.2 GW → 1.5 GW) by 2025 (</w:t>
            </w:r>
            <w:hyperlink r:id="rId24" w:tooltip="Outlook of Electricity Supply-Demand and Cross-regional ..." w:history="1">
              <w:r w:rsidRPr="007D7124">
                <w:rPr>
                  <w:rStyle w:val="Hyperlink"/>
                </w:rPr>
                <w:t>occto.or.jp</w:t>
              </w:r>
            </w:hyperlink>
            <w:r w:rsidRPr="007D7124">
              <w:t>)- Shikoku EPC developing 300 MW offshore wind off Iyo Gulf by 2030</w:t>
            </w:r>
          </w:p>
        </w:tc>
      </w:tr>
      <w:tr w:rsidR="007D7124" w:rsidRPr="007D7124" w14:paraId="177FC717" w14:textId="77777777" w:rsidTr="007D7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AB2FA" w14:textId="77777777" w:rsidR="007D7124" w:rsidRPr="007D7124" w:rsidRDefault="007D7124" w:rsidP="007D7124">
            <w:r w:rsidRPr="007D7124">
              <w:rPr>
                <w:b/>
                <w:bCs/>
              </w:rPr>
              <w:t>Kyushu</w:t>
            </w:r>
          </w:p>
        </w:tc>
        <w:tc>
          <w:tcPr>
            <w:tcW w:w="0" w:type="auto"/>
            <w:vAlign w:val="center"/>
            <w:hideMark/>
          </w:tcPr>
          <w:p w14:paraId="7AB0ECA5" w14:textId="77777777" w:rsidR="007D7124" w:rsidRPr="007D7124" w:rsidRDefault="007D7124" w:rsidP="007D7124">
            <w:r w:rsidRPr="007D7124">
              <w:t xml:space="preserve">- </w:t>
            </w:r>
            <w:r w:rsidRPr="007D7124">
              <w:rPr>
                <w:b/>
                <w:bCs/>
              </w:rPr>
              <w:t>Renewables 28.4 %</w:t>
            </w:r>
            <w:r w:rsidRPr="007D7124">
              <w:t xml:space="preserve"> (VRE 16.6 %) (</w:t>
            </w:r>
            <w:hyperlink r:id="rId25" w:tooltip="2023 Share of Electricity from Renewable Energy Resources in ..." w:history="1">
              <w:r w:rsidRPr="007D7124">
                <w:rPr>
                  <w:rStyle w:val="Hyperlink"/>
                </w:rPr>
                <w:t>isep.or.jp</w:t>
              </w:r>
            </w:hyperlink>
            <w:r w:rsidRPr="007D7124">
              <w:t xml:space="preserve">)- </w:t>
            </w:r>
            <w:r w:rsidRPr="007D7124">
              <w:rPr>
                <w:b/>
                <w:bCs/>
              </w:rPr>
              <w:t xml:space="preserve">Nuclear </w:t>
            </w:r>
            <w:r w:rsidRPr="007D7124">
              <w:rPr>
                <w:rFonts w:ascii="Cambria Math" w:hAnsi="Cambria Math" w:cs="Cambria Math"/>
                <w:b/>
                <w:bCs/>
              </w:rPr>
              <w:t>∼</w:t>
            </w:r>
            <w:r w:rsidRPr="007D7124">
              <w:rPr>
                <w:b/>
                <w:bCs/>
              </w:rPr>
              <w:t>20</w:t>
            </w:r>
            <w:r w:rsidRPr="007D7124">
              <w:rPr>
                <w:rFonts w:ascii="Aptos" w:hAnsi="Aptos" w:cs="Aptos"/>
                <w:b/>
                <w:bCs/>
              </w:rPr>
              <w:t>–</w:t>
            </w:r>
            <w:r w:rsidRPr="007D7124">
              <w:rPr>
                <w:b/>
                <w:bCs/>
              </w:rPr>
              <w:t>25 %</w:t>
            </w:r>
            <w:r w:rsidRPr="007D7124">
              <w:t xml:space="preserve"> (Genkai, Sendai)—several units returning online- </w:t>
            </w:r>
            <w:r w:rsidRPr="007D7124">
              <w:rPr>
                <w:b/>
                <w:bCs/>
              </w:rPr>
              <w:t xml:space="preserve">Hydro </w:t>
            </w:r>
            <w:r w:rsidRPr="007D7124">
              <w:rPr>
                <w:rFonts w:ascii="Cambria Math" w:hAnsi="Cambria Math" w:cs="Cambria Math"/>
                <w:b/>
                <w:bCs/>
              </w:rPr>
              <w:t>∼</w:t>
            </w:r>
            <w:r w:rsidRPr="007D7124">
              <w:rPr>
                <w:b/>
                <w:bCs/>
              </w:rPr>
              <w:t>10 %</w:t>
            </w:r>
            <w:r w:rsidRPr="007D7124">
              <w:t xml:space="preserve">- </w:t>
            </w:r>
            <w:r w:rsidRPr="007D7124">
              <w:rPr>
                <w:b/>
                <w:bCs/>
              </w:rPr>
              <w:t xml:space="preserve">Thermal </w:t>
            </w:r>
            <w:r w:rsidRPr="007D7124">
              <w:rPr>
                <w:rFonts w:ascii="Cambria Math" w:hAnsi="Cambria Math" w:cs="Cambria Math"/>
                <w:b/>
                <w:bCs/>
              </w:rPr>
              <w:t>∼</w:t>
            </w:r>
            <w:r w:rsidRPr="007D7124">
              <w:rPr>
                <w:b/>
                <w:bCs/>
              </w:rPr>
              <w:t>46 %</w:t>
            </w:r>
            <w:r w:rsidRPr="007D7124">
              <w:t xml:space="preserve"> (LNG </w:t>
            </w:r>
            <w:r w:rsidRPr="007D7124">
              <w:rPr>
                <w:rFonts w:ascii="Cambria Math" w:hAnsi="Cambria Math" w:cs="Cambria Math"/>
              </w:rPr>
              <w:t>∼</w:t>
            </w:r>
            <w:r w:rsidRPr="007D7124">
              <w:t xml:space="preserve">25 %, coal </w:t>
            </w:r>
            <w:r w:rsidRPr="007D7124">
              <w:rPr>
                <w:rFonts w:ascii="Cambria Math" w:hAnsi="Cambria Math" w:cs="Cambria Math"/>
              </w:rPr>
              <w:t>∼</w:t>
            </w:r>
            <w:r w:rsidRPr="007D7124">
              <w:t xml:space="preserve">15 %, oil </w:t>
            </w:r>
            <w:r w:rsidRPr="007D7124">
              <w:rPr>
                <w:rFonts w:ascii="Cambria Math" w:hAnsi="Cambria Math" w:cs="Cambria Math"/>
              </w:rPr>
              <w:t>∼</w:t>
            </w:r>
            <w:r w:rsidRPr="007D7124">
              <w:t>6 %)</w:t>
            </w:r>
          </w:p>
        </w:tc>
        <w:tc>
          <w:tcPr>
            <w:tcW w:w="0" w:type="auto"/>
            <w:vAlign w:val="center"/>
            <w:hideMark/>
          </w:tcPr>
          <w:p w14:paraId="70736F3F" w14:textId="77777777" w:rsidR="007D7124" w:rsidRPr="007D7124" w:rsidRDefault="007D7124" w:rsidP="007D7124">
            <w:r w:rsidRPr="007D7124">
              <w:t xml:space="preserve">- </w:t>
            </w:r>
            <w:proofErr w:type="spellStart"/>
            <w:r w:rsidRPr="007D7124">
              <w:t>Kyuden</w:t>
            </w:r>
            <w:proofErr w:type="spellEnd"/>
            <w:r w:rsidRPr="007D7124">
              <w:t xml:space="preserve"> plans 1 GW offshore wind by 2030; first floating pilot off Amami in 2025 (</w:t>
            </w:r>
            <w:hyperlink r:id="rId26" w:tooltip="[PDF] 10questions for understanding the current energy situation" w:history="1">
              <w:r w:rsidRPr="007D7124">
                <w:rPr>
                  <w:rStyle w:val="Hyperlink"/>
                </w:rPr>
                <w:t>enecho.meti.go.jp</w:t>
              </w:r>
            </w:hyperlink>
            <w:r w:rsidRPr="007D7124">
              <w:t>)- Hydrogen co-firing trials at Sendai plant and expanded biomass blending</w:t>
            </w:r>
          </w:p>
        </w:tc>
      </w:tr>
    </w:tbl>
    <w:p w14:paraId="09E22E2B" w14:textId="77777777" w:rsidR="007D7124" w:rsidRPr="00386A32" w:rsidRDefault="007D7124" w:rsidP="00386A32"/>
    <w:sectPr w:rsidR="007D7124" w:rsidRPr="00386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C2374"/>
    <w:multiLevelType w:val="multilevel"/>
    <w:tmpl w:val="BC30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E2374"/>
    <w:multiLevelType w:val="multilevel"/>
    <w:tmpl w:val="C122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D7D4E"/>
    <w:multiLevelType w:val="multilevel"/>
    <w:tmpl w:val="C338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55379"/>
    <w:multiLevelType w:val="multilevel"/>
    <w:tmpl w:val="3C80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87076"/>
    <w:multiLevelType w:val="multilevel"/>
    <w:tmpl w:val="559C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921C6"/>
    <w:multiLevelType w:val="multilevel"/>
    <w:tmpl w:val="BE12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D597E"/>
    <w:multiLevelType w:val="multilevel"/>
    <w:tmpl w:val="0888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B3DAD"/>
    <w:multiLevelType w:val="multilevel"/>
    <w:tmpl w:val="C3BC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C6543"/>
    <w:multiLevelType w:val="multilevel"/>
    <w:tmpl w:val="35E4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6567F"/>
    <w:multiLevelType w:val="multilevel"/>
    <w:tmpl w:val="207E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B344B"/>
    <w:multiLevelType w:val="multilevel"/>
    <w:tmpl w:val="D6B0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8A525E"/>
    <w:multiLevelType w:val="multilevel"/>
    <w:tmpl w:val="2EA4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D18CF"/>
    <w:multiLevelType w:val="multilevel"/>
    <w:tmpl w:val="CF96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A93E01"/>
    <w:multiLevelType w:val="hybridMultilevel"/>
    <w:tmpl w:val="FE0259D2"/>
    <w:lvl w:ilvl="0" w:tplc="7BC0CF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D3C57"/>
    <w:multiLevelType w:val="multilevel"/>
    <w:tmpl w:val="1D44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452122">
    <w:abstractNumId w:val="13"/>
  </w:num>
  <w:num w:numId="2" w16cid:durableId="1305700416">
    <w:abstractNumId w:val="0"/>
  </w:num>
  <w:num w:numId="3" w16cid:durableId="1770346263">
    <w:abstractNumId w:val="7"/>
  </w:num>
  <w:num w:numId="4" w16cid:durableId="200941044">
    <w:abstractNumId w:val="12"/>
  </w:num>
  <w:num w:numId="5" w16cid:durableId="679233224">
    <w:abstractNumId w:val="11"/>
  </w:num>
  <w:num w:numId="6" w16cid:durableId="1987397393">
    <w:abstractNumId w:val="5"/>
  </w:num>
  <w:num w:numId="7" w16cid:durableId="606278907">
    <w:abstractNumId w:val="6"/>
  </w:num>
  <w:num w:numId="8" w16cid:durableId="1095007818">
    <w:abstractNumId w:val="2"/>
  </w:num>
  <w:num w:numId="9" w16cid:durableId="1186595939">
    <w:abstractNumId w:val="14"/>
  </w:num>
  <w:num w:numId="10" w16cid:durableId="738600325">
    <w:abstractNumId w:val="1"/>
  </w:num>
  <w:num w:numId="11" w16cid:durableId="422341669">
    <w:abstractNumId w:val="8"/>
  </w:num>
  <w:num w:numId="12" w16cid:durableId="1472097375">
    <w:abstractNumId w:val="3"/>
  </w:num>
  <w:num w:numId="13" w16cid:durableId="1171068213">
    <w:abstractNumId w:val="9"/>
  </w:num>
  <w:num w:numId="14" w16cid:durableId="967201183">
    <w:abstractNumId w:val="10"/>
  </w:num>
  <w:num w:numId="15" w16cid:durableId="1542522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32"/>
    <w:rsid w:val="000560FA"/>
    <w:rsid w:val="0006213A"/>
    <w:rsid w:val="000B0B38"/>
    <w:rsid w:val="000B6A34"/>
    <w:rsid w:val="002B058E"/>
    <w:rsid w:val="00384F2C"/>
    <w:rsid w:val="00386A32"/>
    <w:rsid w:val="004420FE"/>
    <w:rsid w:val="00472EA6"/>
    <w:rsid w:val="00511CD8"/>
    <w:rsid w:val="00566BCD"/>
    <w:rsid w:val="006560E9"/>
    <w:rsid w:val="006C7E4B"/>
    <w:rsid w:val="007C30E5"/>
    <w:rsid w:val="007D7124"/>
    <w:rsid w:val="00827BA1"/>
    <w:rsid w:val="0086219C"/>
    <w:rsid w:val="008A2A74"/>
    <w:rsid w:val="009270D6"/>
    <w:rsid w:val="00A325D9"/>
    <w:rsid w:val="00B47B30"/>
    <w:rsid w:val="00C6119C"/>
    <w:rsid w:val="00CB22A9"/>
    <w:rsid w:val="00CE3D0C"/>
    <w:rsid w:val="00E326FF"/>
    <w:rsid w:val="00F3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E053"/>
  <w15:chartTrackingRefBased/>
  <w15:docId w15:val="{976C0226-314B-4384-BB99-86EDC958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A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1C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CD8"/>
    <w:rPr>
      <w:color w:val="605E5C"/>
      <w:shd w:val="clear" w:color="auto" w:fill="E1DFDD"/>
    </w:rPr>
  </w:style>
  <w:style w:type="table" w:styleId="ListTable3-Accent1">
    <w:name w:val="List Table 3 Accent 1"/>
    <w:basedOn w:val="TableNormal"/>
    <w:uiPriority w:val="48"/>
    <w:rsid w:val="00E326FF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566BC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6C7E4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7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23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0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4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7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8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9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27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0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2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9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2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23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95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11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4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6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4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8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3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14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8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1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2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3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22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6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9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45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39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92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8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2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ep.or.jp/en/1529/?utm_source=chatgpt.com" TargetMode="External"/><Relationship Id="rId13" Type="http://schemas.openxmlformats.org/officeDocument/2006/relationships/hyperlink" Target="https://www.asahi.com/ajw/articles/15519797?utm_source=chatgpt.com" TargetMode="External"/><Relationship Id="rId18" Type="http://schemas.openxmlformats.org/officeDocument/2006/relationships/hyperlink" Target="https://www.isep.or.jp/en/1529/?utm_source=chatgpt.com" TargetMode="External"/><Relationship Id="rId26" Type="http://schemas.openxmlformats.org/officeDocument/2006/relationships/hyperlink" Target="https://www.enecho.meti.go.jp/en/category/brochures/pdf/japan_energy_2023.pdf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Ishikari_Bay_New_Port_Offshore_Wind_Farm?utm_source=chatgpt.com" TargetMode="External"/><Relationship Id="rId7" Type="http://schemas.openxmlformats.org/officeDocument/2006/relationships/hyperlink" Target="https://www.washingtonpost.com/climate-solutions/interactive/2024/flow-batteries-renewable-energy-storage/?utm_source=chatgpt.com" TargetMode="External"/><Relationship Id="rId12" Type="http://schemas.openxmlformats.org/officeDocument/2006/relationships/hyperlink" Target="https://www.worldbenchmarkingalliance.org/publication/electric-utilities/companies/tokyo-electric-power-company-tepco-2/?utm_source=chatgpt.com" TargetMode="External"/><Relationship Id="rId17" Type="http://schemas.openxmlformats.org/officeDocument/2006/relationships/hyperlink" Target="https://www.enecho.meti.go.jp/en/category/brochures/pdf/japan_energy_2023.pdf?utm_source=chatgpt.com" TargetMode="External"/><Relationship Id="rId25" Type="http://schemas.openxmlformats.org/officeDocument/2006/relationships/hyperlink" Target="https://www.isep.or.jp/en/1529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sep.or.jp/en/1529/?utm_source=chatgpt.com" TargetMode="External"/><Relationship Id="rId20" Type="http://schemas.openxmlformats.org/officeDocument/2006/relationships/hyperlink" Target="https://www.isep.or.jp/en/1529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shikari_Bay_New_Port_Offshore_Wind_Farm?utm_source=chatgpt.com" TargetMode="External"/><Relationship Id="rId11" Type="http://schemas.openxmlformats.org/officeDocument/2006/relationships/hyperlink" Target="https://www.isep.or.jp/en/1529/?utm_source=chatgpt.com" TargetMode="External"/><Relationship Id="rId24" Type="http://schemas.openxmlformats.org/officeDocument/2006/relationships/hyperlink" Target="https://www.occto.or.jp/en/information_disclosure/outlook_of_electricity_supply-demand/index.html?utm_source=chatgpt.com" TargetMode="External"/><Relationship Id="rId5" Type="http://schemas.openxmlformats.org/officeDocument/2006/relationships/hyperlink" Target="https://www.isep.or.jp/en/1529/?utm_source=chatgpt.com" TargetMode="External"/><Relationship Id="rId15" Type="http://schemas.openxmlformats.org/officeDocument/2006/relationships/hyperlink" Target="https://www.gevernova.com/content/dam/gepower-new/global/en_US/downloads/gas-new-site/en/jp/English_Japan_Energy_Outlook_Whitepaper_A4_FINAL.pdf?utm_source=chatgpt.com" TargetMode="External"/><Relationship Id="rId23" Type="http://schemas.openxmlformats.org/officeDocument/2006/relationships/hyperlink" Target="https://www.isep.or.jp/en/1529/?utm_source=chatgpt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gevernova.com/content/dam/gepower-new/global/en_US/downloads/gas-new-site/en/jp/English_Japan_Energy_Outlook_Whitepaper_A4_FINAL.pdf?utm_source=chatgpt.com" TargetMode="External"/><Relationship Id="rId19" Type="http://schemas.openxmlformats.org/officeDocument/2006/relationships/hyperlink" Target="https://www.fepc.or.jp/english/data/electricity_review_japan/__icsFiles/afieldfile/2024/08/23/electricity_2024.pdf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echo.meti.go.jp/en/category/brochures/pdf/japan_energy_2023.pdf?utm_source=chatgpt.com" TargetMode="External"/><Relationship Id="rId14" Type="http://schemas.openxmlformats.org/officeDocument/2006/relationships/hyperlink" Target="https://www.isep.or.jp/en/1529/?utm_source=chatgpt.com" TargetMode="External"/><Relationship Id="rId22" Type="http://schemas.openxmlformats.org/officeDocument/2006/relationships/hyperlink" Target="https://en.wikipedia.org/wiki/Ishikari_Bay_New_Port_Offshore_Wind_Farm?utm_source=chatgpt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2656</Words>
  <Characters>15140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Darragh Hanrahan</dc:creator>
  <cp:keywords/>
  <dc:description/>
  <cp:lastModifiedBy>Darragh Hanrahan</cp:lastModifiedBy>
  <cp:revision>2</cp:revision>
  <dcterms:created xsi:type="dcterms:W3CDTF">2025-06-10T22:16:00Z</dcterms:created>
  <dcterms:modified xsi:type="dcterms:W3CDTF">2025-06-10T22:16:00Z</dcterms:modified>
</cp:coreProperties>
</file>