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91778D" w:rsidP="0091778D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15</w:t>
            </w:r>
            <w:r w:rsidR="000C3828">
              <w:rPr>
                <w:sz w:val="20"/>
                <w:szCs w:val="20"/>
                <w:lang w:val="es-MX"/>
              </w:rPr>
              <w:t xml:space="preserve"> / </w:t>
            </w:r>
            <w:r>
              <w:rPr>
                <w:sz w:val="20"/>
                <w:szCs w:val="20"/>
                <w:lang w:val="es-MX"/>
              </w:rPr>
              <w:t>02</w:t>
            </w:r>
            <w:r w:rsidR="000C3828">
              <w:rPr>
                <w:sz w:val="20"/>
                <w:szCs w:val="20"/>
                <w:lang w:val="es-MX"/>
              </w:rPr>
              <w:t xml:space="preserve"> / 2018</w:t>
            </w:r>
          </w:p>
        </w:tc>
      </w:tr>
      <w:tr w:rsidR="00EF4B33" w:rsidRPr="0091778D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91778D" w:rsidP="00CC137D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 general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4pt;height:21.5pt" o:ole="">
                  <v:imagedata r:id="rId8" o:title=""/>
                </v:shape>
                <o:OLEObject Type="Embed" ProgID="PBrush" ShapeID="_x0000_i1025" DrawAspect="Content" ObjectID="_1598623842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4pt;height:22.45pt" o:ole="">
                  <v:imagedata r:id="rId10" o:title=""/>
                </v:shape>
                <o:OLEObject Type="Embed" ProgID="PBrush" ShapeID="_x0000_i1026" DrawAspect="Content" ObjectID="_1598623843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4"/>
        <w:gridCol w:w="686"/>
        <w:gridCol w:w="4534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5540DF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4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91778D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Arquitectura de componentes</w:t>
            </w:r>
          </w:p>
        </w:tc>
      </w:tr>
      <w:tr w:rsidR="00AF03B2" w:rsidRPr="0091778D" w:rsidTr="005540DF">
        <w:tc>
          <w:tcPr>
            <w:tcW w:w="2117" w:type="pct"/>
          </w:tcPr>
          <w:p w:rsidR="00AF03B2" w:rsidRPr="00D9631B" w:rsidRDefault="0091778D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componentes y paquetes están adecuadamente representados </w:t>
            </w:r>
          </w:p>
        </w:tc>
        <w:tc>
          <w:tcPr>
            <w:tcW w:w="379" w:type="pct"/>
          </w:tcPr>
          <w:p w:rsidR="00AF03B2" w:rsidRPr="00D9631B" w:rsidRDefault="0091778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58" type="#_x0000_t75" style="width:23.4pt;height:21.5pt" o:ole="">
                  <v:imagedata r:id="rId8" o:title=""/>
                </v:shape>
                <o:OLEObject Type="Embed" ProgID="PBrush" ShapeID="_x0000_i1058" DrawAspect="Content" ObjectID="_1598623844" r:id="rId12"/>
              </w:object>
            </w:r>
          </w:p>
        </w:tc>
        <w:tc>
          <w:tcPr>
            <w:tcW w:w="2504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91778D" w:rsidTr="005540DF">
        <w:tc>
          <w:tcPr>
            <w:tcW w:w="2117" w:type="pct"/>
          </w:tcPr>
          <w:p w:rsidR="00AF03B2" w:rsidRPr="00D9631B" w:rsidRDefault="0091778D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 las dependencias entre los paquetes de componente</w:t>
            </w:r>
          </w:p>
        </w:tc>
        <w:tc>
          <w:tcPr>
            <w:tcW w:w="379" w:type="pct"/>
          </w:tcPr>
          <w:p w:rsidR="00AF03B2" w:rsidRPr="00D9631B" w:rsidRDefault="0091778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59" type="#_x0000_t75" style="width:23.4pt;height:21.5pt" o:ole="">
                  <v:imagedata r:id="rId8" o:title=""/>
                </v:shape>
                <o:OLEObject Type="Embed" ProgID="PBrush" ShapeID="_x0000_i1059" DrawAspect="Content" ObjectID="_1598623845" r:id="rId13"/>
              </w:object>
            </w:r>
          </w:p>
        </w:tc>
        <w:tc>
          <w:tcPr>
            <w:tcW w:w="2504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91778D" w:rsidTr="005540DF">
        <w:tc>
          <w:tcPr>
            <w:tcW w:w="2117" w:type="pct"/>
          </w:tcPr>
          <w:p w:rsidR="00AF03B2" w:rsidRPr="00D9631B" w:rsidRDefault="0091778D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componentes están organizados</w:t>
            </w:r>
          </w:p>
        </w:tc>
        <w:tc>
          <w:tcPr>
            <w:tcW w:w="379" w:type="pct"/>
          </w:tcPr>
          <w:p w:rsidR="00AF03B2" w:rsidRPr="00D9631B" w:rsidRDefault="0091778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60" type="#_x0000_t75" style="width:23.4pt;height:21.5pt" o:ole="">
                  <v:imagedata r:id="rId8" o:title=""/>
                </v:shape>
                <o:OLEObject Type="Embed" ProgID="PBrush" ShapeID="_x0000_i1060" DrawAspect="Content" ObjectID="_1598623846" r:id="rId14"/>
              </w:object>
            </w:r>
          </w:p>
        </w:tc>
        <w:tc>
          <w:tcPr>
            <w:tcW w:w="2504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91778D" w:rsidRPr="0091778D" w:rsidTr="005540DF">
        <w:tc>
          <w:tcPr>
            <w:tcW w:w="2117" w:type="pct"/>
          </w:tcPr>
          <w:p w:rsidR="0091778D" w:rsidRDefault="0091778D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elementos de componentes coinciden con el ProductBackLog</w:t>
            </w:r>
          </w:p>
        </w:tc>
        <w:tc>
          <w:tcPr>
            <w:tcW w:w="379" w:type="pct"/>
          </w:tcPr>
          <w:p w:rsidR="0091778D" w:rsidRPr="00D9631B" w:rsidRDefault="0091778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63" type="#_x0000_t75" style="width:23.4pt;height:22.45pt" o:ole="">
                  <v:imagedata r:id="rId10" o:title=""/>
                </v:shape>
                <o:OLEObject Type="Embed" ProgID="PBrush" ShapeID="_x0000_i1063" DrawAspect="Content" ObjectID="_1598623847" r:id="rId15"/>
              </w:object>
            </w:r>
          </w:p>
        </w:tc>
        <w:tc>
          <w:tcPr>
            <w:tcW w:w="2504" w:type="pct"/>
          </w:tcPr>
          <w:p w:rsidR="0091778D" w:rsidRPr="00D9631B" w:rsidRDefault="0091778D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El catálogo de cursos no es parte de las HU</w:t>
            </w:r>
          </w:p>
        </w:tc>
      </w:tr>
      <w:tr w:rsidR="005540DF" w:rsidRPr="00D9631B" w:rsidTr="00C51925">
        <w:tc>
          <w:tcPr>
            <w:tcW w:w="5000" w:type="pct"/>
            <w:gridSpan w:val="3"/>
          </w:tcPr>
          <w:p w:rsidR="005540DF" w:rsidRPr="00D9631B" w:rsidRDefault="005540DF" w:rsidP="00C51925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Tabla</w:t>
            </w:r>
            <w:r>
              <w:rPr>
                <w:b/>
                <w:sz w:val="20"/>
                <w:szCs w:val="20"/>
                <w:lang w:val="es-MX"/>
              </w:rPr>
              <w:t xml:space="preserve"> de componentes</w:t>
            </w:r>
          </w:p>
        </w:tc>
      </w:tr>
      <w:tr w:rsidR="005540DF" w:rsidRPr="0091778D" w:rsidTr="005540DF">
        <w:tc>
          <w:tcPr>
            <w:tcW w:w="2117" w:type="pct"/>
          </w:tcPr>
          <w:p w:rsidR="005540DF" w:rsidRPr="00D9631B" w:rsidRDefault="005540DF" w:rsidP="005540D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componentes y paquetes están </w:t>
            </w:r>
            <w:r>
              <w:rPr>
                <w:sz w:val="20"/>
                <w:szCs w:val="20"/>
              </w:rPr>
              <w:t>identificados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 la arquitectura de componentes</w:t>
            </w:r>
          </w:p>
        </w:tc>
        <w:tc>
          <w:tcPr>
            <w:tcW w:w="379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64" type="#_x0000_t75" style="width:23.4pt;height:21.5pt" o:ole="">
                  <v:imagedata r:id="rId8" o:title=""/>
                </v:shape>
                <o:OLEObject Type="Embed" ProgID="PBrush" ShapeID="_x0000_i1064" DrawAspect="Content" ObjectID="_1598623848" r:id="rId16"/>
              </w:object>
            </w:r>
          </w:p>
        </w:tc>
        <w:tc>
          <w:tcPr>
            <w:tcW w:w="2504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540DF" w:rsidRPr="0091778D" w:rsidTr="005540DF">
        <w:tc>
          <w:tcPr>
            <w:tcW w:w="2117" w:type="pct"/>
          </w:tcPr>
          <w:p w:rsidR="005540DF" w:rsidRPr="00D9631B" w:rsidRDefault="005540DF" w:rsidP="005540D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elementos están descritos de manera entendible</w:t>
            </w:r>
          </w:p>
        </w:tc>
        <w:tc>
          <w:tcPr>
            <w:tcW w:w="379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65" type="#_x0000_t75" style="width:23.4pt;height:21.5pt" o:ole="">
                  <v:imagedata r:id="rId8" o:title=""/>
                </v:shape>
                <o:OLEObject Type="Embed" ProgID="PBrush" ShapeID="_x0000_i1065" DrawAspect="Content" ObjectID="_1598623849" r:id="rId17"/>
              </w:object>
            </w:r>
          </w:p>
        </w:tc>
        <w:tc>
          <w:tcPr>
            <w:tcW w:w="2504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540DF" w:rsidRPr="0091778D" w:rsidTr="005540DF">
        <w:tc>
          <w:tcPr>
            <w:tcW w:w="2117" w:type="pct"/>
          </w:tcPr>
          <w:p w:rsidR="005540DF" w:rsidRPr="00D9631B" w:rsidRDefault="005540DF" w:rsidP="005540D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descripción de los elementos coincide con el ProductBackLog</w:t>
            </w:r>
          </w:p>
        </w:tc>
        <w:tc>
          <w:tcPr>
            <w:tcW w:w="379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66" type="#_x0000_t75" style="width:23.4pt;height:21.5pt" o:ole="">
                  <v:imagedata r:id="rId8" o:title=""/>
                </v:shape>
                <o:OLEObject Type="Embed" ProgID="PBrush" ShapeID="_x0000_i1066" DrawAspect="Content" ObjectID="_1598623850" r:id="rId18"/>
              </w:object>
            </w:r>
          </w:p>
        </w:tc>
        <w:tc>
          <w:tcPr>
            <w:tcW w:w="2504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540DF" w:rsidRPr="00AE47D7" w:rsidTr="00C51925">
        <w:tc>
          <w:tcPr>
            <w:tcW w:w="5000" w:type="pct"/>
            <w:gridSpan w:val="3"/>
          </w:tcPr>
          <w:p w:rsidR="005540DF" w:rsidRPr="00D9631B" w:rsidRDefault="00AE47D7" w:rsidP="00C51925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Diseño de base de datos</w:t>
            </w:r>
          </w:p>
        </w:tc>
      </w:tr>
      <w:tr w:rsidR="005540DF" w:rsidRPr="0091778D" w:rsidTr="00C51925">
        <w:tc>
          <w:tcPr>
            <w:tcW w:w="2117" w:type="pct"/>
          </w:tcPr>
          <w:p w:rsidR="005540DF" w:rsidRPr="00D9631B" w:rsidRDefault="00AE47D7" w:rsidP="00231BD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Las tablas y sus campos </w:t>
            </w:r>
            <w:r w:rsidR="00231BD1">
              <w:rPr>
                <w:sz w:val="20"/>
                <w:szCs w:val="20"/>
              </w:rPr>
              <w:t>son coherentes con las historias de usuario.</w:t>
            </w:r>
          </w:p>
        </w:tc>
        <w:tc>
          <w:tcPr>
            <w:tcW w:w="379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79" type="#_x0000_t75" style="width:23.4pt;height:21.5pt" o:ole="">
                  <v:imagedata r:id="rId8" o:title=""/>
                </v:shape>
                <o:OLEObject Type="Embed" ProgID="PBrush" ShapeID="_x0000_i1079" DrawAspect="Content" ObjectID="_1598623851" r:id="rId19"/>
              </w:object>
            </w:r>
          </w:p>
        </w:tc>
        <w:tc>
          <w:tcPr>
            <w:tcW w:w="2504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540DF" w:rsidRPr="0091778D" w:rsidTr="00C51925">
        <w:tc>
          <w:tcPr>
            <w:tcW w:w="2117" w:type="pct"/>
          </w:tcPr>
          <w:p w:rsidR="005540DF" w:rsidRPr="00D9631B" w:rsidRDefault="00AE47D7" w:rsidP="005540D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Las tablas están normalizadas</w:t>
            </w:r>
          </w:p>
        </w:tc>
        <w:tc>
          <w:tcPr>
            <w:tcW w:w="379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80" type="#_x0000_t75" style="width:23.4pt;height:21.5pt" o:ole="">
                  <v:imagedata r:id="rId8" o:title=""/>
                </v:shape>
                <o:OLEObject Type="Embed" ProgID="PBrush" ShapeID="_x0000_i1080" DrawAspect="Content" ObjectID="_1598623852" r:id="rId20"/>
              </w:object>
            </w:r>
          </w:p>
        </w:tc>
        <w:tc>
          <w:tcPr>
            <w:tcW w:w="2504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5540DF" w:rsidRPr="0091778D" w:rsidTr="00C51925">
        <w:tc>
          <w:tcPr>
            <w:tcW w:w="2117" w:type="pct"/>
          </w:tcPr>
          <w:p w:rsidR="005540DF" w:rsidRPr="00D9631B" w:rsidRDefault="00AE47D7" w:rsidP="005540D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Las relaciones entre las tablas tienen las restricciones y cardinalidad adecuada</w:t>
            </w:r>
          </w:p>
        </w:tc>
        <w:tc>
          <w:tcPr>
            <w:tcW w:w="379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81" type="#_x0000_t75" style="width:23.4pt;height:21.5pt" o:ole="">
                  <v:imagedata r:id="rId8" o:title=""/>
                </v:shape>
                <o:OLEObject Type="Embed" ProgID="PBrush" ShapeID="_x0000_i1081" DrawAspect="Content" ObjectID="_1598623853" r:id="rId21"/>
              </w:object>
            </w:r>
          </w:p>
        </w:tc>
        <w:tc>
          <w:tcPr>
            <w:tcW w:w="2504" w:type="pct"/>
          </w:tcPr>
          <w:p w:rsidR="005540DF" w:rsidRPr="00D9631B" w:rsidRDefault="005540DF" w:rsidP="00C51925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31BD1" w:rsidRPr="0091778D" w:rsidTr="00C51925">
        <w:tc>
          <w:tcPr>
            <w:tcW w:w="2117" w:type="pct"/>
          </w:tcPr>
          <w:p w:rsidR="00231BD1" w:rsidRDefault="00231BD1" w:rsidP="005540D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campos tienen el tipo y restricciones adecuadas.</w:t>
            </w:r>
          </w:p>
        </w:tc>
        <w:tc>
          <w:tcPr>
            <w:tcW w:w="379" w:type="pct"/>
          </w:tcPr>
          <w:p w:rsidR="00231BD1" w:rsidRPr="00D9631B" w:rsidRDefault="00231BD1" w:rsidP="00C51925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91" type="#_x0000_t75" style="width:23.4pt;height:21.5pt" o:ole="">
                  <v:imagedata r:id="rId8" o:title=""/>
                </v:shape>
                <o:OLEObject Type="Embed" ProgID="PBrush" ShapeID="_x0000_i1091" DrawAspect="Content" ObjectID="_1598623854" r:id="rId22"/>
              </w:object>
            </w:r>
            <w:bookmarkStart w:id="0" w:name="_GoBack"/>
            <w:bookmarkEnd w:id="0"/>
          </w:p>
        </w:tc>
        <w:tc>
          <w:tcPr>
            <w:tcW w:w="2504" w:type="pct"/>
          </w:tcPr>
          <w:p w:rsidR="00231BD1" w:rsidRPr="00D9631B" w:rsidRDefault="00231BD1" w:rsidP="00C51925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4B4" w:rsidRDefault="006A14B4" w:rsidP="0056798F">
      <w:r>
        <w:separator/>
      </w:r>
    </w:p>
  </w:endnote>
  <w:endnote w:type="continuationSeparator" w:id="0">
    <w:p w:rsidR="006A14B4" w:rsidRDefault="006A14B4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4B4" w:rsidRDefault="006A14B4" w:rsidP="0056798F">
      <w:r>
        <w:separator/>
      </w:r>
    </w:p>
  </w:footnote>
  <w:footnote w:type="continuationSeparator" w:id="0">
    <w:p w:rsidR="006A14B4" w:rsidRDefault="006A14B4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231BD1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231BD1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D238E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C1DDE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1BD1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0DF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14B4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1778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E47D7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A98C1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</Pages>
  <Words>250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Daniel Arredondo Salcedo</cp:lastModifiedBy>
  <cp:revision>33</cp:revision>
  <dcterms:created xsi:type="dcterms:W3CDTF">2012-05-11T11:51:00Z</dcterms:created>
  <dcterms:modified xsi:type="dcterms:W3CDTF">2018-09-16T22:24:00Z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