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D9631B" w:rsidRDefault="00D9631B">
      <w:pPr>
        <w:spacing w:line="360" w:lineRule="auto"/>
        <w:jc w:val="both"/>
        <w:rPr>
          <w:b/>
          <w:lang w:val="es-MX"/>
        </w:rPr>
      </w:pPr>
      <w:r w:rsidRPr="00D9631B">
        <w:rPr>
          <w:b/>
          <w:lang w:val="es-MX"/>
        </w:rPr>
        <w:t>Review Checklist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>
        <w:trPr>
          <w:cantSplit/>
        </w:trPr>
        <w:tc>
          <w:tcPr>
            <w:tcW w:w="1584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29544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Daniel Arredondo Salcedo</w:t>
            </w:r>
            <w:r w:rsidR="006F737E">
              <w:rPr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9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29544C" w:rsidP="0029544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0C3828">
              <w:rPr>
                <w:sz w:val="20"/>
                <w:szCs w:val="20"/>
                <w:lang w:val="es-MX"/>
              </w:rPr>
              <w:t xml:space="preserve"> / </w:t>
            </w:r>
            <w:r>
              <w:rPr>
                <w:sz w:val="20"/>
                <w:szCs w:val="20"/>
                <w:lang w:val="es-MX"/>
              </w:rPr>
              <w:t>05</w:t>
            </w:r>
            <w:r w:rsidR="000C3828">
              <w:rPr>
                <w:sz w:val="20"/>
                <w:szCs w:val="20"/>
                <w:lang w:val="es-MX"/>
              </w:rPr>
              <w:t xml:space="preserve"> / 2018</w:t>
            </w:r>
          </w:p>
        </w:tc>
      </w:tr>
      <w:tr w:rsidR="00EF4B33" w:rsidRPr="005D2D0F">
        <w:trPr>
          <w:gridAfter w:val="2"/>
          <w:wAfter w:w="2736" w:type="dxa"/>
          <w:cantSplit/>
        </w:trPr>
        <w:tc>
          <w:tcPr>
            <w:tcW w:w="1584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653A5F" w:rsidRPr="00AF03B2">
        <w:trPr>
          <w:gridAfter w:val="2"/>
          <w:wAfter w:w="2736" w:type="dxa"/>
          <w:cantSplit/>
        </w:trPr>
        <w:tc>
          <w:tcPr>
            <w:tcW w:w="1584" w:type="dxa"/>
          </w:tcPr>
          <w:p w:rsidR="00653A5F" w:rsidRPr="00D9631B" w:rsidRDefault="0029544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Documento</w:t>
            </w:r>
          </w:p>
        </w:tc>
        <w:tc>
          <w:tcPr>
            <w:tcW w:w="4608" w:type="dxa"/>
          </w:tcPr>
          <w:p w:rsidR="00653A5F" w:rsidRDefault="0029544C" w:rsidP="005D2D0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Manual de </w:t>
            </w:r>
            <w:r w:rsidR="005D2D0F">
              <w:rPr>
                <w:sz w:val="20"/>
                <w:szCs w:val="20"/>
                <w:lang w:val="es-MX"/>
              </w:rPr>
              <w:t>operación</w:t>
            </w:r>
            <w:bookmarkStart w:id="0" w:name="_GoBack"/>
            <w:bookmarkEnd w:id="0"/>
          </w:p>
        </w:tc>
      </w:tr>
      <w:tr w:rsidR="00926334" w:rsidRPr="00AF03B2">
        <w:trPr>
          <w:gridAfter w:val="2"/>
          <w:wAfter w:w="2736" w:type="dxa"/>
          <w:cantSplit/>
        </w:trPr>
        <w:tc>
          <w:tcPr>
            <w:tcW w:w="1584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608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>
        <w:tc>
          <w:tcPr>
            <w:tcW w:w="1150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561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>
        <w:tc>
          <w:tcPr>
            <w:tcW w:w="1150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del diseño para cada categoría de lista de verificación; 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21.5pt" o:ole="">
                  <v:imagedata r:id="rId8" o:title=""/>
                </v:shape>
                <o:OLEObject Type="Embed" ProgID="PBrush" ShapeID="_x0000_i1025" DrawAspect="Content" ObjectID="_159872395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3.65pt;height:22.55pt" o:ole="">
                  <v:imagedata r:id="rId10" o:title=""/>
                </v:shape>
                <o:OLEObject Type="Embed" ProgID="PBrush" ShapeID="_x0000_i1026" DrawAspect="Content" ObjectID="_159872395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694"/>
        <w:gridCol w:w="4531"/>
      </w:tblGrid>
      <w:tr w:rsidR="007E5356" w:rsidRPr="00D9631B" w:rsidTr="0029544C">
        <w:tc>
          <w:tcPr>
            <w:tcW w:w="2115" w:type="pct"/>
            <w:vMerge w:val="restart"/>
            <w:vAlign w:val="center"/>
          </w:tcPr>
          <w:p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85" w:type="pct"/>
            <w:gridSpan w:val="2"/>
            <w:vAlign w:val="center"/>
          </w:tcPr>
          <w:p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:rsidTr="0029544C">
        <w:trPr>
          <w:cantSplit/>
          <w:trHeight w:val="475"/>
        </w:trPr>
        <w:tc>
          <w:tcPr>
            <w:tcW w:w="2115" w:type="pct"/>
            <w:vMerge/>
          </w:tcPr>
          <w:p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83" w:type="pct"/>
            <w:vAlign w:val="center"/>
          </w:tcPr>
          <w:p w:rsidR="00AF03B2" w:rsidRPr="00D9631B" w:rsidRDefault="00AF03B2" w:rsidP="009B172D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2502" w:type="pct"/>
            <w:vAlign w:val="center"/>
          </w:tcPr>
          <w:p w:rsidR="00AF03B2" w:rsidRPr="00D9631B" w:rsidRDefault="00653A5F" w:rsidP="009B172D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:rsidTr="000C3828">
        <w:tc>
          <w:tcPr>
            <w:tcW w:w="5000" w:type="pct"/>
            <w:gridSpan w:val="3"/>
          </w:tcPr>
          <w:p w:rsidR="007E5356" w:rsidRPr="00D9631B" w:rsidRDefault="0029544C" w:rsidP="0029544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Generalidades</w:t>
            </w:r>
          </w:p>
        </w:tc>
      </w:tr>
      <w:tr w:rsidR="00AF03B2" w:rsidRPr="00AF03B2" w:rsidTr="0029544C">
        <w:tc>
          <w:tcPr>
            <w:tcW w:w="2115" w:type="pct"/>
          </w:tcPr>
          <w:p w:rsidR="00AF03B2" w:rsidRPr="00D9631B" w:rsidRDefault="0029544C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documento está estandarizado.</w:t>
            </w:r>
          </w:p>
        </w:tc>
        <w:tc>
          <w:tcPr>
            <w:tcW w:w="383" w:type="pct"/>
          </w:tcPr>
          <w:p w:rsidR="00AF03B2" w:rsidRPr="00D9631B" w:rsidRDefault="00E325F0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27" type="#_x0000_t75" style="width:23.65pt;height:21.5pt" o:ole="">
                  <v:imagedata r:id="rId8" o:title=""/>
                </v:shape>
                <o:OLEObject Type="Embed" ProgID="PBrush" ShapeID="_x0000_i1027" DrawAspect="Content" ObjectID="_1598723958" r:id="rId12"/>
              </w:object>
            </w:r>
          </w:p>
        </w:tc>
        <w:tc>
          <w:tcPr>
            <w:tcW w:w="2502" w:type="pct"/>
          </w:tcPr>
          <w:p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F03B2" w:rsidRPr="00AF03B2" w:rsidTr="0029544C">
        <w:tc>
          <w:tcPr>
            <w:tcW w:w="2115" w:type="pct"/>
          </w:tcPr>
          <w:p w:rsidR="00AF03B2" w:rsidRPr="00D9631B" w:rsidRDefault="0029544C" w:rsidP="0029544C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documento tiene sus temas y subtemas organizados</w:t>
            </w:r>
          </w:p>
        </w:tc>
        <w:tc>
          <w:tcPr>
            <w:tcW w:w="383" w:type="pct"/>
          </w:tcPr>
          <w:p w:rsidR="00AF03B2" w:rsidRPr="00D9631B" w:rsidRDefault="00E325F0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28" type="#_x0000_t75" style="width:23.65pt;height:21.5pt" o:ole="">
                  <v:imagedata r:id="rId8" o:title=""/>
                </v:shape>
                <o:OLEObject Type="Embed" ProgID="PBrush" ShapeID="_x0000_i1028" DrawAspect="Content" ObjectID="_1598723959" r:id="rId13"/>
              </w:object>
            </w:r>
          </w:p>
        </w:tc>
        <w:tc>
          <w:tcPr>
            <w:tcW w:w="2502" w:type="pct"/>
          </w:tcPr>
          <w:p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F03B2" w:rsidRPr="00AF03B2" w:rsidTr="0029544C">
        <w:tc>
          <w:tcPr>
            <w:tcW w:w="2115" w:type="pct"/>
          </w:tcPr>
          <w:p w:rsidR="00AF03B2" w:rsidRPr="00D9631B" w:rsidRDefault="0029544C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documento tiene los encabezado y pie de página apropiados</w:t>
            </w:r>
          </w:p>
        </w:tc>
        <w:tc>
          <w:tcPr>
            <w:tcW w:w="383" w:type="pct"/>
          </w:tcPr>
          <w:p w:rsidR="00AF03B2" w:rsidRPr="00D9631B" w:rsidRDefault="00E325F0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29" type="#_x0000_t75" style="width:23.65pt;height:21.5pt" o:ole="">
                  <v:imagedata r:id="rId8" o:title=""/>
                </v:shape>
                <o:OLEObject Type="Embed" ProgID="PBrush" ShapeID="_x0000_i1029" DrawAspect="Content" ObjectID="_1598723960" r:id="rId14"/>
              </w:object>
            </w:r>
          </w:p>
        </w:tc>
        <w:tc>
          <w:tcPr>
            <w:tcW w:w="2502" w:type="pct"/>
          </w:tcPr>
          <w:p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C0684" w:rsidRPr="00D9631B" w:rsidTr="00CB027C">
        <w:tc>
          <w:tcPr>
            <w:tcW w:w="5000" w:type="pct"/>
            <w:gridSpan w:val="3"/>
          </w:tcPr>
          <w:p w:rsidR="00AC0684" w:rsidRPr="00D9631B" w:rsidRDefault="00AC0684" w:rsidP="00CB02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Procedimiento de instalación</w:t>
            </w:r>
          </w:p>
        </w:tc>
      </w:tr>
      <w:tr w:rsidR="00AC0684" w:rsidRPr="00AF03B2" w:rsidTr="00CB027C">
        <w:tc>
          <w:tcPr>
            <w:tcW w:w="2115" w:type="pct"/>
          </w:tcPr>
          <w:p w:rsidR="00AC0684" w:rsidRPr="00D9631B" w:rsidRDefault="00AC0684" w:rsidP="00AC0684">
            <w:pPr>
              <w:pStyle w:val="Prrafodelista1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 una introducción del proceso</w:t>
            </w:r>
          </w:p>
        </w:tc>
        <w:tc>
          <w:tcPr>
            <w:tcW w:w="383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30" type="#_x0000_t75" style="width:23.65pt;height:21.5pt" o:ole="">
                  <v:imagedata r:id="rId8" o:title=""/>
                </v:shape>
                <o:OLEObject Type="Embed" ProgID="PBrush" ShapeID="_x0000_i1030" DrawAspect="Content" ObjectID="_1598723961" r:id="rId15"/>
              </w:object>
            </w:r>
          </w:p>
        </w:tc>
        <w:tc>
          <w:tcPr>
            <w:tcW w:w="2502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C0684" w:rsidRPr="00AF03B2" w:rsidTr="00CB027C">
        <w:tc>
          <w:tcPr>
            <w:tcW w:w="2115" w:type="pct"/>
          </w:tcPr>
          <w:p w:rsidR="00AC0684" w:rsidRPr="00D9631B" w:rsidRDefault="00AC0684" w:rsidP="00AC0684">
            <w:pPr>
              <w:pStyle w:val="Prrafodelista1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paso a paso la instalación y configuración del sistema</w:t>
            </w:r>
          </w:p>
        </w:tc>
        <w:tc>
          <w:tcPr>
            <w:tcW w:w="383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31" type="#_x0000_t75" style="width:23.65pt;height:21.5pt" o:ole="">
                  <v:imagedata r:id="rId8" o:title=""/>
                </v:shape>
                <o:OLEObject Type="Embed" ProgID="PBrush" ShapeID="_x0000_i1031" DrawAspect="Content" ObjectID="_1598723962" r:id="rId16"/>
              </w:object>
            </w:r>
          </w:p>
        </w:tc>
        <w:tc>
          <w:tcPr>
            <w:tcW w:w="2502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C0684" w:rsidRPr="00AF03B2" w:rsidTr="00CB027C">
        <w:tc>
          <w:tcPr>
            <w:tcW w:w="2115" w:type="pct"/>
          </w:tcPr>
          <w:p w:rsidR="00AC0684" w:rsidRPr="00D9631B" w:rsidRDefault="00AC0684" w:rsidP="00AC0684">
            <w:pPr>
              <w:pStyle w:val="Prrafodelista1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Incluye pantallas coherentes con el proceso de instalación y configuración</w:t>
            </w:r>
          </w:p>
        </w:tc>
        <w:tc>
          <w:tcPr>
            <w:tcW w:w="383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32" type="#_x0000_t75" style="width:23.65pt;height:21.5pt" o:ole="">
                  <v:imagedata r:id="rId8" o:title=""/>
                </v:shape>
                <o:OLEObject Type="Embed" ProgID="PBrush" ShapeID="_x0000_i1032" DrawAspect="Content" ObjectID="_1598723963" r:id="rId17"/>
              </w:object>
            </w:r>
          </w:p>
        </w:tc>
        <w:tc>
          <w:tcPr>
            <w:tcW w:w="2502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C0684" w:rsidRPr="00D9631B" w:rsidTr="00CB027C">
        <w:tc>
          <w:tcPr>
            <w:tcW w:w="5000" w:type="pct"/>
            <w:gridSpan w:val="3"/>
          </w:tcPr>
          <w:p w:rsidR="00AC0684" w:rsidRPr="00D9631B" w:rsidRDefault="00AC0684" w:rsidP="00AC0684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Procedimiento de ejecución</w:t>
            </w:r>
          </w:p>
        </w:tc>
      </w:tr>
      <w:tr w:rsidR="00AC0684" w:rsidRPr="00AF03B2" w:rsidTr="00CB027C">
        <w:tc>
          <w:tcPr>
            <w:tcW w:w="2115" w:type="pct"/>
          </w:tcPr>
          <w:p w:rsidR="00AC0684" w:rsidRPr="00D9631B" w:rsidRDefault="00AC0684" w:rsidP="00AC0684">
            <w:pPr>
              <w:pStyle w:val="Prrafodelista1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 una introducción del proceso</w:t>
            </w:r>
          </w:p>
        </w:tc>
        <w:tc>
          <w:tcPr>
            <w:tcW w:w="383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33" type="#_x0000_t75" style="width:23.65pt;height:21.5pt" o:ole="">
                  <v:imagedata r:id="rId8" o:title=""/>
                </v:shape>
                <o:OLEObject Type="Embed" ProgID="PBrush" ShapeID="_x0000_i1033" DrawAspect="Content" ObjectID="_1598723964" r:id="rId18"/>
              </w:object>
            </w:r>
          </w:p>
        </w:tc>
        <w:tc>
          <w:tcPr>
            <w:tcW w:w="2502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C0684" w:rsidRPr="00AF03B2" w:rsidTr="00CB027C">
        <w:tc>
          <w:tcPr>
            <w:tcW w:w="2115" w:type="pct"/>
          </w:tcPr>
          <w:p w:rsidR="00AC0684" w:rsidRPr="00D9631B" w:rsidRDefault="00AC0684" w:rsidP="00AC0684">
            <w:pPr>
              <w:pStyle w:val="Prrafodelista1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paso a paso la ejecución inicial del sistema</w:t>
            </w:r>
          </w:p>
        </w:tc>
        <w:tc>
          <w:tcPr>
            <w:tcW w:w="383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34" type="#_x0000_t75" style="width:23.65pt;height:21.5pt" o:ole="">
                  <v:imagedata r:id="rId8" o:title=""/>
                </v:shape>
                <o:OLEObject Type="Embed" ProgID="PBrush" ShapeID="_x0000_i1034" DrawAspect="Content" ObjectID="_1598723965" r:id="rId19"/>
              </w:object>
            </w:r>
          </w:p>
        </w:tc>
        <w:tc>
          <w:tcPr>
            <w:tcW w:w="2502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C0684" w:rsidRPr="00AF03B2" w:rsidTr="00CB027C">
        <w:tc>
          <w:tcPr>
            <w:tcW w:w="2115" w:type="pct"/>
          </w:tcPr>
          <w:p w:rsidR="00AC0684" w:rsidRPr="00D9631B" w:rsidRDefault="00AC0684" w:rsidP="00AC0684">
            <w:pPr>
              <w:pStyle w:val="Prrafodelista1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Incluye pantallas coherentes con el proceso de ejecución</w:t>
            </w:r>
          </w:p>
        </w:tc>
        <w:tc>
          <w:tcPr>
            <w:tcW w:w="383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 id="_x0000_i1035" type="#_x0000_t75" style="width:23.65pt;height:21.5pt" o:ole="">
                  <v:imagedata r:id="rId8" o:title=""/>
                </v:shape>
                <o:OLEObject Type="Embed" ProgID="PBrush" ShapeID="_x0000_i1035" DrawAspect="Content" ObjectID="_1598723966" r:id="rId20"/>
              </w:object>
            </w:r>
          </w:p>
        </w:tc>
        <w:tc>
          <w:tcPr>
            <w:tcW w:w="2502" w:type="pct"/>
          </w:tcPr>
          <w:p w:rsidR="00AC0684" w:rsidRPr="00D9631B" w:rsidRDefault="00AC0684" w:rsidP="00CB027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D8" w:rsidRDefault="005467D8" w:rsidP="0056798F">
      <w:r>
        <w:separator/>
      </w:r>
    </w:p>
  </w:endnote>
  <w:endnote w:type="continuationSeparator" w:id="0">
    <w:p w:rsidR="005467D8" w:rsidRDefault="005467D8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D8" w:rsidRDefault="005467D8" w:rsidP="0056798F">
      <w:r>
        <w:separator/>
      </w:r>
    </w:p>
  </w:footnote>
  <w:footnote w:type="continuationSeparator" w:id="0">
    <w:p w:rsidR="005467D8" w:rsidRDefault="005467D8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9544C">
      <w:rPr>
        <w:lang w:val="es-MX"/>
      </w:rPr>
      <w:t>DOCUMENTO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5D2D0F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5D2D0F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438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5B6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7137A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4DF0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45517A0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4157A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B4C4C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D4B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544C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467D8"/>
    <w:rsid w:val="00552556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D2D0F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33C0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0684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6BA7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CC46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33</cp:revision>
  <dcterms:created xsi:type="dcterms:W3CDTF">2012-05-11T11:51:00Z</dcterms:created>
  <dcterms:modified xsi:type="dcterms:W3CDTF">2018-09-18T02:12:00Z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