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Document Title</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OH&amp;S Management System Scope Statement</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Document Reference</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SM/HSE/DOC/001</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Version</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1.0</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Effective Date</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03 February 2026</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Next Review Date</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03 February 2027</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Owner</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Group Compliance Director</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Approved By</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Pavel Shparber, CEO / Darren Watts, GCD</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Classification</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Internal / Controlled</w:t>
            </w:r>
          </w:p>
        </w:tc>
      </w:tr>
      <w:tr>
        <w:tc>
          <w:tcPr>
            <w:tcW w:type="dxa" w:w="2600"/>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ISO Standard</w:t>
            </w:r>
          </w:p>
        </w:tc>
        <w:tc>
          <w:tcPr>
            <w:tcW w:type="dxa" w:w="6426"/>
            <w:tcBorders>
              <w:top w:val="none" w:color="FFFFFF" w:sz="0"/>
              <w:left w:val="none" w:color="FFFFFF" w:sz="0"/>
              <w:bottom w:val="none" w:color="FFFFFF" w:sz="0"/>
              <w:right w:val="none" w:color="FFFFFF" w:sz="0"/>
            </w:tcBorders>
            <w:shd w:fill="E6EDF5"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ISO 45001:2018 — Clause 4.3</w:t>
            </w:r>
          </w:p>
        </w:tc>
      </w:tr>
      <w:tr>
        <w:tc>
          <w:tcPr>
            <w:tcW w:type="dxa" w:w="26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b/>
                <w:bCs/>
                <w:color w:val="003C72"/>
                <w:sz w:val="20"/>
                <w:szCs w:val="20"/>
              </w:rPr>
              <w:t xml:space="preserve">Applicable Standards</w:t>
            </w:r>
          </w:p>
        </w:tc>
        <w:tc>
          <w:tcPr>
            <w:tcW w:type="dxa" w:w="64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after="0" w:line="240"/>
            </w:pPr>
            <w:r>
              <w:rPr>
                <w:rFonts w:ascii="Avenir Next LT Pro" w:cs="Avenir Next LT Pro" w:eastAsia="Avenir Next LT Pro" w:hAnsi="Avenir Next LT Pro"/>
                <w:sz w:val="20"/>
                <w:szCs w:val="20"/>
              </w:rPr>
              <w:t xml:space="preserve">ISO 45001 | ISO 9001 | ISO 18788 | ISO 28007 | ISO 28000</w:t>
            </w:r>
          </w:p>
        </w:tc>
      </w:tr>
    </w:tbl>
    <w:p>
      <w:pPr>
        <w:spacing w:after="100" w:line="276"/>
        <w:jc w:val="both"/>
      </w:pPr>
      <w:r>
        <w:rPr>
          <w:rFonts w:ascii="Avenir Next LT Pro" w:cs="Avenir Next LT Pro" w:eastAsia="Avenir Next LT Pro" w:hAnsi="Avenir Next LT Pro"/>
          <w:b w:val="false"/>
          <w:bCs w:val="false"/>
          <w:sz w:val="20"/>
          <w:szCs w:val="20"/>
        </w:rPr>
        <w:t xml:space="preserve"/>
      </w:r>
    </w:p>
    <w:p>
      <w:pPr>
        <w:spacing w:after="200" w:before="360"/>
      </w:pPr>
      <w:r>
        <w:rPr>
          <w:rFonts w:ascii="Avenir Next LT Pro" w:cs="Avenir Next LT Pro" w:eastAsia="Avenir Next LT Pro" w:hAnsi="Avenir Next LT Pro"/>
          <w:b/>
          <w:bCs/>
          <w:caps/>
          <w:color w:val="003C72"/>
          <w:sz w:val="28"/>
          <w:szCs w:val="28"/>
        </w:rPr>
        <w:t xml:space="preserve">1. PURPOSE</w:t>
      </w:r>
    </w:p>
    <w:p>
      <w:pPr>
        <w:spacing w:after="200" w:line="276"/>
        <w:jc w:val="both"/>
      </w:pPr>
      <w:r>
        <w:rPr>
          <w:rFonts w:ascii="Avenir Next LT Pro" w:cs="Avenir Next LT Pro" w:eastAsia="Avenir Next LT Pro" w:hAnsi="Avenir Next LT Pro"/>
          <w:b w:val="false"/>
          <w:bCs w:val="false"/>
          <w:sz w:val="20"/>
          <w:szCs w:val="20"/>
        </w:rPr>
        <w:t xml:space="preserve">This document defines the scope and boundaries of the Occupational Health and Safety (OH&amp;S) Management System operated by the Seagull Maritime group. It has been determined in accordance with ISO 45001:2018, Clause 4.3, taking into consideration the internal and external issues identified in the Context Analysis (SM/INT/DOC/002), the requirements of interested parties documented in the Interested Parties Register (SM/HSE/REG/001), and the activities, products and services delivered by the organisation.</w:t>
      </w:r>
    </w:p>
    <w:p>
      <w:pPr>
        <w:spacing w:after="200" w:before="360"/>
      </w:pPr>
      <w:r>
        <w:rPr>
          <w:rFonts w:ascii="Avenir Next LT Pro" w:cs="Avenir Next LT Pro" w:eastAsia="Avenir Next LT Pro" w:hAnsi="Avenir Next LT Pro"/>
          <w:b/>
          <w:bCs/>
          <w:caps/>
          <w:color w:val="003C72"/>
          <w:sz w:val="28"/>
          <w:szCs w:val="28"/>
        </w:rPr>
        <w:t xml:space="preserve">2. ORGANISATION</w:t>
      </w:r>
    </w:p>
    <w:p>
      <w:pPr>
        <w:spacing w:after="200" w:line="276"/>
        <w:jc w:val="both"/>
      </w:pPr>
      <w:r>
        <w:rPr>
          <w:rFonts w:ascii="Avenir Next LT Pro" w:cs="Avenir Next LT Pro" w:eastAsia="Avenir Next LT Pro" w:hAnsi="Avenir Next LT Pro"/>
          <w:b w:val="false"/>
          <w:bCs w:val="false"/>
          <w:sz w:val="20"/>
          <w:szCs w:val="20"/>
        </w:rPr>
        <w:t xml:space="preserve">Seagull Maritime is a maritime risk management company providing security, offshore and risk management services to the international shipping and maritime industries. The group operates from its principal office in Piraeus, Athens, with the parent company registered in Dubai and operating entities across multiple jurisdictions.</w:t>
      </w:r>
    </w:p>
    <w:p>
      <w:pPr>
        <w:spacing w:after="160" w:before="240"/>
      </w:pPr>
      <w:r>
        <w:rPr>
          <w:rFonts w:ascii="Avenir Next LT Pro" w:cs="Avenir Next LT Pro" w:eastAsia="Avenir Next LT Pro" w:hAnsi="Avenir Next LT Pro"/>
          <w:b/>
          <w:bCs/>
          <w:color w:val="003C72"/>
          <w:sz w:val="24"/>
          <w:szCs w:val="24"/>
        </w:rPr>
        <w:t xml:space="preserve">2.1 Group Structure</w:t>
      </w:r>
    </w:p>
    <w:p>
      <w:pPr>
        <w:spacing w:after="200" w:line="276"/>
        <w:jc w:val="both"/>
      </w:pPr>
      <w:r>
        <w:rPr>
          <w:rFonts w:ascii="Avenir Next LT Pro" w:cs="Avenir Next LT Pro" w:eastAsia="Avenir Next LT Pro" w:hAnsi="Avenir Next LT Pro"/>
          <w:b/>
          <w:bCs/>
          <w:sz w:val="20"/>
          <w:szCs w:val="20"/>
        </w:rPr>
        <w:t xml:space="preserve">Seagull Dubai FZCo (UAE)</w:t>
      </w:r>
      <w:r>
        <w:rPr>
          <w:rFonts w:ascii="Avenir Next LT Pro" w:cs="Avenir Next LT Pro" w:eastAsia="Avenir Next LT Pro" w:hAnsi="Avenir Next LT Pro"/>
          <w:b w:val="false"/>
          <w:bCs w:val="false"/>
          <w:sz w:val="20"/>
          <w:szCs w:val="20"/>
        </w:rPr>
        <w:t xml:space="preserve"> — Parent company. Administrative, compliance and group governance functions. Group Compliance Director contracted via this entity.</w:t>
      </w:r>
    </w:p>
    <w:p>
      <w:pPr>
        <w:spacing w:after="200" w:line="276"/>
        <w:jc w:val="both"/>
      </w:pPr>
      <w:r>
        <w:rPr>
          <w:rFonts w:ascii="Avenir Next LT Pro" w:cs="Avenir Next LT Pro" w:eastAsia="Avenir Next LT Pro" w:hAnsi="Avenir Next LT Pro"/>
          <w:b/>
          <w:bCs/>
          <w:sz w:val="20"/>
          <w:szCs w:val="20"/>
        </w:rPr>
        <w:t xml:space="preserve">Seagull Maritime Ltd (Malta)</w:t>
      </w:r>
      <w:r>
        <w:rPr>
          <w:rFonts w:ascii="Avenir Next LT Pro" w:cs="Avenir Next LT Pro" w:eastAsia="Avenir Next LT Pro" w:hAnsi="Avenir Next LT Pro"/>
          <w:b w:val="false"/>
          <w:bCs w:val="false"/>
          <w:sz w:val="20"/>
          <w:szCs w:val="20"/>
        </w:rPr>
        <w:t xml:space="preserve"> — Primary operating entity. Holds all ISO certifications. Registered address in Malta. Provides maritime security and risk management services across all operational regions.</w:t>
      </w:r>
    </w:p>
    <w:p>
      <w:pPr>
        <w:spacing w:after="200" w:line="276"/>
        <w:jc w:val="both"/>
      </w:pPr>
      <w:r>
        <w:rPr>
          <w:rFonts w:ascii="Avenir Next LT Pro" w:cs="Avenir Next LT Pro" w:eastAsia="Avenir Next LT Pro" w:hAnsi="Avenir Next LT Pro"/>
          <w:b/>
          <w:bCs/>
          <w:sz w:val="20"/>
          <w:szCs w:val="20"/>
        </w:rPr>
        <w:t xml:space="preserve">Seagull Maritime Greece (Piraeus, Athens)</w:t>
      </w:r>
      <w:r>
        <w:rPr>
          <w:rFonts w:ascii="Avenir Next LT Pro" w:cs="Avenir Next LT Pro" w:eastAsia="Avenir Next LT Pro" w:hAnsi="Avenir Next LT Pro"/>
          <w:b w:val="false"/>
          <w:bCs w:val="false"/>
          <w:sz w:val="20"/>
          <w:szCs w:val="20"/>
        </w:rPr>
        <w:t xml:space="preserve"> — Principal operational office. Commercial team, West Africa operations management, and primary location for ISO surveillance and certification audits.</w:t>
      </w:r>
    </w:p>
    <w:p>
      <w:pPr>
        <w:spacing w:after="200" w:line="276"/>
        <w:jc w:val="both"/>
      </w:pPr>
      <w:r>
        <w:rPr>
          <w:rFonts w:ascii="Avenir Next LT Pro" w:cs="Avenir Next LT Pro" w:eastAsia="Avenir Next LT Pro" w:hAnsi="Avenir Next LT Pro"/>
          <w:b/>
          <w:bCs/>
          <w:sz w:val="20"/>
          <w:szCs w:val="20"/>
        </w:rPr>
        <w:t xml:space="preserve">Seagull Maritime Nigeria</w:t>
      </w:r>
      <w:r>
        <w:rPr>
          <w:rFonts w:ascii="Avenir Next LT Pro" w:cs="Avenir Next LT Pro" w:eastAsia="Avenir Next LT Pro" w:hAnsi="Avenir Next LT Pro"/>
          <w:b w:val="false"/>
          <w:bCs w:val="false"/>
          <w:sz w:val="20"/>
          <w:szCs w:val="20"/>
        </w:rPr>
        <w:t xml:space="preserve"> — West Africa operational delivery. Primary subsidiary alongside Greece.</w:t>
      </w:r>
    </w:p>
    <w:p>
      <w:pPr>
        <w:spacing w:after="200" w:line="276"/>
        <w:jc w:val="both"/>
      </w:pPr>
      <w:r>
        <w:rPr>
          <w:rFonts w:ascii="Avenir Next LT Pro" w:cs="Avenir Next LT Pro" w:eastAsia="Avenir Next LT Pro" w:hAnsi="Avenir Next LT Pro"/>
          <w:b/>
          <w:bCs/>
          <w:sz w:val="20"/>
          <w:szCs w:val="20"/>
        </w:rPr>
        <w:t xml:space="preserve">Seagull Offshore</w:t>
      </w:r>
      <w:r>
        <w:rPr>
          <w:rFonts w:ascii="Avenir Next LT Pro" w:cs="Avenir Next LT Pro" w:eastAsia="Avenir Next LT Pro" w:hAnsi="Avenir Next LT Pro"/>
          <w:b w:val="false"/>
          <w:bCs w:val="false"/>
          <w:sz w:val="20"/>
          <w:szCs w:val="20"/>
        </w:rPr>
        <w:t xml:space="preserve"> — Sub-entity providing fisheries protection, offshore protection vessel services, and related maritime support operations. Submits bids and tenders for vessel provision and maritime services contracts under either the Seagull Maritime or Seagull Offshore name.</w:t>
      </w:r>
    </w:p>
    <w:p>
      <w:pPr>
        <w:spacing w:after="200" w:line="276"/>
        <w:jc w:val="both"/>
      </w:pPr>
      <w:r>
        <w:rPr>
          <w:rFonts w:ascii="Avenir Next LT Pro" w:cs="Avenir Next LT Pro" w:eastAsia="Avenir Next LT Pro" w:hAnsi="Avenir Next LT Pro"/>
          <w:b/>
          <w:bCs/>
          <w:sz w:val="20"/>
          <w:szCs w:val="20"/>
        </w:rPr>
        <w:t xml:space="preserve">Seagull Maritime UK</w:t>
      </w:r>
      <w:r>
        <w:rPr>
          <w:rFonts w:ascii="Avenir Next LT Pro" w:cs="Avenir Next LT Pro" w:eastAsia="Avenir Next LT Pro" w:hAnsi="Avenir Next LT Pro"/>
          <w:b w:val="false"/>
          <w:bCs w:val="false"/>
          <w:sz w:val="20"/>
          <w:szCs w:val="20"/>
        </w:rPr>
        <w:t xml:space="preserve"> — UK-registered entity. Currently held in reserve for potential future operational support requirements.</w:t>
      </w:r>
    </w:p>
    <w:p>
      <w:pPr>
        <w:spacing w:after="200" w:line="276"/>
        <w:jc w:val="both"/>
      </w:pPr>
      <w:r>
        <w:rPr>
          <w:rFonts w:ascii="Avenir Next LT Pro" w:cs="Avenir Next LT Pro" w:eastAsia="Avenir Next LT Pro" w:hAnsi="Avenir Next LT Pro"/>
          <w:b w:val="false"/>
          <w:bCs w:val="false"/>
          <w:sz w:val="20"/>
          <w:szCs w:val="20"/>
        </w:rPr>
        <w:t xml:space="preserve">All entities operate under the unified Seagull Maritime management system and are covered by this scope statement. Certification is held by Seagull Maritime Ltd (Malta) with Seagull Dubai FZCo as the parent, and Greece and Nigeria as primary subsidiaries. All other entities fall within this certification umbrella.</w:t>
      </w:r>
    </w:p>
    <w:p>
      <w:pPr>
        <w:spacing w:after="200" w:before="360"/>
      </w:pPr>
      <w:r>
        <w:rPr>
          <w:rFonts w:ascii="Avenir Next LT Pro" w:cs="Avenir Next LT Pro" w:eastAsia="Avenir Next LT Pro" w:hAnsi="Avenir Next LT Pro"/>
          <w:b/>
          <w:bCs/>
          <w:caps/>
          <w:color w:val="003C72"/>
          <w:sz w:val="28"/>
          <w:szCs w:val="28"/>
        </w:rPr>
        <w:t xml:space="preserve">3. SCOPE STATEMENT</w:t>
      </w:r>
    </w:p>
    <w:p>
      <w:pPr>
        <w:spacing w:after="120" w:line="276"/>
        <w:jc w:val="both"/>
      </w:pPr>
      <w:r>
        <w:rPr>
          <w:rFonts w:ascii="Avenir Next LT Pro" w:cs="Avenir Next LT Pro" w:eastAsia="Avenir Next LT Pro" w:hAnsi="Avenir Next LT Pro"/>
          <w:b w:val="false"/>
          <w:bCs w:val="false"/>
          <w:sz w:val="20"/>
          <w:szCs w:val="20"/>
        </w:rPr>
        <w:t xml:space="preserve">The OH&amp;S Management System applies to the provision of maritime risk management services, including the deployment of armed and unarmed security teams aboard commercial vessels, the conduct of offshore security and protection operations, fisheries protection, salvage operations, and all associated office-based management, administrative and support functions.</w:t>
      </w:r>
    </w:p>
    <w:p>
      <w:pPr>
        <w:spacing w:after="80" w:line="276"/>
        <w:jc w:val="both"/>
      </w:pPr>
      <w:r>
        <w:rPr>
          <w:rFonts w:ascii="Avenir Next LT Pro" w:cs="Avenir Next LT Pro" w:eastAsia="Avenir Next LT Pro" w:hAnsi="Avenir Next LT Pro"/>
          <w:b w:val="false"/>
          <w:bCs w:val="false"/>
          <w:sz w:val="20"/>
          <w:szCs w:val="20"/>
        </w:rPr>
        <w:t xml:space="preserve">The scope covers all workers, workplaces and activities under the organisation’s control or influence, including:</w:t>
      </w:r>
    </w:p>
    <w:p>
      <w:pPr>
        <w:spacing w:after="160" w:before="240"/>
      </w:pPr>
      <w:r>
        <w:rPr>
          <w:rFonts w:ascii="Avenir Next LT Pro" w:cs="Avenir Next LT Pro" w:eastAsia="Avenir Next LT Pro" w:hAnsi="Avenir Next LT Pro"/>
          <w:b/>
          <w:bCs/>
          <w:color w:val="003C72"/>
          <w:sz w:val="24"/>
          <w:szCs w:val="24"/>
        </w:rPr>
        <w:t xml:space="preserve">3.1 Operational Activities</w:t>
      </w:r>
    </w:p>
    <w:p>
      <w:pPr>
        <w:spacing w:after="80" w:line="276"/>
        <w:ind w:left="360"/>
        <w:jc w:val="both"/>
      </w:pPr>
      <w:r>
        <w:rPr>
          <w:rFonts w:ascii="Avenir Next LT Pro" w:cs="Avenir Next LT Pro" w:eastAsia="Avenir Next LT Pro" w:hAnsi="Avenir Next LT Pro"/>
          <w:b w:val="false"/>
          <w:bCs w:val="false"/>
          <w:sz w:val="20"/>
          <w:szCs w:val="20"/>
        </w:rPr>
        <w:t xml:space="preserve">•  Embarked security team operations on client vessels (Indian Ocean Region)</w:t>
      </w:r>
    </w:p>
    <w:p>
      <w:pPr>
        <w:spacing w:after="80" w:line="276"/>
        <w:ind w:left="360"/>
        <w:jc w:val="both"/>
      </w:pPr>
      <w:r>
        <w:rPr>
          <w:rFonts w:ascii="Avenir Next LT Pro" w:cs="Avenir Next LT Pro" w:eastAsia="Avenir Next LT Pro" w:hAnsi="Avenir Next LT Pro"/>
          <w:b w:val="false"/>
          <w:bCs w:val="false"/>
          <w:sz w:val="20"/>
          <w:szCs w:val="20"/>
        </w:rPr>
        <w:t xml:space="preserve">•  Embarked security team operations on client vessels (West Africa / Gulf of Guinea)</w:t>
      </w:r>
    </w:p>
    <w:p>
      <w:pPr>
        <w:spacing w:after="80" w:line="276"/>
        <w:ind w:left="360"/>
        <w:jc w:val="both"/>
      </w:pPr>
      <w:r>
        <w:rPr>
          <w:rFonts w:ascii="Avenir Next LT Pro" w:cs="Avenir Next LT Pro" w:eastAsia="Avenir Next LT Pro" w:hAnsi="Avenir Next LT Pro"/>
          <w:b w:val="false"/>
          <w:bCs w:val="false"/>
          <w:sz w:val="20"/>
          <w:szCs w:val="20"/>
        </w:rPr>
        <w:t xml:space="preserve">•  Security Escort Vessel (SEV) operations (West Africa)</w:t>
      </w:r>
    </w:p>
    <w:p>
      <w:pPr>
        <w:spacing w:after="80" w:line="276"/>
        <w:ind w:left="360"/>
        <w:jc w:val="both"/>
      </w:pPr>
      <w:r>
        <w:rPr>
          <w:rFonts w:ascii="Avenir Next LT Pro" w:cs="Avenir Next LT Pro" w:eastAsia="Avenir Next LT Pro" w:hAnsi="Avenir Next LT Pro"/>
          <w:b w:val="false"/>
          <w:bCs w:val="false"/>
          <w:sz w:val="20"/>
          <w:szCs w:val="20"/>
        </w:rPr>
        <w:t xml:space="preserve">•  Fisheries protection vessel operations (Falkland Islands and other regions as contracted)</w:t>
      </w:r>
    </w:p>
    <w:p>
      <w:pPr>
        <w:spacing w:after="80" w:line="276"/>
        <w:ind w:left="360"/>
        <w:jc w:val="both"/>
      </w:pPr>
      <w:r>
        <w:rPr>
          <w:rFonts w:ascii="Avenir Next LT Pro" w:cs="Avenir Next LT Pro" w:eastAsia="Avenir Next LT Pro" w:hAnsi="Avenir Next LT Pro"/>
          <w:b w:val="false"/>
          <w:bCs w:val="false"/>
          <w:sz w:val="20"/>
          <w:szCs w:val="20"/>
        </w:rPr>
        <w:t xml:space="preserve">•  Offshore protection vessel operations and maritime support services</w:t>
      </w:r>
    </w:p>
    <w:p>
      <w:pPr>
        <w:spacing w:after="80" w:line="276"/>
        <w:ind w:left="360"/>
        <w:jc w:val="both"/>
      </w:pPr>
      <w:r>
        <w:rPr>
          <w:rFonts w:ascii="Avenir Next LT Pro" w:cs="Avenir Next LT Pro" w:eastAsia="Avenir Next LT Pro" w:hAnsi="Avenir Next LT Pro"/>
          <w:b w:val="false"/>
          <w:bCs w:val="false"/>
          <w:sz w:val="20"/>
          <w:szCs w:val="20"/>
        </w:rPr>
        <w:t xml:space="preserve">•  Salvage operations</w:t>
      </w:r>
    </w:p>
    <w:p>
      <w:pPr>
        <w:spacing w:after="80" w:line="276"/>
        <w:ind w:left="360"/>
        <w:jc w:val="both"/>
      </w:pPr>
      <w:r>
        <w:rPr>
          <w:rFonts w:ascii="Avenir Next LT Pro" w:cs="Avenir Next LT Pro" w:eastAsia="Avenir Next LT Pro" w:hAnsi="Avenir Next LT Pro"/>
          <w:b w:val="false"/>
          <w:bCs w:val="false"/>
          <w:sz w:val="20"/>
          <w:szCs w:val="20"/>
        </w:rPr>
        <w:t xml:space="preserve">•  Vessel transfer operations (embarkation / disembarkation of security teams)</w:t>
      </w:r>
    </w:p>
    <w:p>
      <w:pPr>
        <w:spacing w:after="80" w:line="276"/>
        <w:ind w:left="360"/>
        <w:jc w:val="both"/>
      </w:pPr>
      <w:r>
        <w:rPr>
          <w:rFonts w:ascii="Avenir Next LT Pro" w:cs="Avenir Next LT Pro" w:eastAsia="Avenir Next LT Pro" w:hAnsi="Avenir Next LT Pro"/>
          <w:b w:val="false"/>
          <w:bCs w:val="false"/>
          <w:sz w:val="20"/>
          <w:szCs w:val="20"/>
        </w:rPr>
        <w:t xml:space="preserve">•  Stowaway response operations</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160" w:before="240"/>
      </w:pPr>
      <w:r>
        <w:rPr>
          <w:rFonts w:ascii="Avenir Next LT Pro" w:cs="Avenir Next LT Pro" w:eastAsia="Avenir Next LT Pro" w:hAnsi="Avenir Next LT Pro"/>
          <w:b/>
          <w:bCs/>
          <w:color w:val="003C72"/>
          <w:sz w:val="24"/>
          <w:szCs w:val="24"/>
        </w:rPr>
        <w:t xml:space="preserve">3.2 Management and Support Activities</w:t>
      </w:r>
    </w:p>
    <w:p>
      <w:pPr>
        <w:spacing w:after="80" w:line="276"/>
        <w:ind w:left="360"/>
        <w:jc w:val="both"/>
      </w:pPr>
      <w:r>
        <w:rPr>
          <w:rFonts w:ascii="Avenir Next LT Pro" w:cs="Avenir Next LT Pro" w:eastAsia="Avenir Next LT Pro" w:hAnsi="Avenir Next LT Pro"/>
          <w:b w:val="false"/>
          <w:bCs w:val="false"/>
          <w:sz w:val="20"/>
          <w:szCs w:val="20"/>
        </w:rPr>
        <w:t xml:space="preserve">•  Operations centre management and 24/7 monitoring</w:t>
      </w:r>
    </w:p>
    <w:p>
      <w:pPr>
        <w:spacing w:after="80" w:line="276"/>
        <w:ind w:left="360"/>
        <w:jc w:val="both"/>
      </w:pPr>
      <w:r>
        <w:rPr>
          <w:rFonts w:ascii="Avenir Next LT Pro" w:cs="Avenir Next LT Pro" w:eastAsia="Avenir Next LT Pro" w:hAnsi="Avenir Next LT Pro"/>
          <w:b w:val="false"/>
          <w:bCs w:val="false"/>
          <w:sz w:val="20"/>
          <w:szCs w:val="20"/>
        </w:rPr>
        <w:t xml:space="preserve">•  Personnel recruitment, screening, training and competence management</w:t>
      </w:r>
    </w:p>
    <w:p>
      <w:pPr>
        <w:spacing w:after="80" w:line="276"/>
        <w:ind w:left="360"/>
        <w:jc w:val="both"/>
      </w:pPr>
      <w:r>
        <w:rPr>
          <w:rFonts w:ascii="Avenir Next LT Pro" w:cs="Avenir Next LT Pro" w:eastAsia="Avenir Next LT Pro" w:hAnsi="Avenir Next LT Pro"/>
          <w:b w:val="false"/>
          <w:bCs w:val="false"/>
          <w:sz w:val="20"/>
          <w:szCs w:val="20"/>
        </w:rPr>
        <w:t xml:space="preserve">•  Weapons procurement, storage, transfer and lifecycle management</w:t>
      </w:r>
    </w:p>
    <w:p>
      <w:pPr>
        <w:spacing w:after="80" w:line="276"/>
        <w:ind w:left="360"/>
        <w:jc w:val="both"/>
      </w:pPr>
      <w:r>
        <w:rPr>
          <w:rFonts w:ascii="Avenir Next LT Pro" w:cs="Avenir Next LT Pro" w:eastAsia="Avenir Next LT Pro" w:hAnsi="Avenir Next LT Pro"/>
          <w:b w:val="false"/>
          <w:bCs w:val="false"/>
          <w:sz w:val="20"/>
          <w:szCs w:val="20"/>
        </w:rPr>
        <w:t xml:space="preserve">•  Risk assessment, crisis response and emergency preparedness</w:t>
      </w:r>
    </w:p>
    <w:p>
      <w:pPr>
        <w:spacing w:after="80" w:line="276"/>
        <w:ind w:left="360"/>
        <w:jc w:val="both"/>
      </w:pPr>
      <w:r>
        <w:rPr>
          <w:rFonts w:ascii="Avenir Next LT Pro" w:cs="Avenir Next LT Pro" w:eastAsia="Avenir Next LT Pro" w:hAnsi="Avenir Next LT Pro"/>
          <w:b w:val="false"/>
          <w:bCs w:val="false"/>
          <w:sz w:val="20"/>
          <w:szCs w:val="20"/>
        </w:rPr>
        <w:t xml:space="preserve">•  Incident investigation, reporting and corrective action</w:t>
      </w:r>
    </w:p>
    <w:p>
      <w:pPr>
        <w:spacing w:after="80" w:line="276"/>
        <w:ind w:left="360"/>
        <w:jc w:val="both"/>
      </w:pPr>
      <w:r>
        <w:rPr>
          <w:rFonts w:ascii="Avenir Next LT Pro" w:cs="Avenir Next LT Pro" w:eastAsia="Avenir Next LT Pro" w:hAnsi="Avenir Next LT Pro"/>
          <w:b w:val="false"/>
          <w:bCs w:val="false"/>
          <w:sz w:val="20"/>
          <w:szCs w:val="20"/>
        </w:rPr>
        <w:t xml:space="preserve">•  Compliance management, internal audit and management review</w:t>
      </w:r>
    </w:p>
    <w:p>
      <w:pPr>
        <w:spacing w:after="80" w:line="276"/>
        <w:ind w:left="360"/>
        <w:jc w:val="both"/>
      </w:pPr>
      <w:r>
        <w:rPr>
          <w:rFonts w:ascii="Avenir Next LT Pro" w:cs="Avenir Next LT Pro" w:eastAsia="Avenir Next LT Pro" w:hAnsi="Avenir Next LT Pro"/>
          <w:b w:val="false"/>
          <w:bCs w:val="false"/>
          <w:sz w:val="20"/>
          <w:szCs w:val="20"/>
        </w:rPr>
        <w:t xml:space="preserve">•  Client due diligence, commercial operations and contract management</w:t>
      </w:r>
    </w:p>
    <w:p>
      <w:pPr>
        <w:spacing w:after="80" w:line="276"/>
        <w:ind w:left="360"/>
        <w:jc w:val="both"/>
      </w:pPr>
      <w:r>
        <w:rPr>
          <w:rFonts w:ascii="Avenir Next LT Pro" w:cs="Avenir Next LT Pro" w:eastAsia="Avenir Next LT Pro" w:hAnsi="Avenir Next LT Pro"/>
          <w:b w:val="false"/>
          <w:bCs w:val="false"/>
          <w:sz w:val="20"/>
          <w:szCs w:val="20"/>
        </w:rPr>
        <w:t xml:space="preserve">•  Bid and tender preparation for maritime security and offshore contracts</w:t>
      </w:r>
    </w:p>
    <w:p>
      <w:pPr>
        <w:spacing w:after="80" w:line="276"/>
        <w:ind w:left="360"/>
        <w:jc w:val="both"/>
      </w:pPr>
      <w:r>
        <w:rPr>
          <w:rFonts w:ascii="Avenir Next LT Pro" w:cs="Avenir Next LT Pro" w:eastAsia="Avenir Next LT Pro" w:hAnsi="Avenir Next LT Pro"/>
          <w:b w:val="false"/>
          <w:bCs w:val="false"/>
          <w:sz w:val="20"/>
          <w:szCs w:val="20"/>
        </w:rPr>
        <w:t xml:space="preserve">•  Office-based administration across all locations</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160" w:before="240"/>
      </w:pPr>
      <w:r>
        <w:rPr>
          <w:rFonts w:ascii="Avenir Next LT Pro" w:cs="Avenir Next LT Pro" w:eastAsia="Avenir Next LT Pro" w:hAnsi="Avenir Next LT Pro"/>
          <w:b/>
          <w:bCs/>
          <w:color w:val="003C72"/>
          <w:sz w:val="24"/>
          <w:szCs w:val="24"/>
        </w:rPr>
        <w:t xml:space="preserve">3.3 Worker Categories</w:t>
      </w:r>
    </w:p>
    <w:p>
      <w:pPr>
        <w:spacing w:after="80" w:line="276"/>
        <w:jc w:val="both"/>
      </w:pPr>
      <w:r>
        <w:rPr>
          <w:rFonts w:ascii="Avenir Next LT Pro" w:cs="Avenir Next LT Pro" w:eastAsia="Avenir Next LT Pro" w:hAnsi="Avenir Next LT Pro"/>
          <w:b w:val="false"/>
          <w:bCs w:val="false"/>
          <w:sz w:val="20"/>
          <w:szCs w:val="20"/>
        </w:rPr>
        <w:t xml:space="preserve">The scope encompasses all categories of worker whose work or workplace is controlled or influenced by the organisation:</w:t>
      </w:r>
    </w:p>
    <w:p>
      <w:pPr>
        <w:spacing w:after="80" w:line="276"/>
        <w:ind w:left="360"/>
        <w:jc w:val="both"/>
      </w:pPr>
      <w:r>
        <w:rPr>
          <w:rFonts w:ascii="Avenir Next LT Pro" w:cs="Avenir Next LT Pro" w:eastAsia="Avenir Next LT Pro" w:hAnsi="Avenir Next LT Pro"/>
          <w:b w:val="false"/>
          <w:bCs w:val="false"/>
          <w:sz w:val="20"/>
          <w:szCs w:val="20"/>
        </w:rPr>
        <w:t xml:space="preserve">•  Directly employed staff (all entities and locations)</w:t>
      </w:r>
    </w:p>
    <w:p>
      <w:pPr>
        <w:spacing w:after="80" w:line="276"/>
        <w:ind w:left="360"/>
        <w:jc w:val="both"/>
      </w:pPr>
      <w:r>
        <w:rPr>
          <w:rFonts w:ascii="Avenir Next LT Pro" w:cs="Avenir Next LT Pro" w:eastAsia="Avenir Next LT Pro" w:hAnsi="Avenir Next LT Pro"/>
          <w:b w:val="false"/>
          <w:bCs w:val="false"/>
          <w:sz w:val="20"/>
          <w:szCs w:val="20"/>
        </w:rPr>
        <w:t xml:space="preserve">•  Contracted Maritime Security Operatives (MSOs / PCSAPs)</w:t>
      </w:r>
    </w:p>
    <w:p>
      <w:pPr>
        <w:spacing w:after="80" w:line="276"/>
        <w:ind w:left="360"/>
        <w:jc w:val="both"/>
      </w:pPr>
      <w:r>
        <w:rPr>
          <w:rFonts w:ascii="Avenir Next LT Pro" w:cs="Avenir Next LT Pro" w:eastAsia="Avenir Next LT Pro" w:hAnsi="Avenir Next LT Pro"/>
          <w:b w:val="false"/>
          <w:bCs w:val="false"/>
          <w:sz w:val="20"/>
          <w:szCs w:val="20"/>
        </w:rPr>
        <w:t xml:space="preserve">•  Team Leaders and Senior Maritime Security Operatives</w:t>
      </w:r>
    </w:p>
    <w:p>
      <w:pPr>
        <w:spacing w:after="80" w:line="276"/>
        <w:ind w:left="360"/>
        <w:jc w:val="both"/>
      </w:pPr>
      <w:r>
        <w:rPr>
          <w:rFonts w:ascii="Avenir Next LT Pro" w:cs="Avenir Next LT Pro" w:eastAsia="Avenir Next LT Pro" w:hAnsi="Avenir Next LT Pro"/>
          <w:b w:val="false"/>
          <w:bCs w:val="false"/>
          <w:sz w:val="20"/>
          <w:szCs w:val="20"/>
        </w:rPr>
        <w:t xml:space="preserve">•  Offshore and vessel crew operating under Seagull direction</w:t>
      </w:r>
    </w:p>
    <w:p>
      <w:pPr>
        <w:spacing w:after="80" w:line="276"/>
        <w:ind w:left="360"/>
        <w:jc w:val="both"/>
      </w:pPr>
      <w:r>
        <w:rPr>
          <w:rFonts w:ascii="Avenir Next LT Pro" w:cs="Avenir Next LT Pro" w:eastAsia="Avenir Next LT Pro" w:hAnsi="Avenir Next LT Pro"/>
          <w:b w:val="false"/>
          <w:bCs w:val="false"/>
          <w:sz w:val="20"/>
          <w:szCs w:val="20"/>
        </w:rPr>
        <w:t xml:space="preserve">•  Remote workers (operations management, commercial, HR)</w:t>
      </w:r>
    </w:p>
    <w:p>
      <w:pPr>
        <w:spacing w:after="80" w:line="276"/>
        <w:ind w:left="360"/>
        <w:jc w:val="both"/>
      </w:pPr>
      <w:r>
        <w:rPr>
          <w:rFonts w:ascii="Avenir Next LT Pro" w:cs="Avenir Next LT Pro" w:eastAsia="Avenir Next LT Pro" w:hAnsi="Avenir Next LT Pro"/>
          <w:b w:val="false"/>
          <w:bCs w:val="false"/>
          <w:sz w:val="20"/>
          <w:szCs w:val="20"/>
        </w:rPr>
        <w:t xml:space="preserve">•  Vessel crew where Seagull personnel operate on board</w:t>
      </w:r>
    </w:p>
    <w:p>
      <w:pPr>
        <w:spacing w:after="80" w:line="276"/>
        <w:ind w:left="360"/>
        <w:jc w:val="both"/>
      </w:pPr>
      <w:r>
        <w:rPr>
          <w:rFonts w:ascii="Avenir Next LT Pro" w:cs="Avenir Next LT Pro" w:eastAsia="Avenir Next LT Pro" w:hAnsi="Avenir Next LT Pro"/>
          <w:b w:val="false"/>
          <w:bCs w:val="false"/>
          <w:sz w:val="20"/>
          <w:szCs w:val="20"/>
        </w:rPr>
        <w:t xml:space="preserve">•  Contractors and suppliers performing work under Seagull’s direction</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160" w:before="240"/>
      </w:pPr>
      <w:r>
        <w:rPr>
          <w:rFonts w:ascii="Avenir Next LT Pro" w:cs="Avenir Next LT Pro" w:eastAsia="Avenir Next LT Pro" w:hAnsi="Avenir Next LT Pro"/>
          <w:b/>
          <w:bCs/>
          <w:color w:val="003C72"/>
          <w:sz w:val="24"/>
          <w:szCs w:val="24"/>
        </w:rPr>
        <w:t xml:space="preserve">3.4 Locations</w:t>
      </w:r>
    </w:p>
    <w:p>
      <w:pPr>
        <w:spacing w:after="80" w:line="276"/>
        <w:ind w:left="360"/>
        <w:jc w:val="both"/>
      </w:pPr>
      <w:r>
        <w:rPr>
          <w:rFonts w:ascii="Avenir Next LT Pro" w:cs="Avenir Next LT Pro" w:eastAsia="Avenir Next LT Pro" w:hAnsi="Avenir Next LT Pro"/>
          <w:b w:val="false"/>
          <w:bCs w:val="false"/>
          <w:sz w:val="20"/>
          <w:szCs w:val="20"/>
        </w:rPr>
        <w:t xml:space="preserve">•  Piraeus, Athens (Greece) — Principal operational office; primary audit location</w:t>
      </w:r>
    </w:p>
    <w:p>
      <w:pPr>
        <w:spacing w:after="80" w:line="276"/>
        <w:ind w:left="360"/>
        <w:jc w:val="both"/>
      </w:pPr>
      <w:r>
        <w:rPr>
          <w:rFonts w:ascii="Avenir Next LT Pro" w:cs="Avenir Next LT Pro" w:eastAsia="Avenir Next LT Pro" w:hAnsi="Avenir Next LT Pro"/>
          <w:b w:val="false"/>
          <w:bCs w:val="false"/>
          <w:sz w:val="20"/>
          <w:szCs w:val="20"/>
        </w:rPr>
        <w:t xml:space="preserve">•  Dubai, UAE — Parent company (Seagull Dubai FZCo), Group Compliance Director</w:t>
      </w:r>
    </w:p>
    <w:p>
      <w:pPr>
        <w:spacing w:after="80" w:line="276"/>
        <w:ind w:left="360"/>
        <w:jc w:val="both"/>
      </w:pPr>
      <w:r>
        <w:rPr>
          <w:rFonts w:ascii="Avenir Next LT Pro" w:cs="Avenir Next LT Pro" w:eastAsia="Avenir Next LT Pro" w:hAnsi="Avenir Next LT Pro"/>
          <w:b w:val="false"/>
          <w:bCs w:val="false"/>
          <w:sz w:val="20"/>
          <w:szCs w:val="20"/>
        </w:rPr>
        <w:t xml:space="preserve">•  Malta — Registered address for Seagull Maritime Ltd</w:t>
      </w:r>
    </w:p>
    <w:p>
      <w:pPr>
        <w:spacing w:after="80" w:line="276"/>
        <w:ind w:left="360"/>
        <w:jc w:val="both"/>
      </w:pPr>
      <w:r>
        <w:rPr>
          <w:rFonts w:ascii="Avenir Next LT Pro" w:cs="Avenir Next LT Pro" w:eastAsia="Avenir Next LT Pro" w:hAnsi="Avenir Next LT Pro"/>
          <w:b w:val="false"/>
          <w:bCs w:val="false"/>
          <w:sz w:val="20"/>
          <w:szCs w:val="20"/>
        </w:rPr>
        <w:t xml:space="preserve">•  Nigeria — West Africa operational delivery</w:t>
      </w:r>
    </w:p>
    <w:p>
      <w:pPr>
        <w:spacing w:after="80" w:line="276"/>
        <w:ind w:left="360"/>
        <w:jc w:val="both"/>
      </w:pPr>
      <w:r>
        <w:rPr>
          <w:rFonts w:ascii="Avenir Next LT Pro" w:cs="Avenir Next LT Pro" w:eastAsia="Avenir Next LT Pro" w:hAnsi="Avenir Next LT Pro"/>
          <w:b w:val="false"/>
          <w:bCs w:val="false"/>
          <w:sz w:val="20"/>
          <w:szCs w:val="20"/>
        </w:rPr>
        <w:t xml:space="preserve">•  United Kingdom — Registered entity, held in reserve</w:t>
      </w:r>
    </w:p>
    <w:p>
      <w:pPr>
        <w:spacing w:after="80" w:line="276"/>
        <w:ind w:left="360"/>
        <w:jc w:val="both"/>
      </w:pPr>
      <w:r>
        <w:rPr>
          <w:rFonts w:ascii="Avenir Next LT Pro" w:cs="Avenir Next LT Pro" w:eastAsia="Avenir Next LT Pro" w:hAnsi="Avenir Next LT Pro"/>
          <w:b w:val="false"/>
          <w:bCs w:val="false"/>
          <w:sz w:val="20"/>
          <w:szCs w:val="20"/>
        </w:rPr>
        <w:t xml:space="preserve">•  Falkland Islands — Fisheries protection vessel operations</w:t>
      </w:r>
    </w:p>
    <w:p>
      <w:pPr>
        <w:spacing w:after="80" w:line="276"/>
        <w:ind w:left="360"/>
        <w:jc w:val="both"/>
      </w:pPr>
      <w:r>
        <w:rPr>
          <w:rFonts w:ascii="Avenir Next LT Pro" w:cs="Avenir Next LT Pro" w:eastAsia="Avenir Next LT Pro" w:hAnsi="Avenir Next LT Pro"/>
          <w:b w:val="false"/>
          <w:bCs w:val="false"/>
          <w:sz w:val="20"/>
          <w:szCs w:val="20"/>
        </w:rPr>
        <w:t xml:space="preserve">•  Client vessels at sea — Indian Ocean, Gulf of Aden, Red Sea, Gulf of Oman, Gulf of Guinea, West Africa</w:t>
      </w:r>
    </w:p>
    <w:p>
      <w:pPr>
        <w:spacing w:after="80" w:line="276"/>
        <w:ind w:left="360"/>
        <w:jc w:val="both"/>
      </w:pPr>
      <w:r>
        <w:rPr>
          <w:rFonts w:ascii="Avenir Next LT Pro" w:cs="Avenir Next LT Pro" w:eastAsia="Avenir Next LT Pro" w:hAnsi="Avenir Next LT Pro"/>
          <w:b w:val="false"/>
          <w:bCs w:val="false"/>
          <w:sz w:val="20"/>
          <w:szCs w:val="20"/>
        </w:rPr>
        <w:t xml:space="preserve">•  Vessel-based armouries — Red Sea, Indian Ocean, Gulf of Oman</w:t>
      </w:r>
    </w:p>
    <w:p>
      <w:pPr>
        <w:spacing w:after="80" w:line="276"/>
        <w:ind w:left="360"/>
        <w:jc w:val="both"/>
      </w:pPr>
      <w:r>
        <w:rPr>
          <w:rFonts w:ascii="Avenir Next LT Pro" w:cs="Avenir Next LT Pro" w:eastAsia="Avenir Next LT Pro" w:hAnsi="Avenir Next LT Pro"/>
          <w:b w:val="false"/>
          <w:bCs w:val="false"/>
          <w:sz w:val="20"/>
          <w:szCs w:val="20"/>
        </w:rPr>
        <w:t xml:space="preserve">•  Remote working locations — Ukraine and other locations as applicable</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200" w:before="360"/>
      </w:pPr>
      <w:r>
        <w:rPr>
          <w:rFonts w:ascii="Avenir Next LT Pro" w:cs="Avenir Next LT Pro" w:eastAsia="Avenir Next LT Pro" w:hAnsi="Avenir Next LT Pro"/>
          <w:b/>
          <w:bCs/>
          <w:caps/>
          <w:color w:val="003C72"/>
          <w:sz w:val="28"/>
          <w:szCs w:val="28"/>
        </w:rPr>
        <w:t xml:space="preserve">4. INTEGRATION WITH OTHER MANAGEMENT SYSTEMS</w:t>
      </w:r>
    </w:p>
    <w:p>
      <w:pPr>
        <w:spacing w:after="200" w:line="276"/>
        <w:jc w:val="both"/>
      </w:pPr>
      <w:r>
        <w:rPr>
          <w:rFonts w:ascii="Avenir Next LT Pro" w:cs="Avenir Next LT Pro" w:eastAsia="Avenir Next LT Pro" w:hAnsi="Avenir Next LT Pro"/>
          <w:b w:val="false"/>
          <w:bCs w:val="false"/>
          <w:sz w:val="20"/>
          <w:szCs w:val="20"/>
        </w:rPr>
        <w:t xml:space="preserve">The OH&amp;S Management System is integrated with the existing Seagull Maritime management systems. Where requirements overlap, processes and documented information are shared across standards to avoid duplication and ensure consistency. The integrated management system covers:</w:t>
      </w:r>
    </w:p>
    <w:p>
      <w:pPr>
        <w:spacing w:after="80" w:line="276"/>
        <w:ind w:left="360"/>
        <w:jc w:val="both"/>
      </w:pPr>
      <w:r>
        <w:rPr>
          <w:rFonts w:ascii="Avenir Next LT Pro" w:cs="Avenir Next LT Pro" w:eastAsia="Avenir Next LT Pro" w:hAnsi="Avenir Next LT Pro"/>
          <w:b w:val="false"/>
          <w:bCs w:val="false"/>
          <w:sz w:val="20"/>
          <w:szCs w:val="20"/>
        </w:rPr>
        <w:t xml:space="preserve">•  ISO 18788:2015 — Management system for private security operations</w:t>
      </w:r>
    </w:p>
    <w:p>
      <w:pPr>
        <w:spacing w:after="80" w:line="276"/>
        <w:ind w:left="360"/>
        <w:jc w:val="both"/>
      </w:pPr>
      <w:r>
        <w:rPr>
          <w:rFonts w:ascii="Avenir Next LT Pro" w:cs="Avenir Next LT Pro" w:eastAsia="Avenir Next LT Pro" w:hAnsi="Avenir Next LT Pro"/>
          <w:b w:val="false"/>
          <w:bCs w:val="false"/>
          <w:sz w:val="20"/>
          <w:szCs w:val="20"/>
        </w:rPr>
        <w:t xml:space="preserve">•  ISO 28007-1:2015 — Ships and marine technology (PCASP)</w:t>
      </w:r>
    </w:p>
    <w:p>
      <w:pPr>
        <w:spacing w:after="80" w:line="276"/>
        <w:ind w:left="360"/>
        <w:jc w:val="both"/>
      </w:pPr>
      <w:r>
        <w:rPr>
          <w:rFonts w:ascii="Avenir Next LT Pro" w:cs="Avenir Next LT Pro" w:eastAsia="Avenir Next LT Pro" w:hAnsi="Avenir Next LT Pro"/>
          <w:b w:val="false"/>
          <w:bCs w:val="false"/>
          <w:sz w:val="20"/>
          <w:szCs w:val="20"/>
        </w:rPr>
        <w:t xml:space="preserve">•  ISO 28000:2022 — Security management systems for the supply chain</w:t>
      </w:r>
    </w:p>
    <w:p>
      <w:pPr>
        <w:spacing w:after="80" w:line="276"/>
        <w:ind w:left="360"/>
        <w:jc w:val="both"/>
      </w:pPr>
      <w:r>
        <w:rPr>
          <w:rFonts w:ascii="Avenir Next LT Pro" w:cs="Avenir Next LT Pro" w:eastAsia="Avenir Next LT Pro" w:hAnsi="Avenir Next LT Pro"/>
          <w:b w:val="false"/>
          <w:bCs w:val="false"/>
          <w:sz w:val="20"/>
          <w:szCs w:val="20"/>
        </w:rPr>
        <w:t xml:space="preserve">•  ISO 9001:2015 — Quality management systems</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200" w:line="276"/>
        <w:jc w:val="both"/>
      </w:pPr>
      <w:r>
        <w:rPr>
          <w:rFonts w:ascii="Avenir Next LT Pro" w:cs="Avenir Next LT Pro" w:eastAsia="Avenir Next LT Pro" w:hAnsi="Avenir Next LT Pro"/>
          <w:b w:val="false"/>
          <w:bCs w:val="false"/>
          <w:sz w:val="20"/>
          <w:szCs w:val="20"/>
        </w:rPr>
        <w:t xml:space="preserve">Cross-cutting procedures (document control, internal audit, NCR/CAPA management, management of change, management review) are maintained under the integrated (INT) document series. OH&amp;S-specific procedures, policies and registers are maintained under the HSE document series.</w:t>
      </w:r>
    </w:p>
    <w:p>
      <w:pPr>
        <w:spacing w:after="200" w:before="360"/>
      </w:pPr>
      <w:r>
        <w:rPr>
          <w:rFonts w:ascii="Avenir Next LT Pro" w:cs="Avenir Next LT Pro" w:eastAsia="Avenir Next LT Pro" w:hAnsi="Avenir Next LT Pro"/>
          <w:b/>
          <w:bCs/>
          <w:caps/>
          <w:color w:val="003C72"/>
          <w:sz w:val="28"/>
          <w:szCs w:val="28"/>
        </w:rPr>
        <w:t xml:space="preserve">5. EXCLUSIONS</w:t>
      </w:r>
    </w:p>
    <w:p>
      <w:pPr>
        <w:spacing w:after="200" w:line="276"/>
        <w:jc w:val="both"/>
      </w:pPr>
      <w:r>
        <w:rPr>
          <w:rFonts w:ascii="Avenir Next LT Pro" w:cs="Avenir Next LT Pro" w:eastAsia="Avenir Next LT Pro" w:hAnsi="Avenir Next LT Pro"/>
          <w:b w:val="false"/>
          <w:bCs w:val="false"/>
          <w:sz w:val="20"/>
          <w:szCs w:val="20"/>
        </w:rPr>
        <w:t xml:space="preserve">No clauses of ISO 45001:2018 are excluded from the scope of this management system. All requirements of the standard are considered applicable to the organisation’s activities and are addressed through policies, procedures, operational controls and documented information maintained within the integrated management system.</w:t>
      </w:r>
    </w:p>
    <w:p>
      <w:pPr>
        <w:spacing w:after="200" w:before="360"/>
      </w:pPr>
      <w:r>
        <w:rPr>
          <w:rFonts w:ascii="Avenir Next LT Pro" w:cs="Avenir Next LT Pro" w:eastAsia="Avenir Next LT Pro" w:hAnsi="Avenir Next LT Pro"/>
          <w:b/>
          <w:bCs/>
          <w:caps/>
          <w:color w:val="003C72"/>
          <w:sz w:val="28"/>
          <w:szCs w:val="28"/>
        </w:rPr>
        <w:t xml:space="preserve">6. BOUNDARIES AND LIMITATIONS</w:t>
      </w:r>
    </w:p>
    <w:p>
      <w:pPr>
        <w:spacing w:after="200" w:line="276"/>
        <w:jc w:val="both"/>
      </w:pPr>
      <w:r>
        <w:rPr>
          <w:rFonts w:ascii="Avenir Next LT Pro" w:cs="Avenir Next LT Pro" w:eastAsia="Avenir Next LT Pro" w:hAnsi="Avenir Next LT Pro"/>
          <w:b w:val="false"/>
          <w:bCs w:val="false"/>
          <w:sz w:val="20"/>
          <w:szCs w:val="20"/>
        </w:rPr>
        <w:t xml:space="preserve">The OH&amp;S Management System applies to all activities where the Seagull Maritime group has control or influence over the working conditions and health and safety outcomes. The following boundaries are noted:</w:t>
      </w:r>
    </w:p>
    <w:p>
      <w:pPr>
        <w:spacing w:after="200" w:line="276"/>
        <w:jc w:val="both"/>
      </w:pPr>
      <w:r>
        <w:rPr>
          <w:rFonts w:ascii="Avenir Next LT Pro" w:cs="Avenir Next LT Pro" w:eastAsia="Avenir Next LT Pro" w:hAnsi="Avenir Next LT Pro"/>
          <w:b/>
          <w:bCs/>
          <w:sz w:val="20"/>
          <w:szCs w:val="20"/>
        </w:rPr>
        <w:t xml:space="preserve">Client vessel operations: </w:t>
      </w:r>
      <w:r>
        <w:rPr>
          <w:rFonts w:ascii="Avenir Next LT Pro" w:cs="Avenir Next LT Pro" w:eastAsia="Avenir Next LT Pro" w:hAnsi="Avenir Next LT Pro"/>
          <w:b w:val="false"/>
          <w:bCs w:val="false"/>
          <w:sz w:val="20"/>
          <w:szCs w:val="20"/>
        </w:rPr>
        <w:t xml:space="preserve">While Seagull does not control the overall vessel safety management system (which is the responsibility of the ship operator under the ISM Code), Seagull maintains full responsibility for the health and safety of its embarked personnel and any activities conducted by its teams. This includes risk assessment, safe systems of work, personal protective equipment, weapons handling, and reporting of incidents and near-misses through the Seagull HSE reporting system.</w:t>
      </w:r>
    </w:p>
    <w:p>
      <w:pPr>
        <w:spacing w:after="200" w:line="276"/>
        <w:jc w:val="both"/>
      </w:pPr>
      <w:r>
        <w:rPr>
          <w:rFonts w:ascii="Avenir Next LT Pro" w:cs="Avenir Next LT Pro" w:eastAsia="Avenir Next LT Pro" w:hAnsi="Avenir Next LT Pro"/>
          <w:b/>
          <w:bCs/>
          <w:sz w:val="20"/>
          <w:szCs w:val="20"/>
        </w:rPr>
        <w:t xml:space="preserve">Vessel-based armouries: </w:t>
      </w:r>
      <w:r>
        <w:rPr>
          <w:rFonts w:ascii="Avenir Next LT Pro" w:cs="Avenir Next LT Pro" w:eastAsia="Avenir Next LT Pro" w:hAnsi="Avenir Next LT Pro"/>
          <w:b w:val="false"/>
          <w:bCs w:val="false"/>
          <w:sz w:val="20"/>
          <w:szCs w:val="20"/>
        </w:rPr>
        <w:t xml:space="preserve">VBA operations are managed by PSS (Pavarotti Shipping Services) under their own management systems. Where Seagull personnel board or use VBAs for weapons embarkation and disembarkation, Seagull retains responsibility for the safety of its personnel during those activities and ensures adequate due diligence is conducted on VBA operators.</w:t>
      </w:r>
    </w:p>
    <w:p>
      <w:pPr>
        <w:spacing w:after="200" w:line="276"/>
        <w:jc w:val="both"/>
      </w:pPr>
      <w:r>
        <w:rPr>
          <w:rFonts w:ascii="Avenir Next LT Pro" w:cs="Avenir Next LT Pro" w:eastAsia="Avenir Next LT Pro" w:hAnsi="Avenir Next LT Pro"/>
          <w:b/>
          <w:bCs/>
          <w:sz w:val="20"/>
          <w:szCs w:val="20"/>
        </w:rPr>
        <w:t xml:space="preserve">Subcontracted personnel: </w:t>
      </w:r>
      <w:r>
        <w:rPr>
          <w:rFonts w:ascii="Avenir Next LT Pro" w:cs="Avenir Next LT Pro" w:eastAsia="Avenir Next LT Pro" w:hAnsi="Avenir Next LT Pro"/>
          <w:b w:val="false"/>
          <w:bCs w:val="false"/>
          <w:sz w:val="20"/>
          <w:szCs w:val="20"/>
        </w:rPr>
        <w:t xml:space="preserve">Where Seagull engages subcontracted security operatives or offshore personnel, the OH&amp;S requirements of this management system apply to those personnel for the duration of their engagement and Seagull retains responsibility for their competence, briefing and welfare.</w:t>
      </w:r>
    </w:p>
    <w:p>
      <w:pPr>
        <w:spacing w:after="200" w:line="276"/>
        <w:jc w:val="both"/>
      </w:pPr>
      <w:r>
        <w:rPr>
          <w:rFonts w:ascii="Avenir Next LT Pro" w:cs="Avenir Next LT Pro" w:eastAsia="Avenir Next LT Pro" w:hAnsi="Avenir Next LT Pro"/>
          <w:b/>
          <w:bCs/>
          <w:sz w:val="20"/>
          <w:szCs w:val="20"/>
        </w:rPr>
        <w:t xml:space="preserve">Offshore and salvage operations: </w:t>
      </w:r>
      <w:r>
        <w:rPr>
          <w:rFonts w:ascii="Avenir Next LT Pro" w:cs="Avenir Next LT Pro" w:eastAsia="Avenir Next LT Pro" w:hAnsi="Avenir Next LT Pro"/>
          <w:b w:val="false"/>
          <w:bCs w:val="false"/>
          <w:sz w:val="20"/>
          <w:szCs w:val="20"/>
        </w:rPr>
        <w:t xml:space="preserve">As Seagull expands into offshore protection, fisheries protection beyond the Falklands, and salvage operations, new activities will be incorporated into this scope through a documented management of change process and risk assessment prior to commencement.</w:t>
      </w:r>
    </w:p>
    <w:p>
      <w:pPr>
        <w:spacing w:after="200" w:before="360"/>
      </w:pPr>
      <w:r>
        <w:rPr>
          <w:rFonts w:ascii="Avenir Next LT Pro" w:cs="Avenir Next LT Pro" w:eastAsia="Avenir Next LT Pro" w:hAnsi="Avenir Next LT Pro"/>
          <w:b/>
          <w:bCs/>
          <w:caps/>
          <w:color w:val="003C72"/>
          <w:sz w:val="28"/>
          <w:szCs w:val="28"/>
        </w:rPr>
        <w:t xml:space="preserve">7. REFERENCES</w:t>
      </w:r>
    </w:p>
    <w:p>
      <w:pPr>
        <w:spacing w:after="80" w:line="276"/>
        <w:ind w:left="360"/>
        <w:jc w:val="both"/>
      </w:pPr>
      <w:r>
        <w:rPr>
          <w:rFonts w:ascii="Avenir Next LT Pro" w:cs="Avenir Next LT Pro" w:eastAsia="Avenir Next LT Pro" w:hAnsi="Avenir Next LT Pro"/>
          <w:b w:val="false"/>
          <w:bCs w:val="false"/>
          <w:sz w:val="20"/>
          <w:szCs w:val="20"/>
        </w:rPr>
        <w:t xml:space="preserve">•  SM/INT/DOC/002 — Context of the Organisation (PESTLE and SWOT Analysis)</w:t>
      </w:r>
    </w:p>
    <w:p>
      <w:pPr>
        <w:spacing w:after="80" w:line="276"/>
        <w:ind w:left="360"/>
        <w:jc w:val="both"/>
      </w:pPr>
      <w:r>
        <w:rPr>
          <w:rFonts w:ascii="Avenir Next LT Pro" w:cs="Avenir Next LT Pro" w:eastAsia="Avenir Next LT Pro" w:hAnsi="Avenir Next LT Pro"/>
          <w:b w:val="false"/>
          <w:bCs w:val="false"/>
          <w:sz w:val="20"/>
          <w:szCs w:val="20"/>
        </w:rPr>
        <w:t xml:space="preserve">•  SM/HSE/REG/001 — Interested Parties Register</w:t>
      </w:r>
    </w:p>
    <w:p>
      <w:pPr>
        <w:spacing w:after="80" w:line="276"/>
        <w:ind w:left="360"/>
        <w:jc w:val="both"/>
      </w:pPr>
      <w:r>
        <w:rPr>
          <w:rFonts w:ascii="Avenir Next LT Pro" w:cs="Avenir Next LT Pro" w:eastAsia="Avenir Next LT Pro" w:hAnsi="Avenir Next LT Pro"/>
          <w:b w:val="false"/>
          <w:bCs w:val="false"/>
          <w:sz w:val="20"/>
          <w:szCs w:val="20"/>
        </w:rPr>
        <w:t xml:space="preserve">•  SM/HSE/POL/001 — OH&amp;S Policy</w:t>
      </w:r>
    </w:p>
    <w:p>
      <w:pPr>
        <w:spacing w:after="80" w:line="276"/>
        <w:ind w:left="360"/>
        <w:jc w:val="both"/>
      </w:pPr>
      <w:r>
        <w:rPr>
          <w:rFonts w:ascii="Avenir Next LT Pro" w:cs="Avenir Next LT Pro" w:eastAsia="Avenir Next LT Pro" w:hAnsi="Avenir Next LT Pro"/>
          <w:b w:val="false"/>
          <w:bCs w:val="false"/>
          <w:sz w:val="20"/>
          <w:szCs w:val="20"/>
        </w:rPr>
        <w:t xml:space="preserve">•  SM/INT/CMP/002 — Combined Work Programme</w:t>
      </w:r>
    </w:p>
    <w:p>
      <w:pPr>
        <w:spacing w:after="80" w:line="276"/>
        <w:ind w:left="360"/>
        <w:jc w:val="both"/>
      </w:pPr>
      <w:r>
        <w:rPr>
          <w:rFonts w:ascii="Avenir Next LT Pro" w:cs="Avenir Next LT Pro" w:eastAsia="Avenir Next LT Pro" w:hAnsi="Avenir Next LT Pro"/>
          <w:b w:val="false"/>
          <w:bCs w:val="false"/>
          <w:sz w:val="20"/>
          <w:szCs w:val="20"/>
        </w:rPr>
        <w:t xml:space="preserve">•  SM/INT/PRO/002 — Control of Documents</w:t>
      </w:r>
    </w:p>
    <w:p>
      <w:pPr>
        <w:spacing w:after="80" w:line="276"/>
        <w:ind w:left="360"/>
        <w:jc w:val="both"/>
      </w:pPr>
      <w:r>
        <w:rPr>
          <w:rFonts w:ascii="Avenir Next LT Pro" w:cs="Avenir Next LT Pro" w:eastAsia="Avenir Next LT Pro" w:hAnsi="Avenir Next LT Pro"/>
          <w:b w:val="false"/>
          <w:bCs w:val="false"/>
          <w:sz w:val="20"/>
          <w:szCs w:val="20"/>
        </w:rPr>
        <w:t xml:space="preserve">•  ISO 45001:2018 — Occupational health and safety management systems</w:t>
      </w:r>
    </w:p>
    <w:p>
      <w:pPr>
        <w:spacing w:after="40" w:line="276"/>
        <w:jc w:val="both"/>
      </w:pPr>
      <w:r>
        <w:rPr>
          <w:rFonts w:ascii="Avenir Next LT Pro" w:cs="Avenir Next LT Pro" w:eastAsia="Avenir Next LT Pro" w:hAnsi="Avenir Next LT Pro"/>
          <w:b w:val="false"/>
          <w:bCs w:val="false"/>
          <w:sz w:val="20"/>
          <w:szCs w:val="20"/>
        </w:rPr>
        <w:t xml:space="preserve"/>
      </w:r>
    </w:p>
    <w:p>
      <w:pPr>
        <w:spacing w:after="200" w:before="360"/>
      </w:pPr>
      <w:r>
        <w:rPr>
          <w:rFonts w:ascii="Avenir Next LT Pro" w:cs="Avenir Next LT Pro" w:eastAsia="Avenir Next LT Pro" w:hAnsi="Avenir Next LT Pro"/>
          <w:b/>
          <w:bCs/>
          <w:caps/>
          <w:color w:val="003C72"/>
          <w:sz w:val="28"/>
          <w:szCs w:val="28"/>
        </w:rPr>
        <w:t xml:space="preserve">8. REVIEW AND MAINTENANCE</w:t>
      </w:r>
    </w:p>
    <w:p>
      <w:pPr>
        <w:spacing w:after="200" w:line="276"/>
        <w:jc w:val="both"/>
      </w:pPr>
      <w:r>
        <w:rPr>
          <w:rFonts w:ascii="Avenir Next LT Pro" w:cs="Avenir Next LT Pro" w:eastAsia="Avenir Next LT Pro" w:hAnsi="Avenir Next LT Pro"/>
          <w:b w:val="false"/>
          <w:bCs w:val="false"/>
          <w:sz w:val="20"/>
          <w:szCs w:val="20"/>
        </w:rPr>
        <w:t xml:space="preserve">This scope statement shall be reviewed at least annually as part of the management review process, or sooner if there is a significant change in the organisation’s activities, structure, locations or interested party requirements. Changes to scope must be approved by the CEO and Group Compliance Director and communicated to the certification body.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C72" w:sz="6" w:space="4"/>
      </w:pBdr>
      <w:tabs>
        <w:tab w:val="center" w:pos="4513"/>
        <w:tab w:val="right" w:pos="9026"/>
      </w:tabs>
      <w:spacing w:after="0" w:before="60"/>
    </w:pPr>
    <w:r>
      <w:rPr>
        <w:rFonts w:ascii="Avenir Next LT Pro" w:cs="Avenir Next LT Pro" w:eastAsia="Avenir Next LT Pro" w:hAnsi="Avenir Next LT Pro"/>
        <w:color w:val="003C72"/>
        <w:sz w:val="14"/>
        <w:szCs w:val="14"/>
      </w:rPr>
      <w:t xml:space="preserve">Page </w:t>
    </w:r>
    <w:r>
      <w:rPr>
        <w:rFonts w:ascii="Avenir Next LT Pro" w:cs="Avenir Next LT Pro" w:eastAsia="Avenir Next LT Pro" w:hAnsi="Avenir Next LT Pro"/>
        <w:color w:val="003C72"/>
        <w:sz w:val="14"/>
        <w:szCs w:val="14"/>
      </w:rPr>
      <w:fldChar w:fldCharType="begin"/>
      <w:instrText xml:space="preserve">PAGE</w:instrText>
      <w:fldChar w:fldCharType="separate"/>
      <w:fldChar w:fldCharType="end"/>
    </w:r>
    <w:r>
      <w:rPr>
        <w:rFonts w:ascii="Avenir Next LT Pro" w:cs="Avenir Next LT Pro" w:eastAsia="Avenir Next LT Pro" w:hAnsi="Avenir Next LT Pro"/>
        <w:color w:val="003C72"/>
        <w:sz w:val="14"/>
        <w:szCs w:val="14"/>
      </w:rPr>
      <w:t xml:space="preserve"> of </w:t>
    </w:r>
    <w:r>
      <w:rPr>
        <w:rFonts w:ascii="Avenir Next LT Pro" w:cs="Avenir Next LT Pro" w:eastAsia="Avenir Next LT Pro" w:hAnsi="Avenir Next LT Pro"/>
        <w:color w:val="003C72"/>
        <w:sz w:val="14"/>
        <w:szCs w:val="14"/>
      </w:rPr>
      <w:fldChar w:fldCharType="begin"/>
      <w:instrText xml:space="preserve">NUMPAGES</w:instrText>
      <w:fldChar w:fldCharType="separate"/>
      <w:fldChar w:fldCharType="end"/>
    </w:r>
    <w:r>
      <w:rPr>
        <w:rFonts w:ascii="Avenir Next LT Pro" w:cs="Avenir Next LT Pro" w:eastAsia="Avenir Next LT Pro" w:hAnsi="Avenir Next LT Pro"/>
        <w:color w:val="003C72"/>
        <w:sz w:val="14"/>
        <w:szCs w:val="14"/>
      </w:rPr>
      <w:t xml:space="preserve">	UNCONTROLLED IF PRINTED OR DOWNLOADED</w:t>
    </w:r>
    <w:r>
      <w:rPr>
        <w:rFonts w:ascii="Avenir Next LT Pro" w:cs="Avenir Next LT Pro" w:eastAsia="Avenir Next LT Pro" w:hAnsi="Avenir Next LT Pro"/>
        <w:color w:val="003C72"/>
        <w:sz w:val="14"/>
        <w:szCs w:val="14"/>
      </w:rPr>
      <w:t xml:space="preserve">	SM/HSE/DOC/001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vAlign w:val="center"/>
        </w:tcPr>
        <w:p>
          <w:pPr>
            <w:spacing w:after="0"/>
          </w:pPr>
          <w:r>
            <w:rPr>
              <w:rFonts w:ascii="Avenir Next LT Pro" w:cs="Avenir Next LT Pro" w:eastAsia="Avenir Next LT Pro" w:hAnsi="Avenir Next LT Pro"/>
              <w:b/>
              <w:bCs/>
              <w:color w:val="42515A"/>
              <w:sz w:val="16"/>
              <w:szCs w:val="16"/>
            </w:rPr>
            <w:t xml:space="preserve">OH&amp;S MANAGEMENT SYSTEM SCOPE STATEMENT</w:t>
          </w:r>
        </w:p>
      </w:tc>
      <w:tc>
        <w:tcPr>
          <w:tcW w:type="dxa" w:w="2026"/>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762000" cy="762000"/>
                <wp:effectExtent t="0" r="0" b="0" l="0"/>
                <wp:docPr id="1" name="logo" descr="Seagull Maritime portrait logo" title="Seagull Mariti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LT Pro" w:cs="Avenir Next LT Pro" w:eastAsia="Avenir Next LT Pro" w:hAnsi="Avenir Next LT Pr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7d4f88b8b03c49e30c0ec3e4538b5fe61e7ae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2026-03-30T14:49:31.213Z</dcterms:created>
  <dcterms:modified xsi:type="dcterms:W3CDTF">2026-03-30T14:49:31.213Z</dcterms:modified>
</cp:coreProperties>
</file>

<file path=docProps/custom.xml><?xml version="1.0" encoding="utf-8"?>
<Properties xmlns="http://schemas.openxmlformats.org/officeDocument/2006/custom-properties" xmlns:vt="http://schemas.openxmlformats.org/officeDocument/2006/docPropsVTypes"/>
</file>