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Document Title</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Occupational Health &amp; Safety Policy</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Document Reference</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SM/HSE/POL/001</w:t>
            </w:r>
          </w:p>
        </w:tc>
      </w:tr>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Version</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1.0</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Effective Date</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03 February 2026</w:t>
            </w:r>
          </w:p>
        </w:tc>
      </w:tr>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Next Review Date</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03 February 2027</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Owner</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Group Compliance Director</w:t>
            </w:r>
          </w:p>
        </w:tc>
      </w:tr>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Approved By</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Pavel Shparber, CEO / Darren Watts, GCD</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Classification</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Public / Controlled</w:t>
            </w:r>
          </w:p>
        </w:tc>
      </w:tr>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ISO Standard</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ISO 45001:2018 — Clause 5.2</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Applicable Standards</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ISO 45001 | ISO 18788 | ISO 28007 | ISO 28000 | ISO 9001</w:t>
            </w:r>
          </w:p>
        </w:tc>
      </w:tr>
    </w:tbl>
    <w:p>
      <w:pPr>
        <w:spacing w:after="100" w:line="276"/>
        <w:jc w:val="both"/>
      </w:pPr>
      <w:r>
        <w:rPr>
          <w:rFonts w:ascii="Avenir Next LT Pro" w:cs="Avenir Next LT Pro" w:eastAsia="Avenir Next LT Pro" w:hAnsi="Avenir Next LT Pro"/>
          <w:b w:val="false"/>
          <w:bCs w:val="false"/>
          <w:sz w:val="20"/>
          <w:szCs w:val="20"/>
        </w:rPr>
        <w:t xml:space="preserve"/>
      </w:r>
    </w:p>
    <w:p>
      <w:pPr>
        <w:spacing w:after="200" w:before="360"/>
      </w:pPr>
      <w:r>
        <w:rPr>
          <w:rFonts w:ascii="Avenir Next LT Pro" w:cs="Avenir Next LT Pro" w:eastAsia="Avenir Next LT Pro" w:hAnsi="Avenir Next LT Pro"/>
          <w:b/>
          <w:bCs/>
          <w:caps/>
          <w:color w:val="003C72"/>
          <w:sz w:val="28"/>
          <w:szCs w:val="28"/>
        </w:rPr>
        <w:t xml:space="preserve">1. PURPOSE</w:t>
      </w:r>
    </w:p>
    <w:p>
      <w:pPr>
        <w:spacing w:after="200" w:line="276"/>
        <w:jc w:val="both"/>
      </w:pPr>
      <w:r>
        <w:rPr>
          <w:rFonts w:ascii="Avenir Next LT Pro" w:cs="Avenir Next LT Pro" w:eastAsia="Avenir Next LT Pro" w:hAnsi="Avenir Next LT Pro"/>
          <w:b w:val="false"/>
          <w:bCs w:val="false"/>
          <w:sz w:val="20"/>
          <w:szCs w:val="20"/>
        </w:rPr>
        <w:t xml:space="preserve">This policy establishes the occupational health and safety (OH&amp;S) commitments of the Seagull Maritime group. It has been developed and approved by top management in accordance with ISO 45001:2018, Clause 5.2, and provides the framework for setting OH&amp;S objectives, eliminating hazards, reducing risks, and driving continual improvement of the OH&amp;S management system.</w:t>
      </w:r>
    </w:p>
    <w:p>
      <w:pPr>
        <w:spacing w:after="200" w:line="276"/>
        <w:jc w:val="both"/>
      </w:pPr>
      <w:r>
        <w:rPr>
          <w:rFonts w:ascii="Avenir Next LT Pro" w:cs="Avenir Next LT Pro" w:eastAsia="Avenir Next LT Pro" w:hAnsi="Avenir Next LT Pro"/>
          <w:b w:val="false"/>
          <w:bCs w:val="false"/>
          <w:sz w:val="20"/>
          <w:szCs w:val="20"/>
        </w:rPr>
        <w:t xml:space="preserve">This policy applies to all entities, locations, workers and activities within the scope of the OH&amp;S management system as defined in the Scope Statement (SM/HSE/DOC/001).</w:t>
      </w:r>
    </w:p>
    <w:p>
      <w:pPr>
        <w:spacing w:after="200" w:before="360"/>
      </w:pPr>
      <w:r>
        <w:rPr>
          <w:rFonts w:ascii="Avenir Next LT Pro" w:cs="Avenir Next LT Pro" w:eastAsia="Avenir Next LT Pro" w:hAnsi="Avenir Next LT Pro"/>
          <w:b/>
          <w:bCs/>
          <w:caps/>
          <w:color w:val="003C72"/>
          <w:sz w:val="28"/>
          <w:szCs w:val="28"/>
        </w:rPr>
        <w:t xml:space="preserve">2. POLICY STATEMENT</w:t>
      </w:r>
    </w:p>
    <w:p>
      <w:pPr>
        <w:spacing w:after="200" w:line="276"/>
        <w:jc w:val="both"/>
      </w:pPr>
      <w:r>
        <w:rPr>
          <w:rFonts w:ascii="Avenir Next LT Pro" w:cs="Avenir Next LT Pro" w:eastAsia="Avenir Next LT Pro" w:hAnsi="Avenir Next LT Pro"/>
          <w:b w:val="false"/>
          <w:bCs w:val="false"/>
          <w:sz w:val="20"/>
          <w:szCs w:val="20"/>
        </w:rPr>
        <w:t xml:space="preserve">Seagull Maritime is committed to providing a safe and healthy working environment for all workers, contractors and other persons affected by its operations. The nature of our business — maritime security, offshore protection, fisheries protection and associated services — places our people in high-risk environments around the world. We recognise that effective health and safety management is not just a regulatory obligation but a fundamental duty of care to every person who works under our direction or on our behalf.</w:t>
      </w:r>
    </w:p>
    <w:p>
      <w:pPr>
        <w:spacing w:after="200" w:line="276"/>
        <w:jc w:val="both"/>
      </w:pPr>
      <w:r>
        <w:rPr>
          <w:rFonts w:ascii="Avenir Next LT Pro" w:cs="Avenir Next LT Pro" w:eastAsia="Avenir Next LT Pro" w:hAnsi="Avenir Next LT Pro"/>
          <w:b w:val="false"/>
          <w:bCs w:val="false"/>
          <w:sz w:val="20"/>
          <w:szCs w:val="20"/>
        </w:rPr>
        <w:t xml:space="preserve">The CEO, as the senior accountable officer, and top management collectively commit to:</w:t>
      </w:r>
    </w:p>
    <w:p>
      <w:pPr>
        <w:spacing w:after="160" w:before="240"/>
      </w:pPr>
      <w:r>
        <w:rPr>
          <w:rFonts w:ascii="Avenir Next LT Pro" w:cs="Avenir Next LT Pro" w:eastAsia="Avenir Next LT Pro" w:hAnsi="Avenir Next LT Pro"/>
          <w:b/>
          <w:bCs/>
          <w:color w:val="003C72"/>
          <w:sz w:val="24"/>
          <w:szCs w:val="24"/>
        </w:rPr>
        <w:t xml:space="preserve">2.1 Prevention of Work-Related Injury and Ill Health</w:t>
      </w:r>
    </w:p>
    <w:p>
      <w:pPr>
        <w:spacing w:after="200" w:line="276"/>
        <w:jc w:val="both"/>
      </w:pPr>
      <w:r>
        <w:rPr>
          <w:rFonts w:ascii="Avenir Next LT Pro" w:cs="Avenir Next LT Pro" w:eastAsia="Avenir Next LT Pro" w:hAnsi="Avenir Next LT Pro"/>
          <w:b w:val="false"/>
          <w:bCs w:val="false"/>
          <w:sz w:val="20"/>
          <w:szCs w:val="20"/>
        </w:rPr>
        <w:t xml:space="preserve">Providing safe and healthy working conditions for the prevention of work-related injury and ill health, appropriate to the purpose, size and context of the organisation and to the specific nature and OH&amp;S risks of its activities. This includes operations aboard client vessels, vessel-based armouries, offshore and fisheries protection vessels, and all office-based workplaces.</w:t>
      </w:r>
    </w:p>
    <w:p>
      <w:pPr>
        <w:spacing w:after="160" w:before="240"/>
      </w:pPr>
      <w:r>
        <w:rPr>
          <w:rFonts w:ascii="Avenir Next LT Pro" w:cs="Avenir Next LT Pro" w:eastAsia="Avenir Next LT Pro" w:hAnsi="Avenir Next LT Pro"/>
          <w:b/>
          <w:bCs/>
          <w:color w:val="003C72"/>
          <w:sz w:val="24"/>
          <w:szCs w:val="24"/>
        </w:rPr>
        <w:t xml:space="preserve">2.2 Hazard Elimination and Risk Reduction</w:t>
      </w:r>
    </w:p>
    <w:p>
      <w:pPr>
        <w:spacing w:after="200" w:line="276"/>
        <w:jc w:val="both"/>
      </w:pPr>
      <w:r>
        <w:rPr>
          <w:rFonts w:ascii="Avenir Next LT Pro" w:cs="Avenir Next LT Pro" w:eastAsia="Avenir Next LT Pro" w:hAnsi="Avenir Next LT Pro"/>
          <w:b w:val="false"/>
          <w:bCs w:val="false"/>
          <w:sz w:val="20"/>
          <w:szCs w:val="20"/>
        </w:rPr>
        <w:t xml:space="preserve">Maintaining a systematic process for the identification of hazards, assessment of risks and determination of controls using the hierarchy of controls. Where hazards cannot be eliminated, risks shall be reduced to the lowest level that is reasonably practicable. Risk assessments shall be conducted for all operational activities, deployments, new service lines and significant changes to the working environment.</w:t>
      </w:r>
    </w:p>
    <w:p>
      <w:pPr>
        <w:spacing w:after="160" w:before="240"/>
      </w:pPr>
      <w:r>
        <w:rPr>
          <w:rFonts w:ascii="Avenir Next LT Pro" w:cs="Avenir Next LT Pro" w:eastAsia="Avenir Next LT Pro" w:hAnsi="Avenir Next LT Pro"/>
          <w:b/>
          <w:bCs/>
          <w:color w:val="003C72"/>
          <w:sz w:val="24"/>
          <w:szCs w:val="24"/>
        </w:rPr>
        <w:t xml:space="preserve">2.3 Fulfilment of Legal and Other Requirements</w:t>
      </w:r>
    </w:p>
    <w:p>
      <w:pPr>
        <w:spacing w:after="200" w:line="276"/>
        <w:jc w:val="both"/>
      </w:pPr>
      <w:r>
        <w:rPr>
          <w:rFonts w:ascii="Avenir Next LT Pro" w:cs="Avenir Next LT Pro" w:eastAsia="Avenir Next LT Pro" w:hAnsi="Avenir Next LT Pro"/>
          <w:b w:val="false"/>
          <w:bCs w:val="false"/>
          <w:sz w:val="20"/>
          <w:szCs w:val="20"/>
        </w:rPr>
        <w:t xml:space="preserve">Identifying, maintaining access to, and ensuring compliance with all applicable legal requirements and other requirements relating to occupational health and safety. This includes the laws and regulations of every jurisdiction in which the group operates (Malta, UAE, Greece, Nigeria, United Kingdom, Falkland Islands and at sea), applicable flag state requirements, client contractual obligations including Shell HSSE requirements, and the commitments of the International Code of Conduct for Private Security Service Providers (ICoC).</w:t>
      </w:r>
    </w:p>
    <w:p>
      <w:pPr>
        <w:spacing w:after="160" w:before="240"/>
      </w:pPr>
      <w:r>
        <w:rPr>
          <w:rFonts w:ascii="Avenir Next LT Pro" w:cs="Avenir Next LT Pro" w:eastAsia="Avenir Next LT Pro" w:hAnsi="Avenir Next LT Pro"/>
          <w:b/>
          <w:bCs/>
          <w:color w:val="003C72"/>
          <w:sz w:val="24"/>
          <w:szCs w:val="24"/>
        </w:rPr>
        <w:t xml:space="preserve">2.4 Consultation and Participation of Workers</w:t>
      </w:r>
    </w:p>
    <w:p>
      <w:pPr>
        <w:spacing w:after="200" w:line="276"/>
        <w:jc w:val="both"/>
      </w:pPr>
      <w:r>
        <w:rPr>
          <w:rFonts w:ascii="Avenir Next LT Pro" w:cs="Avenir Next LT Pro" w:eastAsia="Avenir Next LT Pro" w:hAnsi="Avenir Next LT Pro"/>
          <w:b w:val="false"/>
          <w:bCs w:val="false"/>
          <w:sz w:val="20"/>
          <w:szCs w:val="20"/>
        </w:rPr>
        <w:t xml:space="preserve">Establishing mechanisms for the consultation and participation of workers and, where they exist, workers’ representatives in the development, planning, implementation, performance evaluation and actions for improvement of the OH&amp;S management system. Seagull Maritime recognises that workers at all levels — including contracted maritime security operatives, offshore crew and office-based staff — have direct knowledge of the hazards they face and a right to participate in the decisions that affect their safety.</w:t>
      </w:r>
    </w:p>
    <w:p>
      <w:pPr>
        <w:spacing w:after="160" w:before="240"/>
      </w:pPr>
      <w:r>
        <w:rPr>
          <w:rFonts w:ascii="Avenir Next LT Pro" w:cs="Avenir Next LT Pro" w:eastAsia="Avenir Next LT Pro" w:hAnsi="Avenir Next LT Pro"/>
          <w:b/>
          <w:bCs/>
          <w:color w:val="003C72"/>
          <w:sz w:val="24"/>
          <w:szCs w:val="24"/>
        </w:rPr>
        <w:t xml:space="preserve">2.5 Continual Improvement</w:t>
      </w:r>
    </w:p>
    <w:p>
      <w:pPr>
        <w:spacing w:after="200" w:line="276"/>
        <w:jc w:val="both"/>
      </w:pPr>
      <w:r>
        <w:rPr>
          <w:rFonts w:ascii="Avenir Next LT Pro" w:cs="Avenir Next LT Pro" w:eastAsia="Avenir Next LT Pro" w:hAnsi="Avenir Next LT Pro"/>
          <w:b w:val="false"/>
          <w:bCs w:val="false"/>
          <w:sz w:val="20"/>
          <w:szCs w:val="20"/>
        </w:rPr>
        <w:t xml:space="preserve">Committing to the continual improvement of the OH&amp;S management system to enhance OH&amp;S performance. This shall be achieved through the setting and monitoring of OH&amp;S objectives, the analysis of incident and near-miss data reported through the Emergent HSE platform, the findings of internal audits and management reviews, and the closure of non-conformances and corrective actions managed through the NCR/OFI/CAPA Register (SM/INT/REG/004).</w:t>
      </w:r>
    </w:p>
    <w:p>
      <w:pPr>
        <w:spacing w:after="200" w:before="360"/>
      </w:pPr>
      <w:r>
        <w:rPr>
          <w:rFonts w:ascii="Avenir Next LT Pro" w:cs="Avenir Next LT Pro" w:eastAsia="Avenir Next LT Pro" w:hAnsi="Avenir Next LT Pro"/>
          <w:b/>
          <w:bCs/>
          <w:caps/>
          <w:color w:val="003C72"/>
          <w:sz w:val="28"/>
          <w:szCs w:val="28"/>
        </w:rPr>
        <w:t xml:space="preserve">3. SPECIFIC COMMITMENTS</w:t>
      </w:r>
    </w:p>
    <w:p>
      <w:pPr>
        <w:spacing w:after="200" w:line="276"/>
        <w:jc w:val="both"/>
      </w:pPr>
      <w:r>
        <w:rPr>
          <w:rFonts w:ascii="Avenir Next LT Pro" w:cs="Avenir Next LT Pro" w:eastAsia="Avenir Next LT Pro" w:hAnsi="Avenir Next LT Pro"/>
          <w:b w:val="false"/>
          <w:bCs w:val="false"/>
          <w:sz w:val="20"/>
          <w:szCs w:val="20"/>
        </w:rPr>
        <w:t xml:space="preserve">In addition to the mandatory requirements of Clause 5.2, and reflecting the specific context and risks of Seagull Maritime’s operations, the organisation makes the following additional commitments:</w:t>
      </w:r>
    </w:p>
    <w:p>
      <w:pPr>
        <w:spacing w:after="120" w:before="200"/>
      </w:pPr>
      <w:r>
        <w:rPr>
          <w:rFonts w:ascii="Avenir Next LT Pro" w:cs="Avenir Next LT Pro" w:eastAsia="Avenir Next LT Pro" w:hAnsi="Avenir Next LT Pro"/>
          <w:color w:val="003C72"/>
          <w:sz w:val="20"/>
          <w:szCs w:val="20"/>
        </w:rPr>
        <w:t xml:space="preserve">3.1 Deployed Personnel</w:t>
      </w:r>
    </w:p>
    <w:p>
      <w:pPr>
        <w:spacing w:after="200" w:line="276"/>
        <w:jc w:val="both"/>
      </w:pPr>
      <w:r>
        <w:rPr>
          <w:rFonts w:ascii="Avenir Next LT Pro" w:cs="Avenir Next LT Pro" w:eastAsia="Avenir Next LT Pro" w:hAnsi="Avenir Next LT Pro"/>
          <w:b w:val="false"/>
          <w:bCs w:val="false"/>
          <w:sz w:val="20"/>
          <w:szCs w:val="20"/>
        </w:rPr>
        <w:t xml:space="preserve">The safety and welfare of deployed security operatives, offshore crew and fisheries protection personnel is a priority at all stages of the deployment cycle: pre-deployment screening and briefing, operational deployment, and post-deployment debrief. Seagull Maritime will ensure that all personnel receive task-specific risk assessments, adequate personal protective equipment, and clear rules of engagement and safe systems of work before undertaking any operational activity.</w:t>
      </w:r>
    </w:p>
    <w:p>
      <w:pPr>
        <w:spacing w:after="120" w:before="200"/>
      </w:pPr>
      <w:r>
        <w:rPr>
          <w:rFonts w:ascii="Avenir Next LT Pro" w:cs="Avenir Next LT Pro" w:eastAsia="Avenir Next LT Pro" w:hAnsi="Avenir Next LT Pro"/>
          <w:color w:val="003C72"/>
          <w:sz w:val="20"/>
          <w:szCs w:val="20"/>
        </w:rPr>
        <w:t xml:space="preserve">3.2 Conflict Zone Operations</w:t>
      </w:r>
    </w:p>
    <w:p>
      <w:pPr>
        <w:spacing w:after="200" w:line="276"/>
        <w:jc w:val="both"/>
      </w:pPr>
      <w:r>
        <w:rPr>
          <w:rFonts w:ascii="Avenir Next LT Pro" w:cs="Avenir Next LT Pro" w:eastAsia="Avenir Next LT Pro" w:hAnsi="Avenir Next LT Pro"/>
          <w:b w:val="false"/>
          <w:bCs w:val="false"/>
          <w:sz w:val="20"/>
          <w:szCs w:val="20"/>
        </w:rPr>
        <w:t xml:space="preserve">Operations in conflict zones and high-risk maritime areas — including the Indian Ocean, Gulf of Aden, Red Sea, Gulf of Oman, Persian Gulf, Strait of Hormuz and West Africa — require enhanced risk management, real-time threat intelligence and dynamic risk assessment. Seagull Maritime will ensure that conflict zone monitoring informs all operational decisions and that risk assessments are reviewed and updated in response to significant changes in the threat environment, including the ongoing Iran conflict and its impact on Gulf operations.</w:t>
      </w:r>
    </w:p>
    <w:p>
      <w:pPr>
        <w:spacing w:after="120" w:before="200"/>
      </w:pPr>
      <w:r>
        <w:rPr>
          <w:rFonts w:ascii="Avenir Next LT Pro" w:cs="Avenir Next LT Pro" w:eastAsia="Avenir Next LT Pro" w:hAnsi="Avenir Next LT Pro"/>
          <w:color w:val="003C72"/>
          <w:sz w:val="20"/>
          <w:szCs w:val="20"/>
        </w:rPr>
        <w:t xml:space="preserve">3.3 Weapons Safety</w:t>
      </w:r>
    </w:p>
    <w:p>
      <w:pPr>
        <w:spacing w:after="200" w:line="276"/>
        <w:jc w:val="both"/>
      </w:pPr>
      <w:r>
        <w:rPr>
          <w:rFonts w:ascii="Avenir Next LT Pro" w:cs="Avenir Next LT Pro" w:eastAsia="Avenir Next LT Pro" w:hAnsi="Avenir Next LT Pro"/>
          <w:b w:val="false"/>
          <w:bCs w:val="false"/>
          <w:sz w:val="20"/>
          <w:szCs w:val="20"/>
        </w:rPr>
        <w:t xml:space="preserve">The procurement, storage, handling, transfer and use of firearms and ammunition is conducted in accordance with documented procedures, applicable weapons regulations in every jurisdiction and flag state, and the principles of the Use of Force continuum. All personnel authorised to carry or use weapons will be verified as competent, current in their training, and fully briefed on the rules of engagement for the specific deployment.</w:t>
      </w:r>
    </w:p>
    <w:p>
      <w:pPr>
        <w:spacing w:after="120" w:before="200"/>
      </w:pPr>
      <w:r>
        <w:rPr>
          <w:rFonts w:ascii="Avenir Next LT Pro" w:cs="Avenir Next LT Pro" w:eastAsia="Avenir Next LT Pro" w:hAnsi="Avenir Next LT Pro"/>
          <w:color w:val="003C72"/>
          <w:sz w:val="20"/>
          <w:szCs w:val="20"/>
        </w:rPr>
        <w:t xml:space="preserve">3.4 Incident Reporting and Learning</w:t>
      </w:r>
    </w:p>
    <w:p>
      <w:pPr>
        <w:spacing w:after="200" w:line="276"/>
        <w:jc w:val="both"/>
      </w:pPr>
      <w:r>
        <w:rPr>
          <w:rFonts w:ascii="Avenir Next LT Pro" w:cs="Avenir Next LT Pro" w:eastAsia="Avenir Next LT Pro" w:hAnsi="Avenir Next LT Pro"/>
          <w:b w:val="false"/>
          <w:bCs w:val="false"/>
          <w:sz w:val="20"/>
          <w:szCs w:val="20"/>
        </w:rPr>
        <w:t xml:space="preserve">All workers, regardless of their contractual status, are encouraged and expected to report incidents, near-misses, hazards and unsafe conditions without fear of reprisal. Seagull Maritime operates a just and fair reporting culture. The Emergent HSE platform provides the primary reporting mechanism. All reports shall be investigated proportionally and the lessons learned communicated back to the workforce.</w:t>
      </w:r>
    </w:p>
    <w:p>
      <w:pPr>
        <w:spacing w:after="120" w:before="200"/>
      </w:pPr>
      <w:r>
        <w:rPr>
          <w:rFonts w:ascii="Avenir Next LT Pro" w:cs="Avenir Next LT Pro" w:eastAsia="Avenir Next LT Pro" w:hAnsi="Avenir Next LT Pro"/>
          <w:color w:val="003C72"/>
          <w:sz w:val="20"/>
          <w:szCs w:val="20"/>
        </w:rPr>
        <w:t xml:space="preserve">3.5 Health, Wellbeing and Fitness</w:t>
      </w:r>
    </w:p>
    <w:p>
      <w:pPr>
        <w:spacing w:after="200" w:line="276"/>
        <w:jc w:val="both"/>
      </w:pPr>
      <w:r>
        <w:rPr>
          <w:rFonts w:ascii="Avenir Next LT Pro" w:cs="Avenir Next LT Pro" w:eastAsia="Avenir Next LT Pro" w:hAnsi="Avenir Next LT Pro"/>
          <w:b w:val="false"/>
          <w:bCs w:val="false"/>
          <w:sz w:val="20"/>
          <w:szCs w:val="20"/>
        </w:rPr>
        <w:t xml:space="preserve">Seagull Maritime will promote the physical and mental health and wellbeing of all workers, including access to support for personnel returning from high-risk deployments. Fitness-for-duty requirements shall be maintained for all operational roles and verified prior to deployment.</w:t>
      </w:r>
    </w:p>
    <w:p>
      <w:pPr>
        <w:spacing w:after="120" w:before="200"/>
      </w:pPr>
      <w:r>
        <w:rPr>
          <w:rFonts w:ascii="Avenir Next LT Pro" w:cs="Avenir Next LT Pro" w:eastAsia="Avenir Next LT Pro" w:hAnsi="Avenir Next LT Pro"/>
          <w:color w:val="003C72"/>
          <w:sz w:val="20"/>
          <w:szCs w:val="20"/>
        </w:rPr>
        <w:t xml:space="preserve">3.6 Supply Chain and VBA Safety</w:t>
      </w:r>
    </w:p>
    <w:p>
      <w:pPr>
        <w:spacing w:after="200" w:line="276"/>
        <w:jc w:val="both"/>
      </w:pPr>
      <w:r>
        <w:rPr>
          <w:rFonts w:ascii="Avenir Next LT Pro" w:cs="Avenir Next LT Pro" w:eastAsia="Avenir Next LT Pro" w:hAnsi="Avenir Next LT Pro"/>
          <w:b w:val="false"/>
          <w:bCs w:val="false"/>
          <w:sz w:val="20"/>
          <w:szCs w:val="20"/>
        </w:rPr>
        <w:t xml:space="preserve">Where Seagull Maritime personnel interact with the operations of PSS (Pavarotti Shipping Services) or other third-party vessel-based armoury or service providers, Seagull retains responsibility for the safety of its personnel during those activities and will conduct due diligence on the safety management of those providers.</w:t>
      </w:r>
    </w:p>
    <w:p>
      <w:pPr>
        <w:spacing w:after="200" w:before="360"/>
      </w:pPr>
      <w:r>
        <w:rPr>
          <w:rFonts w:ascii="Avenir Next LT Pro" w:cs="Avenir Next LT Pro" w:eastAsia="Avenir Next LT Pro" w:hAnsi="Avenir Next LT Pro"/>
          <w:b/>
          <w:bCs/>
          <w:caps/>
          <w:color w:val="003C72"/>
          <w:sz w:val="28"/>
          <w:szCs w:val="28"/>
        </w:rPr>
        <w:t xml:space="preserve">4. INTEGRATION</w:t>
      </w:r>
    </w:p>
    <w:p>
      <w:pPr>
        <w:spacing w:after="200" w:line="276"/>
        <w:jc w:val="both"/>
      </w:pPr>
      <w:r>
        <w:rPr>
          <w:rFonts w:ascii="Avenir Next LT Pro" w:cs="Avenir Next LT Pro" w:eastAsia="Avenir Next LT Pro" w:hAnsi="Avenir Next LT Pro"/>
          <w:b w:val="false"/>
          <w:bCs w:val="false"/>
          <w:sz w:val="20"/>
          <w:szCs w:val="20"/>
        </w:rPr>
        <w:t xml:space="preserve">This policy is integrated with and supports the wider Seagull Maritime management system, including ISO 18788 (private security operations management), ISO 28007 (PCASP), ISO 28000 (security management systems) and ISO 9001 (quality management). Where health and safety requirements intersect with security, quality, human rights or operational obligations, the highest standard shall be applied.</w:t>
      </w:r>
    </w:p>
    <w:p>
      <w:pPr>
        <w:spacing w:after="200" w:before="360"/>
      </w:pPr>
      <w:r>
        <w:rPr>
          <w:rFonts w:ascii="Avenir Next LT Pro" w:cs="Avenir Next LT Pro" w:eastAsia="Avenir Next LT Pro" w:hAnsi="Avenir Next LT Pro"/>
          <w:b/>
          <w:bCs/>
          <w:caps/>
          <w:color w:val="003C72"/>
          <w:sz w:val="28"/>
          <w:szCs w:val="28"/>
        </w:rPr>
        <w:t xml:space="preserve">5. COMMUNICATION</w:t>
      </w:r>
    </w:p>
    <w:p>
      <w:pPr>
        <w:spacing w:after="200" w:line="276"/>
        <w:jc w:val="both"/>
      </w:pPr>
      <w:r>
        <w:rPr>
          <w:rFonts w:ascii="Avenir Next LT Pro" w:cs="Avenir Next LT Pro" w:eastAsia="Avenir Next LT Pro" w:hAnsi="Avenir Next LT Pro"/>
          <w:b w:val="false"/>
          <w:bCs w:val="false"/>
          <w:sz w:val="20"/>
          <w:szCs w:val="20"/>
        </w:rPr>
        <w:t xml:space="preserve">This policy shall be:</w:t>
      </w:r>
    </w:p>
    <w:p>
      <w:pPr>
        <w:spacing w:after="80" w:line="276"/>
        <w:ind w:left="360"/>
        <w:jc w:val="both"/>
      </w:pPr>
      <w:r>
        <w:rPr>
          <w:rFonts w:ascii="Avenir Next LT Pro" w:cs="Avenir Next LT Pro" w:eastAsia="Avenir Next LT Pro" w:hAnsi="Avenir Next LT Pro"/>
          <w:b w:val="false"/>
          <w:bCs w:val="false"/>
          <w:sz w:val="20"/>
          <w:szCs w:val="20"/>
        </w:rPr>
        <w:t xml:space="preserve">•  Made available to all workers, including contracted security operatives, through the Seagull Maritime document management system and the Emergent LMS platform</w:t>
      </w:r>
    </w:p>
    <w:p>
      <w:pPr>
        <w:spacing w:after="80" w:line="276"/>
        <w:ind w:left="360"/>
        <w:jc w:val="both"/>
      </w:pPr>
      <w:r>
        <w:rPr>
          <w:rFonts w:ascii="Avenir Next LT Pro" w:cs="Avenir Next LT Pro" w:eastAsia="Avenir Next LT Pro" w:hAnsi="Avenir Next LT Pro"/>
          <w:b w:val="false"/>
          <w:bCs w:val="false"/>
          <w:sz w:val="20"/>
          <w:szCs w:val="20"/>
        </w:rPr>
        <w:t xml:space="preserve">•  Available to interested parties on request and through the due diligence portal</w:t>
      </w:r>
    </w:p>
    <w:p>
      <w:pPr>
        <w:spacing w:after="80" w:line="276"/>
        <w:ind w:left="360"/>
        <w:jc w:val="both"/>
      </w:pPr>
      <w:r>
        <w:rPr>
          <w:rFonts w:ascii="Avenir Next LT Pro" w:cs="Avenir Next LT Pro" w:eastAsia="Avenir Next LT Pro" w:hAnsi="Avenir Next LT Pro"/>
          <w:b w:val="false"/>
          <w:bCs w:val="false"/>
          <w:sz w:val="20"/>
          <w:szCs w:val="20"/>
        </w:rPr>
        <w:t xml:space="preserve">•  Communicated during induction, pre-deployment briefings and annual awareness training</w:t>
      </w:r>
    </w:p>
    <w:p>
      <w:pPr>
        <w:spacing w:after="80" w:line="276"/>
        <w:ind w:left="360"/>
        <w:jc w:val="both"/>
      </w:pPr>
      <w:r>
        <w:rPr>
          <w:rFonts w:ascii="Avenir Next LT Pro" w:cs="Avenir Next LT Pro" w:eastAsia="Avenir Next LT Pro" w:hAnsi="Avenir Next LT Pro"/>
          <w:b w:val="false"/>
          <w:bCs w:val="false"/>
          <w:sz w:val="20"/>
          <w:szCs w:val="20"/>
        </w:rPr>
        <w:t xml:space="preserve">•  Displayed in all Seagull Maritime office locations</w:t>
      </w:r>
    </w:p>
    <w:p>
      <w:pPr>
        <w:spacing w:after="80" w:line="276"/>
        <w:ind w:left="360"/>
        <w:jc w:val="both"/>
      </w:pPr>
      <w:r>
        <w:rPr>
          <w:rFonts w:ascii="Avenir Next LT Pro" w:cs="Avenir Next LT Pro" w:eastAsia="Avenir Next LT Pro" w:hAnsi="Avenir Next LT Pro"/>
          <w:b w:val="false"/>
          <w:bCs w:val="false"/>
          <w:sz w:val="20"/>
          <w:szCs w:val="20"/>
        </w:rPr>
        <w:t xml:space="preserve">•  Reviewed at each management review meeting to confirm its continued suitability</w:t>
      </w:r>
    </w:p>
    <w:p>
      <w:pPr>
        <w:spacing w:after="40" w:line="276"/>
        <w:jc w:val="both"/>
      </w:pPr>
      <w:r>
        <w:rPr>
          <w:rFonts w:ascii="Avenir Next LT Pro" w:cs="Avenir Next LT Pro" w:eastAsia="Avenir Next LT Pro" w:hAnsi="Avenir Next LT Pro"/>
          <w:b w:val="false"/>
          <w:bCs w:val="false"/>
          <w:sz w:val="20"/>
          <w:szCs w:val="20"/>
        </w:rPr>
        <w:t xml:space="preserve"/>
      </w:r>
    </w:p>
    <w:p>
      <w:pPr>
        <w:spacing w:after="200" w:before="360"/>
      </w:pPr>
      <w:r>
        <w:rPr>
          <w:rFonts w:ascii="Avenir Next LT Pro" w:cs="Avenir Next LT Pro" w:eastAsia="Avenir Next LT Pro" w:hAnsi="Avenir Next LT Pro"/>
          <w:b/>
          <w:bCs/>
          <w:caps/>
          <w:color w:val="003C72"/>
          <w:sz w:val="28"/>
          <w:szCs w:val="28"/>
        </w:rPr>
        <w:t xml:space="preserve">6. REFERENCES</w:t>
      </w:r>
    </w:p>
    <w:p>
      <w:pPr>
        <w:spacing w:after="80" w:line="276"/>
        <w:ind w:left="360"/>
        <w:jc w:val="both"/>
      </w:pPr>
      <w:r>
        <w:rPr>
          <w:rFonts w:ascii="Avenir Next LT Pro" w:cs="Avenir Next LT Pro" w:eastAsia="Avenir Next LT Pro" w:hAnsi="Avenir Next LT Pro"/>
          <w:b w:val="false"/>
          <w:bCs w:val="false"/>
          <w:sz w:val="20"/>
          <w:szCs w:val="20"/>
        </w:rPr>
        <w:t xml:space="preserve">•  SM/HSE/DOC/001 — OH&amp;S Management System Scope Statement</w:t>
      </w:r>
    </w:p>
    <w:p>
      <w:pPr>
        <w:spacing w:after="80" w:line="276"/>
        <w:ind w:left="360"/>
        <w:jc w:val="both"/>
      </w:pPr>
      <w:r>
        <w:rPr>
          <w:rFonts w:ascii="Avenir Next LT Pro" w:cs="Avenir Next LT Pro" w:eastAsia="Avenir Next LT Pro" w:hAnsi="Avenir Next LT Pro"/>
          <w:b w:val="false"/>
          <w:bCs w:val="false"/>
          <w:sz w:val="20"/>
          <w:szCs w:val="20"/>
        </w:rPr>
        <w:t xml:space="preserve">•  SM/INT/DOC/002 — Context of the Organisation (PESTLE and SWOT Analysis)</w:t>
      </w:r>
    </w:p>
    <w:p>
      <w:pPr>
        <w:spacing w:after="80" w:line="276"/>
        <w:ind w:left="360"/>
        <w:jc w:val="both"/>
      </w:pPr>
      <w:r>
        <w:rPr>
          <w:rFonts w:ascii="Avenir Next LT Pro" w:cs="Avenir Next LT Pro" w:eastAsia="Avenir Next LT Pro" w:hAnsi="Avenir Next LT Pro"/>
          <w:b w:val="false"/>
          <w:bCs w:val="false"/>
          <w:sz w:val="20"/>
          <w:szCs w:val="20"/>
        </w:rPr>
        <w:t xml:space="preserve">•  SM/HSE/REG/001 — Interested Parties Register</w:t>
      </w:r>
    </w:p>
    <w:p>
      <w:pPr>
        <w:spacing w:after="80" w:line="276"/>
        <w:ind w:left="360"/>
        <w:jc w:val="both"/>
      </w:pPr>
      <w:r>
        <w:rPr>
          <w:rFonts w:ascii="Avenir Next LT Pro" w:cs="Avenir Next LT Pro" w:eastAsia="Avenir Next LT Pro" w:hAnsi="Avenir Next LT Pro"/>
          <w:b w:val="false"/>
          <w:bCs w:val="false"/>
          <w:sz w:val="20"/>
          <w:szCs w:val="20"/>
        </w:rPr>
        <w:t xml:space="preserve">•  SM/INT/REG/004 — NCR/OFI/CAPA Register</w:t>
      </w:r>
    </w:p>
    <w:p>
      <w:pPr>
        <w:spacing w:after="80" w:line="276"/>
        <w:ind w:left="360"/>
        <w:jc w:val="both"/>
      </w:pPr>
      <w:r>
        <w:rPr>
          <w:rFonts w:ascii="Avenir Next LT Pro" w:cs="Avenir Next LT Pro" w:eastAsia="Avenir Next LT Pro" w:hAnsi="Avenir Next LT Pro"/>
          <w:b w:val="false"/>
          <w:bCs w:val="false"/>
          <w:sz w:val="20"/>
          <w:szCs w:val="20"/>
        </w:rPr>
        <w:t xml:space="preserve">•  SM/INT/CMP/002 — Combined Work Programme</w:t>
      </w:r>
    </w:p>
    <w:p>
      <w:pPr>
        <w:spacing w:after="80" w:line="276"/>
        <w:ind w:left="360"/>
        <w:jc w:val="both"/>
      </w:pPr>
      <w:r>
        <w:rPr>
          <w:rFonts w:ascii="Avenir Next LT Pro" w:cs="Avenir Next LT Pro" w:eastAsia="Avenir Next LT Pro" w:hAnsi="Avenir Next LT Pro"/>
          <w:b w:val="false"/>
          <w:bCs w:val="false"/>
          <w:sz w:val="20"/>
          <w:szCs w:val="20"/>
        </w:rPr>
        <w:t xml:space="preserve">•  ISO 45001:2018 — Occupational health and safety management systems</w:t>
      </w:r>
    </w:p>
    <w:p>
      <w:pPr>
        <w:spacing w:after="80" w:line="276"/>
        <w:ind w:left="360"/>
        <w:jc w:val="both"/>
      </w:pPr>
      <w:r>
        <w:rPr>
          <w:rFonts w:ascii="Avenir Next LT Pro" w:cs="Avenir Next LT Pro" w:eastAsia="Avenir Next LT Pro" w:hAnsi="Avenir Next LT Pro"/>
          <w:b w:val="false"/>
          <w:bCs w:val="false"/>
          <w:sz w:val="20"/>
          <w:szCs w:val="20"/>
        </w:rPr>
        <w:t xml:space="preserve">•  International Code of Conduct for Private Security Service Providers (ICoC)</w:t>
      </w:r>
    </w:p>
    <w:p>
      <w:pPr>
        <w:spacing w:after="80" w:line="276"/>
        <w:ind w:left="360"/>
        <w:jc w:val="both"/>
      </w:pPr>
      <w:r>
        <w:rPr>
          <w:rFonts w:ascii="Avenir Next LT Pro" w:cs="Avenir Next LT Pro" w:eastAsia="Avenir Next LT Pro" w:hAnsi="Avenir Next LT Pro"/>
          <w:b w:val="false"/>
          <w:bCs w:val="false"/>
          <w:sz w:val="20"/>
          <w:szCs w:val="20"/>
        </w:rPr>
        <w:t xml:space="preserve">•  Voluntary Principles on Security and Human Rights (VPSHR)</w:t>
      </w:r>
    </w:p>
    <w:p>
      <w:pPr>
        <w:spacing w:after="40" w:line="276"/>
        <w:jc w:val="both"/>
      </w:pPr>
      <w:r>
        <w:rPr>
          <w:rFonts w:ascii="Avenir Next LT Pro" w:cs="Avenir Next LT Pro" w:eastAsia="Avenir Next LT Pro" w:hAnsi="Avenir Next LT Pro"/>
          <w:b w:val="false"/>
          <w:bCs w:val="false"/>
          <w:sz w:val="20"/>
          <w:szCs w:val="20"/>
        </w:rPr>
        <w:t xml:space="preserve"/>
      </w:r>
    </w:p>
    <w:p>
      <w:pPr>
        <w:spacing w:after="200" w:before="360"/>
      </w:pPr>
      <w:r>
        <w:rPr>
          <w:rFonts w:ascii="Avenir Next LT Pro" w:cs="Avenir Next LT Pro" w:eastAsia="Avenir Next LT Pro" w:hAnsi="Avenir Next LT Pro"/>
          <w:b/>
          <w:bCs/>
          <w:caps/>
          <w:color w:val="003C72"/>
          <w:sz w:val="28"/>
          <w:szCs w:val="28"/>
        </w:rPr>
        <w:t xml:space="preserve">7. REVIEW AND MAINTENANCE</w:t>
      </w:r>
    </w:p>
    <w:p>
      <w:pPr>
        <w:spacing w:after="200" w:line="276"/>
        <w:jc w:val="both"/>
      </w:pPr>
      <w:r>
        <w:rPr>
          <w:rFonts w:ascii="Avenir Next LT Pro" w:cs="Avenir Next LT Pro" w:eastAsia="Avenir Next LT Pro" w:hAnsi="Avenir Next LT Pro"/>
          <w:b w:val="false"/>
          <w:bCs w:val="false"/>
          <w:sz w:val="20"/>
          <w:szCs w:val="20"/>
        </w:rPr>
        <w:t xml:space="preserve">This policy shall be reviewed at least annually as part of the management review process, or sooner if triggered by a significant incident, a material change in the operating environment (such as the commencement of operations in a new conflict zone), changes to legal or other requirements, or the results of an audit or management review finding. The emergency review provisions of the Context of the Organisation (SM/INT/DOC/002) may trigger an out-of-cycle review of this policy.</w:t>
      </w:r>
    </w:p>
    <w:p>
      <w:pPr>
        <w:spacing w:after="200" w:before="360"/>
      </w:pPr>
      <w:r>
        <w:rPr>
          <w:rFonts w:ascii="Avenir Next LT Pro" w:cs="Avenir Next LT Pro" w:eastAsia="Avenir Next LT Pro" w:hAnsi="Avenir Next LT Pro"/>
          <w:b/>
          <w:bCs/>
          <w:caps/>
          <w:color w:val="003C72"/>
          <w:sz w:val="28"/>
          <w:szCs w:val="28"/>
        </w:rPr>
        <w:t xml:space="preserve">8. ENDORSEMENT</w:t>
      </w:r>
    </w:p>
    <w:p>
      <w:pPr>
        <w:spacing w:after="120" w:line="276"/>
        <w:jc w:val="both"/>
      </w:pPr>
      <w:r>
        <w:rPr>
          <w:rFonts w:ascii="Avenir Next LT Pro" w:cs="Avenir Next LT Pro" w:eastAsia="Avenir Next LT Pro" w:hAnsi="Avenir Next LT Pro"/>
          <w:b w:val="false"/>
          <w:bCs w:val="false"/>
          <w:sz w:val="20"/>
          <w:szCs w:val="20"/>
        </w:rPr>
        <w:t xml:space="preserve">This policy is endorsed by top management and approved by the undersigned:</w:t>
      </w:r>
    </w:p>
    <w:p/>
    <w:p w14:paraId="310CB759" w14:textId="77777777" w:rsidR="001E4A30" w:rsidRDefault="00464E2F">
      <w:r>
        <w:rPr>
          <w:noProof/>
        </w:rPr>
        <w:drawing>
          <wp:inline distT="0" distB="0" distL="0" distR="0" wp14:anchorId="4F5AB6FF" wp14:editId="662B38BD">
            <wp:extent cx="2400000" cy="556000"/>
            <wp:effectExtent l="0" t="0" r="0" b="0"/>
            <wp:docPr id="99" name="Signature"/>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10"/>
                    <a:stretch>
                      <a:fillRect/>
                    </a:stretch>
                  </pic:blipFill>
                  <pic:spPr>
                    <a:xfrm>
                      <a:off x="0" y="0"/>
                      <a:ext cx="2400000" cy="556000"/>
                    </a:xfrm>
                    <a:prstGeom prst="rect">
                      <a:avLst/>
                    </a:prstGeom>
                  </pic:spPr>
                </pic:pic>
              </a:graphicData>
            </a:graphic>
          </wp:inline>
        </w:drawing>
      </w:r>
    </w:p>
    <w:p w14:paraId="4FE29E95" w14:textId="77777777" w:rsidR="001E4A30" w:rsidRDefault="00464E2F">
      <w:r>
        <w:t xml:space="preserve">Darren Watts </w:t>
      </w:r>
    </w:p>
    <w:p w14:paraId="43EA9E62" w14:textId="77777777" w:rsidR="001E4A30" w:rsidRDefault="00464E2F">
      <w:r>
        <w:rPr>
          <w:b/>
        </w:rPr>
        <w:t>Group Compliance Director</w:t>
      </w:r>
    </w:p>
    <w:p w14:paraId="1ACAF0CB" w14:textId="77777777" w:rsidR="001E4A30" w:rsidRDefault="00464E2F">
      <w:r>
        <w:t>02/04/2026</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C72" w:sz="6" w:space="4"/>
      </w:pBdr>
      <w:tabs>
        <w:tab w:val="center" w:pos="4513"/>
        <w:tab w:val="right" w:pos="9026"/>
      </w:tabs>
      <w:spacing w:after="0" w:before="60"/>
    </w:pPr>
    <w:r>
      <w:rPr>
        <w:rFonts w:ascii="Avenir Next LT Pro" w:cs="Avenir Next LT Pro" w:eastAsia="Avenir Next LT Pro" w:hAnsi="Avenir Next LT Pro"/>
        <w:color w:val="003C72"/>
        <w:sz w:val="14"/>
        <w:szCs w:val="14"/>
      </w:rPr>
      <w:t xml:space="preserve">Page </w:t>
    </w:r>
    <w:r>
      <w:rPr>
        <w:rFonts w:ascii="Avenir Next LT Pro" w:cs="Avenir Next LT Pro" w:eastAsia="Avenir Next LT Pro" w:hAnsi="Avenir Next LT Pro"/>
        <w:color w:val="003C72"/>
        <w:sz w:val="14"/>
        <w:szCs w:val="14"/>
      </w:rPr>
      <w:fldChar w:fldCharType="begin"/>
      <w:instrText xml:space="preserve">PAGE</w:instrText>
      <w:fldChar w:fldCharType="separate"/>
      <w:fldChar w:fldCharType="end"/>
    </w:r>
    <w:r>
      <w:rPr>
        <w:rFonts w:ascii="Avenir Next LT Pro" w:cs="Avenir Next LT Pro" w:eastAsia="Avenir Next LT Pro" w:hAnsi="Avenir Next LT Pro"/>
        <w:color w:val="003C72"/>
        <w:sz w:val="14"/>
        <w:szCs w:val="14"/>
      </w:rPr>
      <w:t xml:space="preserve"> of </w:t>
    </w:r>
    <w:r>
      <w:rPr>
        <w:rFonts w:ascii="Avenir Next LT Pro" w:cs="Avenir Next LT Pro" w:eastAsia="Avenir Next LT Pro" w:hAnsi="Avenir Next LT Pro"/>
        <w:color w:val="003C72"/>
        <w:sz w:val="14"/>
        <w:szCs w:val="14"/>
      </w:rPr>
      <w:fldChar w:fldCharType="begin"/>
      <w:instrText xml:space="preserve">NUMPAGES</w:instrText>
      <w:fldChar w:fldCharType="separate"/>
      <w:fldChar w:fldCharType="end"/>
    </w:r>
    <w:r>
      <w:rPr>
        <w:rFonts w:ascii="Avenir Next LT Pro" w:cs="Avenir Next LT Pro" w:eastAsia="Avenir Next LT Pro" w:hAnsi="Avenir Next LT Pro"/>
        <w:color w:val="003C72"/>
        <w:sz w:val="14"/>
        <w:szCs w:val="14"/>
      </w:rPr>
      <w:t xml:space="preserve">	UNCONTROLLED IF PRINTED OR DOWNLOADED</w:t>
    </w:r>
    <w:r>
      <w:rPr>
        <w:rFonts w:ascii="Avenir Next LT Pro" w:cs="Avenir Next LT Pro" w:eastAsia="Avenir Next LT Pro" w:hAnsi="Avenir Next LT Pro"/>
        <w:color w:val="003C72"/>
        <w:sz w:val="14"/>
        <w:szCs w:val="14"/>
      </w:rPr>
      <w:t xml:space="preserve">	SM/HSE/POL/001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none" w:color="FFFFFF" w:sz="0"/>
            <w:left w:val="none" w:color="FFFFFF" w:sz="0"/>
            <w:bottom w:val="none" w:color="FFFFFF" w:sz="0"/>
            <w:right w:val="none" w:color="FFFFFF" w:sz="0"/>
          </w:tcBorders>
          <w:vAlign w:val="center"/>
        </w:tcPr>
        <w:p>
          <w:pPr>
            <w:spacing w:after="0"/>
          </w:pPr>
          <w:r>
            <w:rPr>
              <w:rFonts w:ascii="Avenir Next LT Pro" w:cs="Avenir Next LT Pro" w:eastAsia="Avenir Next LT Pro" w:hAnsi="Avenir Next LT Pro"/>
              <w:b/>
              <w:bCs/>
              <w:color w:val="42515A"/>
              <w:sz w:val="16"/>
              <w:szCs w:val="16"/>
            </w:rPr>
            <w:t xml:space="preserve">OH&amp;S POLICY</w:t>
          </w:r>
        </w:p>
      </w:tc>
      <w:tc>
        <w:tcPr>
          <w:tcW w:type="dxa" w:w="2026"/>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762000" cy="762000"/>
                <wp:effectExtent t="0" r="0" b="0" l="0"/>
                <wp:docPr id="1" name="logo" descr="Seagull Maritime portrait logo" title="Seagull Mariti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LT Pro" w:cs="Avenir Next LT Pro" w:eastAsia="Avenir Next LT Pro" w:hAnsi="Avenir Next LT Pr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7d4f88b8b03c49e30c0ec3e4538b5fe61e7ae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2026-03-30T14:49:31.341Z</dcterms:created>
  <dcterms:modified xsi:type="dcterms:W3CDTF">2026-03-30T14:49:31.341Z</dcterms:modified>
</cp:coreProperties>
</file>

<file path=docProps/custom.xml><?xml version="1.0" encoding="utf-8"?>
<Properties xmlns="http://schemas.openxmlformats.org/officeDocument/2006/custom-properties" xmlns:vt="http://schemas.openxmlformats.org/officeDocument/2006/docPropsVTypes"/>
</file>