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D740C" w14:paraId="1392A40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09" w14:textId="77777777" w:rsidR="00FD740C" w:rsidRDefault="00000000">
            <w:r>
              <w:rPr>
                <w:b/>
                <w:bCs/>
                <w:color w:val="003C72"/>
              </w:rPr>
              <w:t>Document Title</w:t>
            </w:r>
          </w:p>
        </w:tc>
        <w:tc>
          <w:tcPr>
            <w:tcW w:w="6426"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0A" w14:textId="77777777" w:rsidR="00FD740C" w:rsidRDefault="00000000">
            <w:r>
              <w:t>Context of the Organisation — PESTLE and SWOT Analysis</w:t>
            </w:r>
          </w:p>
        </w:tc>
      </w:tr>
      <w:tr w:rsidR="00FD740C" w14:paraId="1392A40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0C" w14:textId="77777777" w:rsidR="00FD740C" w:rsidRDefault="00000000">
            <w:r>
              <w:rPr>
                <w:b/>
                <w:bCs/>
                <w:color w:val="003C72"/>
              </w:rPr>
              <w:t>Document Reference</w:t>
            </w:r>
          </w:p>
        </w:tc>
        <w:tc>
          <w:tcPr>
            <w:tcW w:w="642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0D" w14:textId="77777777" w:rsidR="00FD740C" w:rsidRDefault="00000000">
            <w:r>
              <w:t>SM/INT/DOC/002</w:t>
            </w:r>
          </w:p>
        </w:tc>
      </w:tr>
      <w:tr w:rsidR="00FD740C" w14:paraId="1392A41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0F" w14:textId="77777777" w:rsidR="00FD740C" w:rsidRDefault="00000000">
            <w:r>
              <w:rPr>
                <w:b/>
                <w:bCs/>
                <w:color w:val="003C72"/>
              </w:rPr>
              <w:t>Version</w:t>
            </w:r>
          </w:p>
        </w:tc>
        <w:tc>
          <w:tcPr>
            <w:tcW w:w="6426"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10" w14:textId="77777777" w:rsidR="00FD740C" w:rsidRDefault="00000000">
            <w:r>
              <w:t>2.0</w:t>
            </w:r>
          </w:p>
        </w:tc>
      </w:tr>
      <w:tr w:rsidR="00FD740C" w14:paraId="1392A41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12" w14:textId="77777777" w:rsidR="00FD740C" w:rsidRDefault="00000000">
            <w:r>
              <w:rPr>
                <w:b/>
                <w:bCs/>
                <w:color w:val="003C72"/>
              </w:rPr>
              <w:t>Effective Date</w:t>
            </w:r>
          </w:p>
        </w:tc>
        <w:tc>
          <w:tcPr>
            <w:tcW w:w="642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13" w14:textId="77777777" w:rsidR="00FD740C" w:rsidRDefault="00000000">
            <w:r>
              <w:t>01 March 2026</w:t>
            </w:r>
          </w:p>
        </w:tc>
      </w:tr>
      <w:tr w:rsidR="00FD740C" w14:paraId="1392A417"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15" w14:textId="77777777" w:rsidR="00FD740C" w:rsidRDefault="00000000">
            <w:r>
              <w:rPr>
                <w:b/>
                <w:bCs/>
                <w:color w:val="003C72"/>
              </w:rPr>
              <w:t>Next Review Date</w:t>
            </w:r>
          </w:p>
        </w:tc>
        <w:tc>
          <w:tcPr>
            <w:tcW w:w="6426"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16" w14:textId="77777777" w:rsidR="00FD740C" w:rsidRDefault="00000000">
            <w:r>
              <w:t>01 March 2027</w:t>
            </w:r>
          </w:p>
        </w:tc>
      </w:tr>
      <w:tr w:rsidR="00FD740C" w14:paraId="1392A41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18" w14:textId="77777777" w:rsidR="00FD740C" w:rsidRDefault="00000000">
            <w:r>
              <w:rPr>
                <w:b/>
                <w:bCs/>
                <w:color w:val="003C72"/>
              </w:rPr>
              <w:t>Owner</w:t>
            </w:r>
          </w:p>
        </w:tc>
        <w:tc>
          <w:tcPr>
            <w:tcW w:w="642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19" w14:textId="77777777" w:rsidR="00FD740C" w:rsidRDefault="00000000">
            <w:r>
              <w:t>Group Compliance Director</w:t>
            </w:r>
          </w:p>
        </w:tc>
      </w:tr>
      <w:tr w:rsidR="00FD740C" w14:paraId="1392A41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1B" w14:textId="77777777" w:rsidR="00FD740C" w:rsidRDefault="00000000">
            <w:r>
              <w:rPr>
                <w:b/>
                <w:bCs/>
                <w:color w:val="003C72"/>
              </w:rPr>
              <w:t>Approved By</w:t>
            </w:r>
          </w:p>
        </w:tc>
        <w:tc>
          <w:tcPr>
            <w:tcW w:w="6426"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1C" w14:textId="77777777" w:rsidR="00FD740C" w:rsidRDefault="00000000">
            <w:r>
              <w:t>Pavel Shparber, CEO / Darren Watts, GCD</w:t>
            </w:r>
          </w:p>
        </w:tc>
      </w:tr>
      <w:tr w:rsidR="00FD740C" w14:paraId="1392A42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1E" w14:textId="77777777" w:rsidR="00FD740C" w:rsidRDefault="00000000">
            <w:r>
              <w:rPr>
                <w:b/>
                <w:bCs/>
                <w:color w:val="003C72"/>
              </w:rPr>
              <w:t>Classification</w:t>
            </w:r>
          </w:p>
        </w:tc>
        <w:tc>
          <w:tcPr>
            <w:tcW w:w="642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1F" w14:textId="77777777" w:rsidR="00FD740C" w:rsidRDefault="00000000">
            <w:r>
              <w:t>Internal / Controlled</w:t>
            </w:r>
          </w:p>
        </w:tc>
      </w:tr>
      <w:tr w:rsidR="00FD740C" w14:paraId="1392A42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21" w14:textId="77777777" w:rsidR="00FD740C" w:rsidRDefault="00000000">
            <w:r>
              <w:rPr>
                <w:b/>
                <w:bCs/>
                <w:color w:val="003C72"/>
              </w:rPr>
              <w:t>ISO Standard</w:t>
            </w:r>
          </w:p>
        </w:tc>
        <w:tc>
          <w:tcPr>
            <w:tcW w:w="6426" w:type="dxa"/>
            <w:tcBorders>
              <w:top w:val="none" w:sz="0" w:space="0" w:color="FFFFFF"/>
              <w:left w:val="none" w:sz="0" w:space="0" w:color="FFFFFF"/>
              <w:bottom w:val="none" w:sz="0" w:space="0" w:color="FFFFFF"/>
              <w:right w:val="none" w:sz="0" w:space="0" w:color="FFFFFF"/>
            </w:tcBorders>
            <w:shd w:val="clear" w:color="auto" w:fill="E6EDF5"/>
            <w:tcMar>
              <w:top w:w="60" w:type="dxa"/>
              <w:left w:w="120" w:type="dxa"/>
              <w:bottom w:w="60" w:type="dxa"/>
              <w:right w:w="120" w:type="dxa"/>
            </w:tcMar>
            <w:vAlign w:val="center"/>
          </w:tcPr>
          <w:p w14:paraId="1392A422" w14:textId="77777777" w:rsidR="00FD740C" w:rsidRDefault="00000000">
            <w:r>
              <w:t>ISO 45001 (4.1) | ISO 18788 (4.1) | ISO 28000 (4.1) | ISO 9001 (4.1)</w:t>
            </w:r>
          </w:p>
        </w:tc>
      </w:tr>
      <w:tr w:rsidR="00FD740C" w14:paraId="1392A42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24" w14:textId="77777777" w:rsidR="00FD740C" w:rsidRDefault="00000000">
            <w:r>
              <w:rPr>
                <w:b/>
                <w:bCs/>
                <w:color w:val="003C72"/>
              </w:rPr>
              <w:t>Applicable Standards</w:t>
            </w:r>
          </w:p>
        </w:tc>
        <w:tc>
          <w:tcPr>
            <w:tcW w:w="6426"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1392A425" w14:textId="77777777" w:rsidR="00FD740C" w:rsidRDefault="00000000">
            <w:r>
              <w:t>ISO 45001 | ISO 9001 | ISO 18788 | ISO 28007 | ISO 28000</w:t>
            </w:r>
          </w:p>
        </w:tc>
      </w:tr>
    </w:tbl>
    <w:p w14:paraId="1392A427" w14:textId="77777777" w:rsidR="00FD740C" w:rsidRDefault="00FD740C">
      <w:pPr>
        <w:spacing w:after="100" w:line="276" w:lineRule="auto"/>
        <w:jc w:val="both"/>
      </w:pPr>
    </w:p>
    <w:p w14:paraId="1392A428" w14:textId="77777777" w:rsidR="00FD740C" w:rsidRDefault="00000000">
      <w:pPr>
        <w:spacing w:before="360" w:after="200"/>
      </w:pPr>
      <w:r>
        <w:rPr>
          <w:b/>
          <w:bCs/>
          <w:caps/>
          <w:color w:val="003C72"/>
          <w:sz w:val="28"/>
          <w:szCs w:val="28"/>
        </w:rPr>
        <w:t>1. PURPOSE</w:t>
      </w:r>
    </w:p>
    <w:p w14:paraId="1392A429" w14:textId="77777777" w:rsidR="00FD740C" w:rsidRDefault="00000000">
      <w:pPr>
        <w:spacing w:after="200" w:line="276" w:lineRule="auto"/>
        <w:jc w:val="both"/>
      </w:pPr>
      <w:r>
        <w:t>This document identifies and evaluates the internal and external issues relevant to the Seagull Maritime group that may affect the organisation’s ability to achieve the intended outcomes of its integrated management system. It has been prepared in accordance with Clause 4.1 of ISO 45001:2018, ISO 18788:2015, ISO 28000:2022, and ISO 9001:2015, and supports the determination of scope and the identification of interested party requirements across all management system standards.</w:t>
      </w:r>
    </w:p>
    <w:p w14:paraId="1392A42A" w14:textId="77777777" w:rsidR="00FD740C" w:rsidRDefault="00000000">
      <w:pPr>
        <w:spacing w:after="200" w:line="276" w:lineRule="auto"/>
        <w:jc w:val="both"/>
      </w:pPr>
      <w:r>
        <w:rPr>
          <w:b/>
          <w:bCs/>
        </w:rPr>
        <w:t xml:space="preserve">Version 2.0 Emergency Review: </w:t>
      </w:r>
      <w:r>
        <w:t>This version has been issued as an emergency review following the outbreak of armed conflict between the United States, Israel and Iran on 28 February 2026, and the resulting Strait of Hormuz crisis. This event represents the most significant change to the maritime operating environment since the establishment of the Seagull Maritime management system and requires immediate reassessment of the organisation’s external context across all management system disciplines.</w:t>
      </w:r>
    </w:p>
    <w:p w14:paraId="1392A42B" w14:textId="77777777" w:rsidR="00FD740C" w:rsidRDefault="00000000">
      <w:pPr>
        <w:spacing w:after="200" w:line="276" w:lineRule="auto"/>
        <w:jc w:val="both"/>
      </w:pPr>
      <w:r>
        <w:t>The analysis covers all disciplines within the integrated management system — security operations, quality management, occupational health and safety, and environmental awareness — and all entities, locations and activities within the group’s operational scope as defined in the applicable scope statements.</w:t>
      </w:r>
    </w:p>
    <w:p w14:paraId="1392A42C" w14:textId="77777777" w:rsidR="00FD740C" w:rsidRDefault="00000000">
      <w:pPr>
        <w:spacing w:before="360" w:after="200"/>
      </w:pPr>
      <w:r>
        <w:rPr>
          <w:b/>
          <w:bCs/>
          <w:caps/>
          <w:color w:val="003C72"/>
          <w:sz w:val="28"/>
          <w:szCs w:val="28"/>
        </w:rPr>
        <w:t>2. METHODOLOGY</w:t>
      </w:r>
    </w:p>
    <w:p w14:paraId="1392A42D" w14:textId="77777777" w:rsidR="00FD740C" w:rsidRDefault="00000000">
      <w:pPr>
        <w:spacing w:after="200" w:line="276" w:lineRule="auto"/>
        <w:jc w:val="both"/>
      </w:pPr>
      <w:r>
        <w:t>The external environment has been assessed using the PESTLE framework (Political, Economic, Socio-Cultural, Technological, Legal, Environmental). Internal and external factors have been further evaluated using a SWOT analysis (Strengths, Weaknesses, Opportunities, Threats). Both tools are reviewed at least annually as part of the management review process, or sooner if triggered by significant operational or environmental changes.</w:t>
      </w:r>
    </w:p>
    <w:p w14:paraId="1392A42E" w14:textId="77777777" w:rsidR="00FD740C" w:rsidRDefault="00000000">
      <w:pPr>
        <w:spacing w:after="200" w:line="276" w:lineRule="auto"/>
        <w:jc w:val="both"/>
      </w:pPr>
      <w:r>
        <w:t>This analysis has been informed by current conflict zone intelligence (including UKMTO advisories, MSCHOA updates, IMB piracy reports and NATO shipping centre alerts), client requirements (including Shell VPSHR obligations), regulatory developments, internal audit findings, incident data from the Emergent HSE reporting system, and operational experience across all regions.</w:t>
      </w:r>
    </w:p>
    <w:p w14:paraId="1392A42F" w14:textId="77777777" w:rsidR="00FD740C" w:rsidRDefault="00000000">
      <w:pPr>
        <w:spacing w:before="360" w:after="200"/>
      </w:pPr>
      <w:r>
        <w:rPr>
          <w:b/>
          <w:bCs/>
          <w:caps/>
          <w:color w:val="003C72"/>
          <w:sz w:val="28"/>
          <w:szCs w:val="28"/>
        </w:rPr>
        <w:lastRenderedPageBreak/>
        <w:t>3. PESTLE ANALYSIS</w:t>
      </w:r>
    </w:p>
    <w:p w14:paraId="1392A430" w14:textId="77777777" w:rsidR="00FD740C" w:rsidRDefault="00000000">
      <w:pPr>
        <w:spacing w:after="160" w:line="276" w:lineRule="auto"/>
        <w:jc w:val="both"/>
      </w:pPr>
      <w:r>
        <w:t>The following external factors have been identified as relevant to the organisation’s context across all management system disciplines. Factors affect security operations, quality of service, occupational health and safety, and business continuity.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D740C" w14:paraId="1392A434" w14:textId="77777777">
        <w:tblPrEx>
          <w:tblCellMar>
            <w:top w:w="0" w:type="dxa"/>
            <w:bottom w:w="0" w:type="dxa"/>
          </w:tblCellMar>
        </w:tblPrEx>
        <w:tc>
          <w:tcPr>
            <w:tcW w:w="3008" w:type="dxa"/>
            <w:tcBorders>
              <w:top w:val="single" w:sz="1" w:space="0" w:color="003C72"/>
              <w:left w:val="single" w:sz="1" w:space="0" w:color="003C72"/>
              <w:bottom w:val="single" w:sz="1" w:space="0" w:color="003C72"/>
              <w:right w:val="single" w:sz="1" w:space="0" w:color="003C72"/>
            </w:tcBorders>
            <w:shd w:val="clear" w:color="auto" w:fill="003C72"/>
            <w:tcMar>
              <w:top w:w="80" w:type="dxa"/>
              <w:left w:w="100" w:type="dxa"/>
              <w:bottom w:w="80" w:type="dxa"/>
              <w:right w:w="100" w:type="dxa"/>
            </w:tcMar>
            <w:vAlign w:val="center"/>
          </w:tcPr>
          <w:p w14:paraId="1392A431" w14:textId="77777777" w:rsidR="00FD740C" w:rsidRDefault="00000000">
            <w:pPr>
              <w:jc w:val="center"/>
            </w:pPr>
            <w:r>
              <w:rPr>
                <w:b/>
                <w:bCs/>
                <w:color w:val="FFFFFF"/>
                <w:sz w:val="18"/>
                <w:szCs w:val="18"/>
              </w:rPr>
              <w:t>Political</w:t>
            </w:r>
          </w:p>
        </w:tc>
        <w:tc>
          <w:tcPr>
            <w:tcW w:w="3008" w:type="dxa"/>
            <w:tcBorders>
              <w:top w:val="single" w:sz="1" w:space="0" w:color="003C72"/>
              <w:left w:val="single" w:sz="1" w:space="0" w:color="003C72"/>
              <w:bottom w:val="single" w:sz="1" w:space="0" w:color="003C72"/>
              <w:right w:val="single" w:sz="1" w:space="0" w:color="003C72"/>
            </w:tcBorders>
            <w:shd w:val="clear" w:color="auto" w:fill="003C72"/>
            <w:tcMar>
              <w:top w:w="80" w:type="dxa"/>
              <w:left w:w="100" w:type="dxa"/>
              <w:bottom w:w="80" w:type="dxa"/>
              <w:right w:w="100" w:type="dxa"/>
            </w:tcMar>
            <w:vAlign w:val="center"/>
          </w:tcPr>
          <w:p w14:paraId="1392A432" w14:textId="77777777" w:rsidR="00FD740C" w:rsidRDefault="00000000">
            <w:pPr>
              <w:jc w:val="center"/>
            </w:pPr>
            <w:r>
              <w:rPr>
                <w:b/>
                <w:bCs/>
                <w:color w:val="FFFFFF"/>
                <w:sz w:val="18"/>
                <w:szCs w:val="18"/>
              </w:rPr>
              <w:t>Economic</w:t>
            </w:r>
          </w:p>
        </w:tc>
        <w:tc>
          <w:tcPr>
            <w:tcW w:w="3008" w:type="dxa"/>
            <w:tcBorders>
              <w:top w:val="single" w:sz="1" w:space="0" w:color="003C72"/>
              <w:left w:val="single" w:sz="1" w:space="0" w:color="003C72"/>
              <w:bottom w:val="single" w:sz="1" w:space="0" w:color="003C72"/>
              <w:right w:val="single" w:sz="1" w:space="0" w:color="003C72"/>
            </w:tcBorders>
            <w:shd w:val="clear" w:color="auto" w:fill="003C72"/>
            <w:tcMar>
              <w:top w:w="80" w:type="dxa"/>
              <w:left w:w="100" w:type="dxa"/>
              <w:bottom w:w="80" w:type="dxa"/>
              <w:right w:w="100" w:type="dxa"/>
            </w:tcMar>
            <w:vAlign w:val="center"/>
          </w:tcPr>
          <w:p w14:paraId="1392A433" w14:textId="77777777" w:rsidR="00FD740C" w:rsidRDefault="00000000">
            <w:pPr>
              <w:jc w:val="center"/>
            </w:pPr>
            <w:r>
              <w:rPr>
                <w:b/>
                <w:bCs/>
                <w:color w:val="FFFFFF"/>
                <w:sz w:val="18"/>
                <w:szCs w:val="18"/>
              </w:rPr>
              <w:t>Socio-Cultural</w:t>
            </w:r>
          </w:p>
        </w:tc>
      </w:tr>
      <w:tr w:rsidR="00FD740C" w14:paraId="1392A455" w14:textId="77777777">
        <w:tblPrEx>
          <w:tblCellMar>
            <w:top w:w="0" w:type="dxa"/>
            <w:bottom w:w="0" w:type="dxa"/>
          </w:tblCellMar>
        </w:tblPrEx>
        <w:tc>
          <w:tcPr>
            <w:tcW w:w="3008" w:type="dxa"/>
            <w:tcBorders>
              <w:top w:val="single" w:sz="1" w:space="0" w:color="003C72"/>
              <w:left w:val="single" w:sz="1" w:space="0" w:color="003C72"/>
              <w:bottom w:val="single" w:sz="1" w:space="0" w:color="003C72"/>
              <w:right w:val="single" w:sz="1" w:space="0" w:color="003C72"/>
            </w:tcBorders>
            <w:tcMar>
              <w:top w:w="80" w:type="dxa"/>
              <w:left w:w="100" w:type="dxa"/>
              <w:bottom w:w="80" w:type="dxa"/>
              <w:right w:w="100" w:type="dxa"/>
            </w:tcMar>
          </w:tcPr>
          <w:p w14:paraId="1392A435" w14:textId="77777777" w:rsidR="00FD740C" w:rsidRDefault="00000000">
            <w:pPr>
              <w:spacing w:after="80"/>
            </w:pPr>
            <w:r>
              <w:rPr>
                <w:sz w:val="16"/>
                <w:szCs w:val="16"/>
              </w:rPr>
              <w:t>•  US/Israel military strikes on Iran (28 February 2026, Operation Epic Fury) have triggered an active armed conflict in the Persian Gulf region — the most significant threat to maritime operations since the Iran-Iraq Tanker War</w:t>
            </w:r>
          </w:p>
          <w:p w14:paraId="1392A436" w14:textId="77777777" w:rsidR="00FD740C" w:rsidRDefault="00000000">
            <w:pPr>
              <w:spacing w:after="80"/>
            </w:pPr>
            <w:r>
              <w:rPr>
                <w:sz w:val="16"/>
                <w:szCs w:val="16"/>
              </w:rPr>
              <w:t>•  Iranian IRGC has conducted 21+ confirmed attacks on merchant vessels in the Strait of Hormuz and wider Arabian Gulf since the conflict began</w:t>
            </w:r>
          </w:p>
          <w:p w14:paraId="1392A437" w14:textId="77777777" w:rsidR="00FD740C" w:rsidRDefault="00000000">
            <w:pPr>
              <w:spacing w:after="80"/>
            </w:pPr>
            <w:r>
              <w:rPr>
                <w:sz w:val="16"/>
                <w:szCs w:val="16"/>
              </w:rPr>
              <w:t xml:space="preserve">•  Iran has imposed a selective passage regime through the Strait of Hormuz, permitting transit only to countries paying a toll and denying passage to others — effectively </w:t>
            </w:r>
            <w:proofErr w:type="spellStart"/>
            <w:r>
              <w:rPr>
                <w:sz w:val="16"/>
                <w:szCs w:val="16"/>
              </w:rPr>
              <w:t>weaponising</w:t>
            </w:r>
            <w:proofErr w:type="spellEnd"/>
            <w:r>
              <w:rPr>
                <w:sz w:val="16"/>
                <w:szCs w:val="16"/>
              </w:rPr>
              <w:t xml:space="preserve"> the chokepoint</w:t>
            </w:r>
          </w:p>
          <w:p w14:paraId="1392A438" w14:textId="77777777" w:rsidR="00FD740C" w:rsidRDefault="00000000">
            <w:pPr>
              <w:spacing w:after="80"/>
            </w:pPr>
            <w:r>
              <w:rPr>
                <w:sz w:val="16"/>
                <w:szCs w:val="16"/>
              </w:rPr>
              <w:t>•  Strait of Hormuz commercial traffic has collapsed from ~130 transits per day to single digits, with ~170 containerships trapped in or near the Strait at the outbreak of hostilities</w:t>
            </w:r>
          </w:p>
          <w:p w14:paraId="1392A439" w14:textId="77777777" w:rsidR="00FD740C" w:rsidRDefault="00000000">
            <w:pPr>
              <w:spacing w:after="80"/>
            </w:pPr>
            <w:r>
              <w:rPr>
                <w:sz w:val="16"/>
                <w:szCs w:val="16"/>
              </w:rPr>
              <w:t>•  US military campaign to reopen the Strait of Hormuz commenced 19 March 2026, with active combat operations ongoing</w:t>
            </w:r>
          </w:p>
          <w:p w14:paraId="1392A43A" w14:textId="77777777" w:rsidR="00FD740C" w:rsidRDefault="00000000">
            <w:pPr>
              <w:spacing w:after="80"/>
            </w:pPr>
            <w:r>
              <w:rPr>
                <w:sz w:val="16"/>
                <w:szCs w:val="16"/>
              </w:rPr>
              <w:t xml:space="preserve">•  Houthi activity in the Red Sea continues alongside the Iran conflict, with secondary AIS interference patterns extending to the Bab </w:t>
            </w:r>
            <w:proofErr w:type="spellStart"/>
            <w:r>
              <w:rPr>
                <w:sz w:val="16"/>
                <w:szCs w:val="16"/>
              </w:rPr>
              <w:t>el</w:t>
            </w:r>
            <w:proofErr w:type="spellEnd"/>
            <w:r>
              <w:rPr>
                <w:sz w:val="16"/>
                <w:szCs w:val="16"/>
              </w:rPr>
              <w:t>-Mandeb Strait</w:t>
            </w:r>
          </w:p>
          <w:p w14:paraId="1392A43B" w14:textId="77777777" w:rsidR="00FD740C" w:rsidRDefault="00000000">
            <w:pPr>
              <w:spacing w:after="80"/>
            </w:pPr>
            <w:r>
              <w:rPr>
                <w:sz w:val="16"/>
                <w:szCs w:val="16"/>
              </w:rPr>
              <w:t xml:space="preserve">•  Russia/Ukraine war continues to affect Black Sea shipping security, with both sides targeting vessels and </w:t>
            </w:r>
            <w:proofErr w:type="gramStart"/>
            <w:r>
              <w:rPr>
                <w:sz w:val="16"/>
                <w:szCs w:val="16"/>
              </w:rPr>
              <w:t>terminals;</w:t>
            </w:r>
            <w:proofErr w:type="gramEnd"/>
            <w:r>
              <w:rPr>
                <w:sz w:val="16"/>
                <w:szCs w:val="16"/>
              </w:rPr>
              <w:t xml:space="preserve"> GPS spoofing and AIS interference intensifying</w:t>
            </w:r>
          </w:p>
          <w:p w14:paraId="1392A43C" w14:textId="77777777" w:rsidR="00FD740C" w:rsidRDefault="00000000">
            <w:pPr>
              <w:spacing w:after="80"/>
            </w:pPr>
            <w:r>
              <w:rPr>
                <w:sz w:val="16"/>
                <w:szCs w:val="16"/>
              </w:rPr>
              <w:t>•  Russian shadow fleet operations (1,300+ identified vessels) create sanctions evasion risk and environmental hazard from uninsured, poorly maintained tankers</w:t>
            </w:r>
          </w:p>
          <w:p w14:paraId="1392A43D" w14:textId="77777777" w:rsidR="00FD740C" w:rsidRDefault="00000000">
            <w:pPr>
              <w:spacing w:after="80"/>
            </w:pPr>
            <w:r>
              <w:rPr>
                <w:sz w:val="16"/>
                <w:szCs w:val="16"/>
              </w:rPr>
              <w:t>•  Sanctions against Russia require enhanced due diligence on personnel (particularly Ukrainian-based staff), clients, vessels and supply chains</w:t>
            </w:r>
          </w:p>
          <w:p w14:paraId="1392A43E" w14:textId="77777777" w:rsidR="00FD740C" w:rsidRDefault="00000000">
            <w:pPr>
              <w:spacing w:after="80"/>
            </w:pPr>
            <w:r>
              <w:rPr>
                <w:sz w:val="16"/>
                <w:szCs w:val="16"/>
              </w:rPr>
              <w:t>•  Unstable political systems in surrounding countries (Yemen, Eritrea, Somalia) compound regional instability</w:t>
            </w:r>
          </w:p>
          <w:p w14:paraId="1392A43F" w14:textId="77777777" w:rsidR="00FD740C" w:rsidRDefault="00000000">
            <w:pPr>
              <w:spacing w:after="80"/>
            </w:pPr>
            <w:r>
              <w:rPr>
                <w:sz w:val="16"/>
                <w:szCs w:val="16"/>
              </w:rPr>
              <w:t>•  GCC states directly affected by Iranian retaliatory strikes — attacks on US military bases and Gulf state territory reported</w:t>
            </w:r>
          </w:p>
          <w:p w14:paraId="1392A440" w14:textId="77777777" w:rsidR="00FD740C" w:rsidRDefault="00000000">
            <w:r>
              <w:rPr>
                <w:sz w:val="16"/>
                <w:szCs w:val="16"/>
              </w:rPr>
              <w:lastRenderedPageBreak/>
              <w:t>•  Severe GNSS/GPS spoofing and AIS interference reported across the entire Arabian Gulf, Red Sea and Gulf of Oman, affecting navigation safety for all vessels</w:t>
            </w:r>
          </w:p>
        </w:tc>
        <w:tc>
          <w:tcPr>
            <w:tcW w:w="3008" w:type="dxa"/>
            <w:tcBorders>
              <w:top w:val="single" w:sz="1" w:space="0" w:color="003C72"/>
              <w:left w:val="single" w:sz="1" w:space="0" w:color="003C72"/>
              <w:bottom w:val="single" w:sz="1" w:space="0" w:color="003C72"/>
              <w:right w:val="single" w:sz="1" w:space="0" w:color="003C72"/>
            </w:tcBorders>
            <w:tcMar>
              <w:top w:w="80" w:type="dxa"/>
              <w:left w:w="100" w:type="dxa"/>
              <w:bottom w:w="80" w:type="dxa"/>
              <w:right w:w="100" w:type="dxa"/>
            </w:tcMar>
          </w:tcPr>
          <w:p w14:paraId="1392A441" w14:textId="77777777" w:rsidR="00FD740C" w:rsidRDefault="00000000">
            <w:pPr>
              <w:spacing w:after="80"/>
            </w:pPr>
            <w:r>
              <w:rPr>
                <w:sz w:val="16"/>
                <w:szCs w:val="16"/>
              </w:rPr>
              <w:lastRenderedPageBreak/>
              <w:t>•  War risk insurance for Strait of Hormuz transits has surged from 0.15-0.25% to 5-10% of hull value — the highest since the 1980s Tanker War; some insurers have withdrawn cover entirely</w:t>
            </w:r>
          </w:p>
          <w:p w14:paraId="1392A442" w14:textId="77777777" w:rsidR="00FD740C" w:rsidRDefault="00000000">
            <w:pPr>
              <w:spacing w:after="80"/>
            </w:pPr>
            <w:r>
              <w:rPr>
                <w:sz w:val="16"/>
                <w:szCs w:val="16"/>
              </w:rPr>
              <w:t>•  Oil and gas prices have spiked (Asian gas +54%, European gas +63% within one week of strikes) creating the largest supply disruption since the 1970s energy crisis</w:t>
            </w:r>
          </w:p>
          <w:p w14:paraId="1392A443" w14:textId="77777777" w:rsidR="00FD740C" w:rsidRDefault="00000000">
            <w:pPr>
              <w:spacing w:after="80"/>
            </w:pPr>
            <w:r>
              <w:rPr>
                <w:sz w:val="16"/>
                <w:szCs w:val="16"/>
              </w:rPr>
              <w:t xml:space="preserve">•  Daily charter rates for oil </w:t>
            </w:r>
            <w:proofErr w:type="spellStart"/>
            <w:r>
              <w:rPr>
                <w:sz w:val="16"/>
                <w:szCs w:val="16"/>
              </w:rPr>
              <w:t>supertankers</w:t>
            </w:r>
            <w:proofErr w:type="spellEnd"/>
            <w:r>
              <w:rPr>
                <w:sz w:val="16"/>
                <w:szCs w:val="16"/>
              </w:rPr>
              <w:t xml:space="preserve"> quadrupled to ~$800,000/day; container surcharges of up to $3,500/container implemented by major lines</w:t>
            </w:r>
          </w:p>
          <w:p w14:paraId="1392A444" w14:textId="77777777" w:rsidR="00FD740C" w:rsidRDefault="00000000">
            <w:pPr>
              <w:spacing w:after="80"/>
            </w:pPr>
            <w:r>
              <w:rPr>
                <w:sz w:val="16"/>
                <w:szCs w:val="16"/>
              </w:rPr>
              <w:t>•  Strait of Hormuz handles ~20 million barrels of oil per day (20% of global seaborne oil trade) — near-total disruption affects global energy markets and client operations</w:t>
            </w:r>
          </w:p>
          <w:p w14:paraId="1392A445" w14:textId="77777777" w:rsidR="00FD740C" w:rsidRDefault="00000000">
            <w:pPr>
              <w:spacing w:after="80"/>
            </w:pPr>
            <w:r>
              <w:rPr>
                <w:sz w:val="16"/>
                <w:szCs w:val="16"/>
              </w:rPr>
              <w:t>•  IOR transit disruption may increase demand for security services on alternative routes, but also reduces available taskings through traditional chokepoints</w:t>
            </w:r>
          </w:p>
          <w:p w14:paraId="1392A446" w14:textId="77777777" w:rsidR="00FD740C" w:rsidRDefault="00000000">
            <w:pPr>
              <w:spacing w:after="80"/>
            </w:pPr>
            <w:r>
              <w:rPr>
                <w:sz w:val="16"/>
                <w:szCs w:val="16"/>
              </w:rPr>
              <w:t>•  Indian Ocean market competition intensified as operators displaced from Persian Gulf seek work in remaining active regions</w:t>
            </w:r>
          </w:p>
          <w:p w14:paraId="1392A447" w14:textId="77777777" w:rsidR="00FD740C" w:rsidRDefault="00000000">
            <w:pPr>
              <w:spacing w:after="80"/>
            </w:pPr>
            <w:r>
              <w:rPr>
                <w:sz w:val="16"/>
                <w:szCs w:val="16"/>
              </w:rPr>
              <w:t>•  Rising operational costs versus decreasing task prices in unaffected regions squeeze margins and resource allocation</w:t>
            </w:r>
          </w:p>
          <w:p w14:paraId="1392A448" w14:textId="77777777" w:rsidR="00FD740C" w:rsidRDefault="00000000">
            <w:pPr>
              <w:spacing w:after="80"/>
            </w:pPr>
            <w:r>
              <w:rPr>
                <w:sz w:val="16"/>
                <w:szCs w:val="16"/>
              </w:rPr>
              <w:t>•  Exchange rate fluctuations across multi-jurisdiction operations (USD, EUR, GBP, NGN) compounded by conflict-driven market volatility</w:t>
            </w:r>
          </w:p>
          <w:p w14:paraId="1392A449" w14:textId="77777777" w:rsidR="00FD740C" w:rsidRDefault="00000000">
            <w:pPr>
              <w:spacing w:after="80"/>
            </w:pPr>
            <w:r>
              <w:rPr>
                <w:sz w:val="16"/>
                <w:szCs w:val="16"/>
              </w:rPr>
              <w:t>•  Cost pressure must not compromise investment in PPE, training, safe systems of work or quality management — heightened risk environment demands increased, not decreased, safety spending</w:t>
            </w:r>
          </w:p>
          <w:p w14:paraId="1392A44A" w14:textId="77777777" w:rsidR="00FD740C" w:rsidRDefault="00000000">
            <w:r>
              <w:rPr>
                <w:sz w:val="16"/>
                <w:szCs w:val="16"/>
              </w:rPr>
              <w:t>•  Client demand for competitive pricing creates tension with compliance investment at a time when operational risk is at historic highs</w:t>
            </w:r>
          </w:p>
        </w:tc>
        <w:tc>
          <w:tcPr>
            <w:tcW w:w="3008" w:type="dxa"/>
            <w:tcBorders>
              <w:top w:val="single" w:sz="1" w:space="0" w:color="003C72"/>
              <w:left w:val="single" w:sz="1" w:space="0" w:color="003C72"/>
              <w:bottom w:val="single" w:sz="1" w:space="0" w:color="003C72"/>
              <w:right w:val="single" w:sz="1" w:space="0" w:color="003C72"/>
            </w:tcBorders>
            <w:tcMar>
              <w:top w:w="80" w:type="dxa"/>
              <w:left w:w="100" w:type="dxa"/>
              <w:bottom w:w="80" w:type="dxa"/>
              <w:right w:w="100" w:type="dxa"/>
            </w:tcMar>
          </w:tcPr>
          <w:p w14:paraId="1392A44B" w14:textId="77777777" w:rsidR="00FD740C" w:rsidRDefault="00000000">
            <w:pPr>
              <w:spacing w:after="80"/>
            </w:pPr>
            <w:r>
              <w:rPr>
                <w:sz w:val="16"/>
                <w:szCs w:val="16"/>
              </w:rPr>
              <w:t>•  Code of Conduct and ICoCA membership demonstrate commitment to human rights, equality and ethical operations</w:t>
            </w:r>
          </w:p>
          <w:p w14:paraId="1392A44C" w14:textId="77777777" w:rsidR="00FD740C" w:rsidRDefault="00000000">
            <w:pPr>
              <w:spacing w:after="80"/>
            </w:pPr>
            <w:r>
              <w:rPr>
                <w:sz w:val="16"/>
                <w:szCs w:val="16"/>
              </w:rPr>
              <w:t>•  VPSHR (Voluntary Principles on Security and Human Rights) compliance required by major clients including Shell</w:t>
            </w:r>
          </w:p>
          <w:p w14:paraId="1392A44D" w14:textId="77777777" w:rsidR="00FD740C" w:rsidRDefault="00000000">
            <w:pPr>
              <w:spacing w:after="80"/>
            </w:pPr>
            <w:r>
              <w:rPr>
                <w:sz w:val="16"/>
                <w:szCs w:val="16"/>
              </w:rPr>
              <w:t>•  Equal opportunities and diversity championed across a multinational workforce</w:t>
            </w:r>
          </w:p>
          <w:p w14:paraId="1392A44E" w14:textId="77777777" w:rsidR="00FD740C" w:rsidRDefault="00000000">
            <w:pPr>
              <w:spacing w:after="80"/>
            </w:pPr>
            <w:r>
              <w:rPr>
                <w:sz w:val="16"/>
                <w:szCs w:val="16"/>
              </w:rPr>
              <w:t>•  Immigration and emigration patterns (particularly Yemen) increase small vessel density in the Red Sea</w:t>
            </w:r>
          </w:p>
          <w:p w14:paraId="1392A44F" w14:textId="77777777" w:rsidR="00FD740C" w:rsidRDefault="00000000">
            <w:pPr>
              <w:spacing w:after="80"/>
            </w:pPr>
            <w:r>
              <w:rPr>
                <w:sz w:val="16"/>
                <w:szCs w:val="16"/>
              </w:rPr>
              <w:t>•  Increasing focus on sustainability drives demand for environmental and social responsibility in maritime operations</w:t>
            </w:r>
          </w:p>
          <w:p w14:paraId="1392A450" w14:textId="77777777" w:rsidR="00FD740C" w:rsidRDefault="00000000">
            <w:pPr>
              <w:spacing w:after="80"/>
            </w:pPr>
            <w:r>
              <w:rPr>
                <w:sz w:val="16"/>
                <w:szCs w:val="16"/>
              </w:rPr>
              <w:t>•  COVID-19 legacy continues to affect international travel, crew changes and medical support access in some regions</w:t>
            </w:r>
          </w:p>
          <w:p w14:paraId="1392A451" w14:textId="77777777" w:rsidR="00FD740C" w:rsidRDefault="00000000">
            <w:pPr>
              <w:spacing w:after="80"/>
            </w:pPr>
            <w:r>
              <w:rPr>
                <w:sz w:val="16"/>
                <w:szCs w:val="16"/>
              </w:rPr>
              <w:t>•  Cultural differences across multinational workforce require sensitivity in H&amp;S communication, training and management</w:t>
            </w:r>
          </w:p>
          <w:p w14:paraId="1392A452" w14:textId="77777777" w:rsidR="00FD740C" w:rsidRDefault="00000000">
            <w:pPr>
              <w:spacing w:after="80"/>
            </w:pPr>
            <w:r>
              <w:rPr>
                <w:sz w:val="16"/>
                <w:szCs w:val="16"/>
              </w:rPr>
              <w:t>•  Mental health and welfare of deployed personnel operating in isolation and high-threat environments remains a key concern</w:t>
            </w:r>
          </w:p>
          <w:p w14:paraId="1392A453" w14:textId="77777777" w:rsidR="00FD740C" w:rsidRDefault="00000000">
            <w:pPr>
              <w:spacing w:after="80"/>
            </w:pPr>
            <w:r>
              <w:rPr>
                <w:sz w:val="16"/>
                <w:szCs w:val="16"/>
              </w:rPr>
              <w:t>•  Fatigue management critical for embarked teams on extended deployments</w:t>
            </w:r>
          </w:p>
          <w:p w14:paraId="1392A454" w14:textId="77777777" w:rsidR="00FD740C" w:rsidRDefault="00000000">
            <w:r>
              <w:rPr>
                <w:sz w:val="16"/>
                <w:szCs w:val="16"/>
              </w:rPr>
              <w:t>•  Language barriers among multinational crews can affect safety briefing comprehension and incident reporting quality</w:t>
            </w:r>
          </w:p>
        </w:tc>
      </w:tr>
    </w:tbl>
    <w:p w14:paraId="1392A456" w14:textId="77777777" w:rsidR="00FD740C" w:rsidRDefault="00FD740C">
      <w:pPr>
        <w:spacing w:after="160" w:line="276"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D740C" w14:paraId="1392A45A" w14:textId="77777777">
        <w:tblPrEx>
          <w:tblCellMar>
            <w:top w:w="0" w:type="dxa"/>
            <w:bottom w:w="0" w:type="dxa"/>
          </w:tblCellMar>
        </w:tblPrEx>
        <w:tc>
          <w:tcPr>
            <w:tcW w:w="3008" w:type="dxa"/>
            <w:tcBorders>
              <w:top w:val="single" w:sz="1" w:space="0" w:color="003C72"/>
              <w:left w:val="single" w:sz="1" w:space="0" w:color="003C72"/>
              <w:bottom w:val="single" w:sz="1" w:space="0" w:color="003C72"/>
              <w:right w:val="single" w:sz="1" w:space="0" w:color="003C72"/>
            </w:tcBorders>
            <w:shd w:val="clear" w:color="auto" w:fill="003C72"/>
            <w:tcMar>
              <w:top w:w="80" w:type="dxa"/>
              <w:left w:w="100" w:type="dxa"/>
              <w:bottom w:w="80" w:type="dxa"/>
              <w:right w:w="100" w:type="dxa"/>
            </w:tcMar>
            <w:vAlign w:val="center"/>
          </w:tcPr>
          <w:p w14:paraId="1392A457" w14:textId="77777777" w:rsidR="00FD740C" w:rsidRDefault="00000000">
            <w:pPr>
              <w:jc w:val="center"/>
            </w:pPr>
            <w:r>
              <w:rPr>
                <w:b/>
                <w:bCs/>
                <w:color w:val="FFFFFF"/>
                <w:sz w:val="18"/>
                <w:szCs w:val="18"/>
              </w:rPr>
              <w:t>Technological</w:t>
            </w:r>
          </w:p>
        </w:tc>
        <w:tc>
          <w:tcPr>
            <w:tcW w:w="3008" w:type="dxa"/>
            <w:tcBorders>
              <w:top w:val="single" w:sz="1" w:space="0" w:color="003C72"/>
              <w:left w:val="single" w:sz="1" w:space="0" w:color="003C72"/>
              <w:bottom w:val="single" w:sz="1" w:space="0" w:color="003C72"/>
              <w:right w:val="single" w:sz="1" w:space="0" w:color="003C72"/>
            </w:tcBorders>
            <w:shd w:val="clear" w:color="auto" w:fill="003C72"/>
            <w:tcMar>
              <w:top w:w="80" w:type="dxa"/>
              <w:left w:w="100" w:type="dxa"/>
              <w:bottom w:w="80" w:type="dxa"/>
              <w:right w:w="100" w:type="dxa"/>
            </w:tcMar>
            <w:vAlign w:val="center"/>
          </w:tcPr>
          <w:p w14:paraId="1392A458" w14:textId="77777777" w:rsidR="00FD740C" w:rsidRDefault="00000000">
            <w:pPr>
              <w:jc w:val="center"/>
            </w:pPr>
            <w:r>
              <w:rPr>
                <w:b/>
                <w:bCs/>
                <w:color w:val="FFFFFF"/>
                <w:sz w:val="18"/>
                <w:szCs w:val="18"/>
              </w:rPr>
              <w:t>Legal</w:t>
            </w:r>
          </w:p>
        </w:tc>
        <w:tc>
          <w:tcPr>
            <w:tcW w:w="3008" w:type="dxa"/>
            <w:tcBorders>
              <w:top w:val="single" w:sz="1" w:space="0" w:color="003C72"/>
              <w:left w:val="single" w:sz="1" w:space="0" w:color="003C72"/>
              <w:bottom w:val="single" w:sz="1" w:space="0" w:color="003C72"/>
              <w:right w:val="single" w:sz="1" w:space="0" w:color="003C72"/>
            </w:tcBorders>
            <w:shd w:val="clear" w:color="auto" w:fill="003C72"/>
            <w:tcMar>
              <w:top w:w="80" w:type="dxa"/>
              <w:left w:w="100" w:type="dxa"/>
              <w:bottom w:w="80" w:type="dxa"/>
              <w:right w:w="100" w:type="dxa"/>
            </w:tcMar>
            <w:vAlign w:val="center"/>
          </w:tcPr>
          <w:p w14:paraId="1392A459" w14:textId="77777777" w:rsidR="00FD740C" w:rsidRDefault="00000000">
            <w:pPr>
              <w:jc w:val="center"/>
            </w:pPr>
            <w:r>
              <w:rPr>
                <w:b/>
                <w:bCs/>
                <w:color w:val="FFFFFF"/>
                <w:sz w:val="18"/>
                <w:szCs w:val="18"/>
              </w:rPr>
              <w:t>Environmental</w:t>
            </w:r>
          </w:p>
        </w:tc>
      </w:tr>
      <w:tr w:rsidR="00FD740C" w14:paraId="1392A479" w14:textId="77777777">
        <w:tblPrEx>
          <w:tblCellMar>
            <w:top w:w="0" w:type="dxa"/>
            <w:bottom w:w="0" w:type="dxa"/>
          </w:tblCellMar>
        </w:tblPrEx>
        <w:tc>
          <w:tcPr>
            <w:tcW w:w="3008" w:type="dxa"/>
            <w:tcBorders>
              <w:top w:val="single" w:sz="1" w:space="0" w:color="003C72"/>
              <w:left w:val="single" w:sz="1" w:space="0" w:color="003C72"/>
              <w:bottom w:val="single" w:sz="1" w:space="0" w:color="003C72"/>
              <w:right w:val="single" w:sz="1" w:space="0" w:color="003C72"/>
            </w:tcBorders>
            <w:tcMar>
              <w:top w:w="80" w:type="dxa"/>
              <w:left w:w="100" w:type="dxa"/>
              <w:bottom w:w="80" w:type="dxa"/>
              <w:right w:w="100" w:type="dxa"/>
            </w:tcMar>
          </w:tcPr>
          <w:p w14:paraId="1392A45B" w14:textId="77777777" w:rsidR="00FD740C" w:rsidRDefault="00000000">
            <w:pPr>
              <w:spacing w:after="80"/>
            </w:pPr>
            <w:r>
              <w:rPr>
                <w:sz w:val="16"/>
                <w:szCs w:val="16"/>
              </w:rPr>
              <w:t>•  New AIS and risk management technology creates potential for digital solutions replacing some physical security requirements</w:t>
            </w:r>
          </w:p>
          <w:p w14:paraId="1392A45C" w14:textId="77777777" w:rsidR="00FD740C" w:rsidRDefault="00000000">
            <w:pPr>
              <w:spacing w:after="80"/>
            </w:pPr>
            <w:r>
              <w:rPr>
                <w:sz w:val="16"/>
                <w:szCs w:val="16"/>
              </w:rPr>
              <w:t xml:space="preserve">•  </w:t>
            </w:r>
            <w:proofErr w:type="spellStart"/>
            <w:r>
              <w:rPr>
                <w:sz w:val="16"/>
                <w:szCs w:val="16"/>
              </w:rPr>
              <w:t>Cyber attack</w:t>
            </w:r>
            <w:proofErr w:type="spellEnd"/>
            <w:r>
              <w:rPr>
                <w:sz w:val="16"/>
                <w:szCs w:val="16"/>
              </w:rPr>
              <w:t xml:space="preserve"> risk countered by cloud-based systems, anti-virus software and IT security policy</w:t>
            </w:r>
          </w:p>
          <w:p w14:paraId="1392A45D" w14:textId="77777777" w:rsidR="00FD740C" w:rsidRDefault="00000000">
            <w:pPr>
              <w:spacing w:after="80"/>
            </w:pPr>
            <w:r>
              <w:rPr>
                <w:sz w:val="16"/>
                <w:szCs w:val="16"/>
              </w:rPr>
              <w:t>•  Cloud-based software enables remote working and shared documentation across all locations and entities</w:t>
            </w:r>
          </w:p>
          <w:p w14:paraId="1392A45E" w14:textId="77777777" w:rsidR="00FD740C" w:rsidRDefault="00000000">
            <w:pPr>
              <w:spacing w:after="80"/>
            </w:pPr>
            <w:r>
              <w:rPr>
                <w:sz w:val="16"/>
                <w:szCs w:val="16"/>
              </w:rPr>
              <w:t>•  Poor internet connectivity on vessel-based armouries limits real-time communication and reporting</w:t>
            </w:r>
          </w:p>
          <w:p w14:paraId="1392A45F" w14:textId="77777777" w:rsidR="00FD740C" w:rsidRDefault="00000000">
            <w:pPr>
              <w:spacing w:after="80"/>
            </w:pPr>
            <w:r>
              <w:rPr>
                <w:sz w:val="16"/>
                <w:szCs w:val="16"/>
              </w:rPr>
              <w:t>•  GPS spoofing and AIS interference increasingly prevalent in Red Sea and Black Sea regions, affecting navigation safety</w:t>
            </w:r>
          </w:p>
          <w:p w14:paraId="1392A460" w14:textId="77777777" w:rsidR="00FD740C" w:rsidRDefault="00000000">
            <w:pPr>
              <w:spacing w:after="80"/>
            </w:pPr>
            <w:r>
              <w:rPr>
                <w:sz w:val="16"/>
                <w:szCs w:val="16"/>
              </w:rPr>
              <w:t>•  Emergent HSE App deployed for real-time incident and near-miss reporting across all operations</w:t>
            </w:r>
          </w:p>
          <w:p w14:paraId="1392A461" w14:textId="77777777" w:rsidR="00FD740C" w:rsidRDefault="00000000">
            <w:pPr>
              <w:spacing w:after="80"/>
            </w:pPr>
            <w:r>
              <w:rPr>
                <w:sz w:val="16"/>
                <w:szCs w:val="16"/>
              </w:rPr>
              <w:t>•  Emergent LMS platform provides AI-assisted training, competence tracking and certification management</w:t>
            </w:r>
          </w:p>
          <w:p w14:paraId="1392A462" w14:textId="77777777" w:rsidR="00FD740C" w:rsidRDefault="00000000">
            <w:pPr>
              <w:spacing w:after="80"/>
            </w:pPr>
            <w:r>
              <w:rPr>
                <w:sz w:val="16"/>
                <w:szCs w:val="16"/>
              </w:rPr>
              <w:t>•  Digital reporting tools improve incident capture rates, trend analysis and management review data quality</w:t>
            </w:r>
          </w:p>
          <w:p w14:paraId="1392A463" w14:textId="77777777" w:rsidR="00FD740C" w:rsidRDefault="00000000">
            <w:pPr>
              <w:spacing w:after="80"/>
            </w:pPr>
            <w:r>
              <w:rPr>
                <w:sz w:val="16"/>
                <w:szCs w:val="16"/>
              </w:rPr>
              <w:t>•  Technology enables remote safety monitoring but creates operational reliance on connectivity</w:t>
            </w:r>
          </w:p>
          <w:p w14:paraId="1392A464" w14:textId="77777777" w:rsidR="00FD740C" w:rsidRDefault="00000000">
            <w:r>
              <w:rPr>
                <w:sz w:val="16"/>
                <w:szCs w:val="16"/>
              </w:rPr>
              <w:t>•  Training platform allows standardised induction and refresher delivery across all locations and standards</w:t>
            </w:r>
          </w:p>
        </w:tc>
        <w:tc>
          <w:tcPr>
            <w:tcW w:w="3008" w:type="dxa"/>
            <w:tcBorders>
              <w:top w:val="single" w:sz="1" w:space="0" w:color="003C72"/>
              <w:left w:val="single" w:sz="1" w:space="0" w:color="003C72"/>
              <w:bottom w:val="single" w:sz="1" w:space="0" w:color="003C72"/>
              <w:right w:val="single" w:sz="1" w:space="0" w:color="003C72"/>
            </w:tcBorders>
            <w:tcMar>
              <w:top w:w="80" w:type="dxa"/>
              <w:left w:w="100" w:type="dxa"/>
              <w:bottom w:w="80" w:type="dxa"/>
              <w:right w:w="100" w:type="dxa"/>
            </w:tcMar>
          </w:tcPr>
          <w:p w14:paraId="1392A465" w14:textId="77777777" w:rsidR="00FD740C" w:rsidRDefault="00000000">
            <w:pPr>
              <w:spacing w:after="80"/>
            </w:pPr>
            <w:r>
              <w:rPr>
                <w:sz w:val="16"/>
                <w:szCs w:val="16"/>
              </w:rPr>
              <w:t>•  UKMTO maritime warning zone in effect across the Arabian Gulf, Strait of Hormuz and Gulf of Oman — daily JMIC advisory updates at critical risk level</w:t>
            </w:r>
          </w:p>
          <w:p w14:paraId="1392A466" w14:textId="77777777" w:rsidR="00FD740C" w:rsidRDefault="00000000">
            <w:pPr>
              <w:spacing w:after="80"/>
            </w:pPr>
            <w:r>
              <w:rPr>
                <w:sz w:val="16"/>
                <w:szCs w:val="16"/>
              </w:rPr>
              <w:t>•  Iran conflict creates new sanctions, export control and trade compliance obligations that must be continuously monitored</w:t>
            </w:r>
          </w:p>
          <w:p w14:paraId="1392A467" w14:textId="77777777" w:rsidR="00FD740C" w:rsidRDefault="00000000">
            <w:pPr>
              <w:spacing w:after="80"/>
            </w:pPr>
            <w:r>
              <w:rPr>
                <w:sz w:val="16"/>
                <w:szCs w:val="16"/>
              </w:rPr>
              <w:t>•  Duty of care obligations significantly heightened for any personnel operating in or transiting through the Persian Gulf conflict zone</w:t>
            </w:r>
          </w:p>
          <w:p w14:paraId="1392A468" w14:textId="77777777" w:rsidR="00FD740C" w:rsidRDefault="00000000">
            <w:pPr>
              <w:spacing w:after="80"/>
            </w:pPr>
            <w:r>
              <w:rPr>
                <w:sz w:val="16"/>
                <w:szCs w:val="16"/>
              </w:rPr>
              <w:t>•  Removal of Seagull UK from IOR operations avoids OGTCL-MAP requirements, enabling more flexible VBA and operational arrangements</w:t>
            </w:r>
          </w:p>
          <w:p w14:paraId="1392A469" w14:textId="77777777" w:rsidR="00FD740C" w:rsidRDefault="00000000">
            <w:pPr>
              <w:spacing w:after="80"/>
            </w:pPr>
            <w:r>
              <w:rPr>
                <w:sz w:val="16"/>
                <w:szCs w:val="16"/>
              </w:rPr>
              <w:t>•  "Dark" fleets and sanctioned entities create enhanced liability — compounded by Iranian selective passage regime creating new compliance risks for vessels accepting Iranian transit terms</w:t>
            </w:r>
          </w:p>
          <w:p w14:paraId="1392A46A" w14:textId="77777777" w:rsidR="00FD740C" w:rsidRDefault="00000000">
            <w:pPr>
              <w:spacing w:after="80"/>
            </w:pPr>
            <w:r>
              <w:rPr>
                <w:sz w:val="16"/>
                <w:szCs w:val="16"/>
              </w:rPr>
              <w:t>•  EU weapons embargos in Eritrea affect weapons transit and storage planning</w:t>
            </w:r>
          </w:p>
          <w:p w14:paraId="1392A46B" w14:textId="77777777" w:rsidR="00FD740C" w:rsidRDefault="00000000">
            <w:pPr>
              <w:spacing w:after="80"/>
            </w:pPr>
            <w:r>
              <w:rPr>
                <w:sz w:val="16"/>
                <w:szCs w:val="16"/>
              </w:rPr>
              <w:t>•  Flag state requirements must be continuously monitored; flag state advisories relating to the Iran conflict may restrict vessel movements</w:t>
            </w:r>
          </w:p>
          <w:p w14:paraId="1392A46C" w14:textId="77777777" w:rsidR="00FD740C" w:rsidRDefault="00000000">
            <w:pPr>
              <w:spacing w:after="80"/>
            </w:pPr>
            <w:r>
              <w:rPr>
                <w:sz w:val="16"/>
                <w:szCs w:val="16"/>
              </w:rPr>
              <w:t>•  VPSHR compliance creates binding human rights obligations across all security operations — conflict zone operations require enhanced human rights risk assessment</w:t>
            </w:r>
          </w:p>
          <w:p w14:paraId="1392A46D" w14:textId="77777777" w:rsidR="00FD740C" w:rsidRDefault="00000000">
            <w:pPr>
              <w:spacing w:after="80"/>
            </w:pPr>
            <w:r>
              <w:rPr>
                <w:sz w:val="16"/>
                <w:szCs w:val="16"/>
              </w:rPr>
              <w:t>•  Weapons handling, storage, transfer and use creates specific legal liability; VBA access in Gulf of Oman potentially affected by conflict</w:t>
            </w:r>
          </w:p>
          <w:p w14:paraId="1392A46E" w14:textId="77777777" w:rsidR="00FD740C" w:rsidRDefault="00000000">
            <w:pPr>
              <w:spacing w:after="80"/>
            </w:pPr>
            <w:r>
              <w:rPr>
                <w:sz w:val="16"/>
                <w:szCs w:val="16"/>
              </w:rPr>
              <w:t>•  Anti-corruption and anti-bribery legislation (UK Bribery Act, US FCPA) applicable across all commercial activities</w:t>
            </w:r>
          </w:p>
          <w:p w14:paraId="1392A46F" w14:textId="77777777" w:rsidR="00FD740C" w:rsidRDefault="00000000">
            <w:pPr>
              <w:spacing w:after="80"/>
            </w:pPr>
            <w:r>
              <w:rPr>
                <w:sz w:val="16"/>
                <w:szCs w:val="16"/>
              </w:rPr>
              <w:t>•  Incident reporting obligations vary by jurisdiction and flag state — conflict-related incidents may trigger additional military/government reporting requirements</w:t>
            </w:r>
          </w:p>
          <w:p w14:paraId="1392A470" w14:textId="77777777" w:rsidR="00FD740C" w:rsidRDefault="00000000">
            <w:r>
              <w:rPr>
                <w:sz w:val="16"/>
                <w:szCs w:val="16"/>
              </w:rPr>
              <w:t>•  Data protection requirements (GDPR for EU operations, local equivalents) apply to personnel and client data</w:t>
            </w:r>
          </w:p>
        </w:tc>
        <w:tc>
          <w:tcPr>
            <w:tcW w:w="3008" w:type="dxa"/>
            <w:tcBorders>
              <w:top w:val="single" w:sz="1" w:space="0" w:color="003C72"/>
              <w:left w:val="single" w:sz="1" w:space="0" w:color="003C72"/>
              <w:bottom w:val="single" w:sz="1" w:space="0" w:color="003C72"/>
              <w:right w:val="single" w:sz="1" w:space="0" w:color="003C72"/>
            </w:tcBorders>
            <w:tcMar>
              <w:top w:w="80" w:type="dxa"/>
              <w:left w:w="100" w:type="dxa"/>
              <w:bottom w:w="80" w:type="dxa"/>
              <w:right w:w="100" w:type="dxa"/>
            </w:tcMar>
          </w:tcPr>
          <w:p w14:paraId="1392A471" w14:textId="77777777" w:rsidR="00FD740C" w:rsidRDefault="00000000">
            <w:pPr>
              <w:spacing w:after="80"/>
            </w:pPr>
            <w:r>
              <w:rPr>
                <w:sz w:val="16"/>
                <w:szCs w:val="16"/>
              </w:rPr>
              <w:t>•  Shipping industry increasingly focused on carbon footprint and environmental impact — clients expect responsible operations</w:t>
            </w:r>
          </w:p>
          <w:p w14:paraId="1392A472" w14:textId="77777777" w:rsidR="00FD740C" w:rsidRDefault="00000000">
            <w:pPr>
              <w:spacing w:after="80"/>
            </w:pPr>
            <w:r>
              <w:rPr>
                <w:sz w:val="16"/>
                <w:szCs w:val="16"/>
              </w:rPr>
              <w:t>•  ISO 14001 may become a client or certification requirement in the future</w:t>
            </w:r>
          </w:p>
          <w:p w14:paraId="1392A473" w14:textId="77777777" w:rsidR="00FD740C" w:rsidRDefault="00000000">
            <w:pPr>
              <w:spacing w:after="80"/>
            </w:pPr>
            <w:r>
              <w:rPr>
                <w:sz w:val="16"/>
                <w:szCs w:val="16"/>
              </w:rPr>
              <w:t>•  Extreme weather events in operational regions (tropical storms, monsoon seasons) affect operational safety windows and planning</w:t>
            </w:r>
          </w:p>
          <w:p w14:paraId="1392A474" w14:textId="77777777" w:rsidR="00FD740C" w:rsidRDefault="00000000">
            <w:pPr>
              <w:spacing w:after="80"/>
            </w:pPr>
            <w:r>
              <w:rPr>
                <w:sz w:val="16"/>
                <w:szCs w:val="16"/>
              </w:rPr>
              <w:t>•  Climate change affecting sea states, temperatures and operating conditions in key regions</w:t>
            </w:r>
          </w:p>
          <w:p w14:paraId="1392A475" w14:textId="77777777" w:rsidR="00FD740C" w:rsidRDefault="00000000">
            <w:pPr>
              <w:spacing w:after="80"/>
            </w:pPr>
            <w:r>
              <w:rPr>
                <w:sz w:val="16"/>
                <w:szCs w:val="16"/>
              </w:rPr>
              <w:t>•  Heat stress risk for personnel operating in Gulf, Red Sea and West Africa regions</w:t>
            </w:r>
          </w:p>
          <w:p w14:paraId="1392A476" w14:textId="77777777" w:rsidR="00FD740C" w:rsidRDefault="00000000">
            <w:pPr>
              <w:spacing w:after="80"/>
            </w:pPr>
            <w:r>
              <w:rPr>
                <w:sz w:val="16"/>
                <w:szCs w:val="16"/>
              </w:rPr>
              <w:t>•  Extreme weather creates direct safety risks during vessel transfers, embarked operations and offshore activities</w:t>
            </w:r>
          </w:p>
          <w:p w14:paraId="1392A477" w14:textId="77777777" w:rsidR="00FD740C" w:rsidRDefault="00000000">
            <w:pPr>
              <w:spacing w:after="80"/>
            </w:pPr>
            <w:r>
              <w:rPr>
                <w:sz w:val="16"/>
                <w:szCs w:val="16"/>
              </w:rPr>
              <w:t>•  Waste management and hazardous substance handling on vessels and armouries requires documented controls</w:t>
            </w:r>
          </w:p>
          <w:p w14:paraId="1392A478" w14:textId="77777777" w:rsidR="00FD740C" w:rsidRDefault="00000000">
            <w:r>
              <w:rPr>
                <w:sz w:val="16"/>
                <w:szCs w:val="16"/>
              </w:rPr>
              <w:t>•  Environmental incident (fuel spill, waste discharge) would create reputational and regulatory risk</w:t>
            </w:r>
          </w:p>
        </w:tc>
      </w:tr>
    </w:tbl>
    <w:p w14:paraId="1392A47A" w14:textId="77777777" w:rsidR="00FD740C" w:rsidRDefault="00000000">
      <w:r>
        <w:br w:type="page"/>
      </w:r>
    </w:p>
    <w:p w14:paraId="1392A47B" w14:textId="77777777" w:rsidR="00FD740C" w:rsidRDefault="00000000">
      <w:pPr>
        <w:spacing w:before="360" w:after="200"/>
      </w:pPr>
      <w:r>
        <w:rPr>
          <w:b/>
          <w:bCs/>
          <w:caps/>
          <w:color w:val="003C72"/>
          <w:sz w:val="28"/>
          <w:szCs w:val="28"/>
        </w:rPr>
        <w:lastRenderedPageBreak/>
        <w:t>4. SWOT ANALYSIS</w:t>
      </w:r>
    </w:p>
    <w:p w14:paraId="1392A47C" w14:textId="77777777" w:rsidR="00FD740C" w:rsidRDefault="00000000">
      <w:pPr>
        <w:spacing w:after="160" w:line="276" w:lineRule="auto"/>
        <w:jc w:val="both"/>
      </w:pPr>
      <w:r>
        <w:t>The following internal strengths and weaknesses, and external opportunities and threats, have been identified through management review, internal audit, operational experience and stakeholder feedback. The analysis considers all aspects of the integrated management system including security operations, quality, health and safety, and business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D740C" w14:paraId="1392A47F" w14:textId="77777777">
        <w:tblPrEx>
          <w:tblCellMar>
            <w:top w:w="0" w:type="dxa"/>
            <w:bottom w:w="0" w:type="dxa"/>
          </w:tblCellMar>
        </w:tblPrEx>
        <w:tc>
          <w:tcPr>
            <w:tcW w:w="4513" w:type="dxa"/>
            <w:tcBorders>
              <w:top w:val="single" w:sz="1" w:space="0" w:color="003C72"/>
              <w:left w:val="single" w:sz="1" w:space="0" w:color="003C72"/>
              <w:bottom w:val="single" w:sz="1" w:space="0" w:color="003C72"/>
              <w:right w:val="single" w:sz="1" w:space="0" w:color="003C72"/>
            </w:tcBorders>
            <w:shd w:val="clear" w:color="auto" w:fill="2E7D32"/>
            <w:tcMar>
              <w:top w:w="80" w:type="dxa"/>
              <w:left w:w="120" w:type="dxa"/>
              <w:bottom w:w="80" w:type="dxa"/>
              <w:right w:w="120" w:type="dxa"/>
            </w:tcMar>
            <w:vAlign w:val="center"/>
          </w:tcPr>
          <w:p w14:paraId="1392A47D" w14:textId="77777777" w:rsidR="00FD740C" w:rsidRDefault="00000000">
            <w:pPr>
              <w:jc w:val="center"/>
            </w:pPr>
            <w:r>
              <w:rPr>
                <w:b/>
                <w:bCs/>
                <w:color w:val="FFFFFF"/>
                <w:sz w:val="22"/>
                <w:szCs w:val="22"/>
              </w:rPr>
              <w:t>STRENGTHS</w:t>
            </w:r>
          </w:p>
        </w:tc>
        <w:tc>
          <w:tcPr>
            <w:tcW w:w="4513" w:type="dxa"/>
            <w:tcBorders>
              <w:top w:val="single" w:sz="1" w:space="0" w:color="003C72"/>
              <w:left w:val="single" w:sz="1" w:space="0" w:color="003C72"/>
              <w:bottom w:val="single" w:sz="1" w:space="0" w:color="003C72"/>
              <w:right w:val="single" w:sz="1" w:space="0" w:color="003C72"/>
            </w:tcBorders>
            <w:shd w:val="clear" w:color="auto" w:fill="C62828"/>
            <w:tcMar>
              <w:top w:w="80" w:type="dxa"/>
              <w:left w:w="120" w:type="dxa"/>
              <w:bottom w:w="80" w:type="dxa"/>
              <w:right w:w="120" w:type="dxa"/>
            </w:tcMar>
            <w:vAlign w:val="center"/>
          </w:tcPr>
          <w:p w14:paraId="1392A47E" w14:textId="77777777" w:rsidR="00FD740C" w:rsidRDefault="00000000">
            <w:pPr>
              <w:jc w:val="center"/>
            </w:pPr>
            <w:r>
              <w:rPr>
                <w:b/>
                <w:bCs/>
                <w:color w:val="FFFFFF"/>
                <w:sz w:val="22"/>
                <w:szCs w:val="22"/>
              </w:rPr>
              <w:t>WEAKNESSES</w:t>
            </w:r>
          </w:p>
        </w:tc>
      </w:tr>
      <w:tr w:rsidR="00FD740C" w14:paraId="1392A49B" w14:textId="77777777">
        <w:tblPrEx>
          <w:tblCellMar>
            <w:top w:w="0" w:type="dxa"/>
            <w:bottom w:w="0" w:type="dxa"/>
          </w:tblCellMar>
        </w:tblPrEx>
        <w:tc>
          <w:tcPr>
            <w:tcW w:w="4513" w:type="dxa"/>
            <w:tcBorders>
              <w:top w:val="single" w:sz="1" w:space="0" w:color="003C72"/>
              <w:left w:val="single" w:sz="1" w:space="0" w:color="003C72"/>
              <w:bottom w:val="single" w:sz="1" w:space="0" w:color="003C72"/>
              <w:right w:val="single" w:sz="1" w:space="0" w:color="003C72"/>
            </w:tcBorders>
            <w:shd w:val="clear" w:color="auto" w:fill="E8F5E9"/>
            <w:tcMar>
              <w:top w:w="100" w:type="dxa"/>
              <w:left w:w="120" w:type="dxa"/>
              <w:bottom w:w="100" w:type="dxa"/>
              <w:right w:w="120" w:type="dxa"/>
            </w:tcMar>
          </w:tcPr>
          <w:p w14:paraId="1392A480" w14:textId="77777777" w:rsidR="00FD740C" w:rsidRDefault="00000000">
            <w:pPr>
              <w:spacing w:after="100"/>
            </w:pPr>
            <w:r>
              <w:rPr>
                <w:sz w:val="16"/>
                <w:szCs w:val="16"/>
              </w:rPr>
              <w:t>•  Certified to ISO 45001, 18788, 28007, 28000 and 9001 with active surveillance programme</w:t>
            </w:r>
          </w:p>
          <w:p w14:paraId="1392A481" w14:textId="77777777" w:rsidR="00FD740C" w:rsidRDefault="00000000">
            <w:pPr>
              <w:spacing w:after="100"/>
            </w:pPr>
            <w:r>
              <w:rPr>
                <w:sz w:val="16"/>
                <w:szCs w:val="16"/>
              </w:rPr>
              <w:t>•  Multiple staffed offices across regions (Athens, Dubai, Nigeria) with dedicated, experienced staff</w:t>
            </w:r>
          </w:p>
          <w:p w14:paraId="1392A482" w14:textId="77777777" w:rsidR="00FD740C" w:rsidRDefault="00000000">
            <w:pPr>
              <w:spacing w:after="100"/>
            </w:pPr>
            <w:r>
              <w:rPr>
                <w:sz w:val="16"/>
                <w:szCs w:val="16"/>
              </w:rPr>
              <w:t>•  Established base in Nigeria with dedicated West Africa operations team</w:t>
            </w:r>
          </w:p>
          <w:p w14:paraId="1392A483" w14:textId="77777777" w:rsidR="00FD740C" w:rsidRDefault="00000000">
            <w:pPr>
              <w:spacing w:after="100"/>
            </w:pPr>
            <w:r>
              <w:rPr>
                <w:sz w:val="16"/>
                <w:szCs w:val="16"/>
              </w:rPr>
              <w:t>•  Top management provides support, commitment and resources to the integrated management system</w:t>
            </w:r>
          </w:p>
          <w:p w14:paraId="1392A484" w14:textId="77777777" w:rsidR="00FD740C" w:rsidRDefault="00000000">
            <w:pPr>
              <w:spacing w:after="100"/>
            </w:pPr>
            <w:r>
              <w:rPr>
                <w:sz w:val="16"/>
                <w:szCs w:val="16"/>
              </w:rPr>
              <w:t>•  Well established market reputation for reliable, safe and compliant maritime operations</w:t>
            </w:r>
          </w:p>
          <w:p w14:paraId="1392A485" w14:textId="77777777" w:rsidR="00FD740C" w:rsidRDefault="00000000">
            <w:pPr>
              <w:spacing w:after="100"/>
            </w:pPr>
            <w:r>
              <w:rPr>
                <w:sz w:val="16"/>
                <w:szCs w:val="16"/>
              </w:rPr>
              <w:t>•  Strategic partnerships with Vanguard Tech and major shipping companies</w:t>
            </w:r>
          </w:p>
          <w:p w14:paraId="1392A486" w14:textId="77777777" w:rsidR="00FD740C" w:rsidRDefault="00000000">
            <w:pPr>
              <w:spacing w:after="100"/>
            </w:pPr>
            <w:r>
              <w:rPr>
                <w:sz w:val="16"/>
                <w:szCs w:val="16"/>
              </w:rPr>
              <w:t>•  Multiple SEV providers in WAF with MOUs providing operational flexibility</w:t>
            </w:r>
          </w:p>
          <w:p w14:paraId="1392A487" w14:textId="77777777" w:rsidR="00FD740C" w:rsidRDefault="00000000">
            <w:pPr>
              <w:spacing w:after="100"/>
            </w:pPr>
            <w:r>
              <w:rPr>
                <w:sz w:val="16"/>
                <w:szCs w:val="16"/>
              </w:rPr>
              <w:t>•  Highly experienced management team with access to specialist consultants across risk management disciplines</w:t>
            </w:r>
          </w:p>
          <w:p w14:paraId="1392A488" w14:textId="77777777" w:rsidR="00FD740C" w:rsidRDefault="00000000">
            <w:pPr>
              <w:spacing w:after="100"/>
            </w:pPr>
            <w:r>
              <w:rPr>
                <w:sz w:val="16"/>
                <w:szCs w:val="16"/>
              </w:rPr>
              <w:t>•  Emergent HSE App live and capturing incident/near-miss data in real time across all operations</w:t>
            </w:r>
          </w:p>
          <w:p w14:paraId="1392A489" w14:textId="77777777" w:rsidR="00FD740C" w:rsidRDefault="00000000">
            <w:pPr>
              <w:spacing w:after="100"/>
            </w:pPr>
            <w:r>
              <w:rPr>
                <w:sz w:val="16"/>
                <w:szCs w:val="16"/>
              </w:rPr>
              <w:t>•  Emergent LMS providing standardised training, competence management and certification tracking</w:t>
            </w:r>
          </w:p>
          <w:p w14:paraId="1392A48A" w14:textId="77777777" w:rsidR="00FD740C" w:rsidRDefault="00000000">
            <w:pPr>
              <w:spacing w:after="100"/>
            </w:pPr>
            <w:r>
              <w:rPr>
                <w:sz w:val="16"/>
                <w:szCs w:val="16"/>
              </w:rPr>
              <w:t>•  Group Compliance Director role providing dedicated compliance leadership and system development</w:t>
            </w:r>
          </w:p>
          <w:p w14:paraId="1392A48B" w14:textId="77777777" w:rsidR="00FD740C" w:rsidRDefault="00000000">
            <w:pPr>
              <w:spacing w:after="100"/>
            </w:pPr>
            <w:r>
              <w:rPr>
                <w:sz w:val="16"/>
                <w:szCs w:val="16"/>
              </w:rPr>
              <w:t>•  Expanding service portfolio into offshore, fisheries protection and salvage operations</w:t>
            </w:r>
          </w:p>
          <w:p w14:paraId="1392A48C" w14:textId="77777777" w:rsidR="00FD740C" w:rsidRDefault="00000000">
            <w:pPr>
              <w:spacing w:after="100"/>
            </w:pPr>
            <w:r>
              <w:rPr>
                <w:sz w:val="16"/>
                <w:szCs w:val="16"/>
              </w:rPr>
              <w:t>•  ISO 18788 certification for IOR provides competitive differentiation in the market</w:t>
            </w:r>
          </w:p>
          <w:p w14:paraId="1392A48D" w14:textId="77777777" w:rsidR="00FD740C" w:rsidRDefault="00000000">
            <w:r>
              <w:rPr>
                <w:sz w:val="16"/>
                <w:szCs w:val="16"/>
              </w:rPr>
              <w:t>•  Strong client relationships with major oil and gas companies (Shell) driving best-in-class standards</w:t>
            </w:r>
          </w:p>
        </w:tc>
        <w:tc>
          <w:tcPr>
            <w:tcW w:w="4513" w:type="dxa"/>
            <w:tcBorders>
              <w:top w:val="single" w:sz="1" w:space="0" w:color="003C72"/>
              <w:left w:val="single" w:sz="1" w:space="0" w:color="003C72"/>
              <w:bottom w:val="single" w:sz="1" w:space="0" w:color="003C72"/>
              <w:right w:val="single" w:sz="1" w:space="0" w:color="003C72"/>
            </w:tcBorders>
            <w:shd w:val="clear" w:color="auto" w:fill="FFEBEE"/>
            <w:tcMar>
              <w:top w:w="100" w:type="dxa"/>
              <w:left w:w="120" w:type="dxa"/>
              <w:bottom w:w="100" w:type="dxa"/>
              <w:right w:w="120" w:type="dxa"/>
            </w:tcMar>
          </w:tcPr>
          <w:p w14:paraId="1392A48E" w14:textId="77777777" w:rsidR="00FD740C" w:rsidRDefault="00000000">
            <w:pPr>
              <w:spacing w:after="100"/>
            </w:pPr>
            <w:r>
              <w:rPr>
                <w:sz w:val="16"/>
                <w:szCs w:val="16"/>
              </w:rPr>
              <w:t>•  Indian Ocean market extremely competitive with ongoing price pressure between PMSCs</w:t>
            </w:r>
          </w:p>
          <w:p w14:paraId="1392A48F" w14:textId="77777777" w:rsidR="00FD740C" w:rsidRDefault="00000000">
            <w:pPr>
              <w:spacing w:after="100"/>
            </w:pPr>
            <w:r>
              <w:rPr>
                <w:sz w:val="16"/>
                <w:szCs w:val="16"/>
              </w:rPr>
              <w:t>•  Heavy reliance on existing client base leaves exposure to competitor poaching</w:t>
            </w:r>
          </w:p>
          <w:p w14:paraId="1392A490" w14:textId="77777777" w:rsidR="00FD740C" w:rsidRDefault="00000000">
            <w:pPr>
              <w:spacing w:after="100"/>
            </w:pPr>
            <w:r>
              <w:rPr>
                <w:sz w:val="16"/>
                <w:szCs w:val="16"/>
              </w:rPr>
              <w:t>•  Seasonal transit routes create periods of low manpower utilisation and equipment availability</w:t>
            </w:r>
          </w:p>
          <w:p w14:paraId="1392A491" w14:textId="77777777" w:rsidR="00FD740C" w:rsidRDefault="00000000">
            <w:pPr>
              <w:spacing w:after="100"/>
            </w:pPr>
            <w:r>
              <w:rPr>
                <w:sz w:val="16"/>
                <w:szCs w:val="16"/>
              </w:rPr>
              <w:t>•  Houthi threat in Red Sea has reduced IOR business volume and intensified competition</w:t>
            </w:r>
          </w:p>
          <w:p w14:paraId="1392A492" w14:textId="77777777" w:rsidR="00FD740C" w:rsidRDefault="00000000">
            <w:pPr>
              <w:spacing w:after="100"/>
            </w:pPr>
            <w:r>
              <w:rPr>
                <w:sz w:val="16"/>
                <w:szCs w:val="16"/>
              </w:rPr>
              <w:t>•  SEV supplier ability to meet compliance and due diligence standards remains inconsistent in WAF</w:t>
            </w:r>
          </w:p>
          <w:p w14:paraId="1392A493" w14:textId="77777777" w:rsidR="00FD740C" w:rsidRDefault="00000000">
            <w:pPr>
              <w:spacing w:after="100"/>
            </w:pPr>
            <w:r>
              <w:rPr>
                <w:sz w:val="16"/>
                <w:szCs w:val="16"/>
              </w:rPr>
              <w:t>•  Limited experience in offshore and salvage operations requires new recruitment and upskilling</w:t>
            </w:r>
          </w:p>
          <w:p w14:paraId="1392A494" w14:textId="77777777" w:rsidR="00FD740C" w:rsidRDefault="00000000">
            <w:pPr>
              <w:spacing w:after="100"/>
            </w:pPr>
            <w:r>
              <w:rPr>
                <w:sz w:val="16"/>
                <w:szCs w:val="16"/>
              </w:rPr>
              <w:t>•  Rising operational costs versus decreasing task prices squeezing margins across the business</w:t>
            </w:r>
          </w:p>
          <w:p w14:paraId="1392A495" w14:textId="77777777" w:rsidR="00FD740C" w:rsidRDefault="00000000">
            <w:pPr>
              <w:spacing w:after="100"/>
            </w:pPr>
            <w:r>
              <w:rPr>
                <w:sz w:val="16"/>
                <w:szCs w:val="16"/>
              </w:rPr>
              <w:t>•  H&amp;S culture still maturing — historical focus on security compliance over occupational health</w:t>
            </w:r>
          </w:p>
          <w:p w14:paraId="1392A496" w14:textId="77777777" w:rsidR="00FD740C" w:rsidRDefault="00000000">
            <w:pPr>
              <w:spacing w:after="100"/>
            </w:pPr>
            <w:r>
              <w:rPr>
                <w:sz w:val="16"/>
                <w:szCs w:val="16"/>
              </w:rPr>
              <w:t>•  Incident reporting rates from deployed teams could be improved (near-miss under-reporting)</w:t>
            </w:r>
          </w:p>
          <w:p w14:paraId="1392A497" w14:textId="77777777" w:rsidR="00FD740C" w:rsidRDefault="00000000">
            <w:pPr>
              <w:spacing w:after="100"/>
            </w:pPr>
            <w:r>
              <w:rPr>
                <w:sz w:val="16"/>
                <w:szCs w:val="16"/>
              </w:rPr>
              <w:t>•  Remote and dispersed workforce makes consistent communication and culture-building challenging</w:t>
            </w:r>
          </w:p>
          <w:p w14:paraId="1392A498" w14:textId="77777777" w:rsidR="00FD740C" w:rsidRDefault="00000000">
            <w:pPr>
              <w:spacing w:after="100"/>
            </w:pPr>
            <w:r>
              <w:rPr>
                <w:sz w:val="16"/>
                <w:szCs w:val="16"/>
              </w:rPr>
              <w:t>•  No dedicated H&amp;S officer role — function sits within Group Compliance Director remit</w:t>
            </w:r>
          </w:p>
          <w:p w14:paraId="1392A499" w14:textId="77777777" w:rsidR="00FD740C" w:rsidRDefault="00000000">
            <w:pPr>
              <w:spacing w:after="100"/>
            </w:pPr>
            <w:r>
              <w:rPr>
                <w:sz w:val="16"/>
                <w:szCs w:val="16"/>
              </w:rPr>
              <w:t>•  Compliance bypass pattern from ownership/directors creates risk when operational decisions are made without compliance input</w:t>
            </w:r>
          </w:p>
          <w:p w14:paraId="1392A49A" w14:textId="77777777" w:rsidR="00FD740C" w:rsidRDefault="00000000">
            <w:r>
              <w:rPr>
                <w:sz w:val="16"/>
                <w:szCs w:val="16"/>
              </w:rPr>
              <w:t>•  Document control and management system maturity still being built up from a low base</w:t>
            </w:r>
          </w:p>
        </w:tc>
      </w:tr>
      <w:tr w:rsidR="00FD740C" w14:paraId="1392A49E" w14:textId="77777777">
        <w:tblPrEx>
          <w:tblCellMar>
            <w:top w:w="0" w:type="dxa"/>
            <w:bottom w:w="0" w:type="dxa"/>
          </w:tblCellMar>
        </w:tblPrEx>
        <w:tc>
          <w:tcPr>
            <w:tcW w:w="4513" w:type="dxa"/>
            <w:tcBorders>
              <w:top w:val="single" w:sz="1" w:space="0" w:color="003C72"/>
              <w:left w:val="single" w:sz="1" w:space="0" w:color="003C72"/>
              <w:bottom w:val="single" w:sz="1" w:space="0" w:color="003C72"/>
              <w:right w:val="single" w:sz="1" w:space="0" w:color="003C72"/>
            </w:tcBorders>
            <w:shd w:val="clear" w:color="auto" w:fill="1565C0"/>
            <w:tcMar>
              <w:top w:w="80" w:type="dxa"/>
              <w:left w:w="120" w:type="dxa"/>
              <w:bottom w:w="80" w:type="dxa"/>
              <w:right w:w="120" w:type="dxa"/>
            </w:tcMar>
            <w:vAlign w:val="center"/>
          </w:tcPr>
          <w:p w14:paraId="1392A49C" w14:textId="77777777" w:rsidR="00FD740C" w:rsidRDefault="00000000">
            <w:pPr>
              <w:jc w:val="center"/>
            </w:pPr>
            <w:r>
              <w:rPr>
                <w:b/>
                <w:bCs/>
                <w:color w:val="FFFFFF"/>
                <w:sz w:val="22"/>
                <w:szCs w:val="22"/>
              </w:rPr>
              <w:t>OPPORTUNITIES</w:t>
            </w:r>
          </w:p>
        </w:tc>
        <w:tc>
          <w:tcPr>
            <w:tcW w:w="4513" w:type="dxa"/>
            <w:tcBorders>
              <w:top w:val="single" w:sz="1" w:space="0" w:color="003C72"/>
              <w:left w:val="single" w:sz="1" w:space="0" w:color="003C72"/>
              <w:bottom w:val="single" w:sz="1" w:space="0" w:color="003C72"/>
              <w:right w:val="single" w:sz="1" w:space="0" w:color="003C72"/>
            </w:tcBorders>
            <w:shd w:val="clear" w:color="auto" w:fill="E65100"/>
            <w:tcMar>
              <w:top w:w="80" w:type="dxa"/>
              <w:left w:w="120" w:type="dxa"/>
              <w:bottom w:w="80" w:type="dxa"/>
              <w:right w:w="120" w:type="dxa"/>
            </w:tcMar>
            <w:vAlign w:val="center"/>
          </w:tcPr>
          <w:p w14:paraId="1392A49D" w14:textId="77777777" w:rsidR="00FD740C" w:rsidRDefault="00000000">
            <w:pPr>
              <w:jc w:val="center"/>
            </w:pPr>
            <w:r>
              <w:rPr>
                <w:b/>
                <w:bCs/>
                <w:color w:val="FFFFFF"/>
                <w:sz w:val="22"/>
                <w:szCs w:val="22"/>
              </w:rPr>
              <w:t>THREATS</w:t>
            </w:r>
          </w:p>
        </w:tc>
      </w:tr>
      <w:tr w:rsidR="00FD740C" w14:paraId="1392A4B8" w14:textId="77777777">
        <w:tblPrEx>
          <w:tblCellMar>
            <w:top w:w="0" w:type="dxa"/>
            <w:bottom w:w="0" w:type="dxa"/>
          </w:tblCellMar>
        </w:tblPrEx>
        <w:tc>
          <w:tcPr>
            <w:tcW w:w="4513" w:type="dxa"/>
            <w:tcBorders>
              <w:top w:val="single" w:sz="1" w:space="0" w:color="003C72"/>
              <w:left w:val="single" w:sz="1" w:space="0" w:color="003C72"/>
              <w:bottom w:val="single" w:sz="1" w:space="0" w:color="003C72"/>
              <w:right w:val="single" w:sz="1" w:space="0" w:color="003C72"/>
            </w:tcBorders>
            <w:shd w:val="clear" w:color="auto" w:fill="E3F2FD"/>
            <w:tcMar>
              <w:top w:w="100" w:type="dxa"/>
              <w:left w:w="120" w:type="dxa"/>
              <w:bottom w:w="100" w:type="dxa"/>
              <w:right w:w="120" w:type="dxa"/>
            </w:tcMar>
          </w:tcPr>
          <w:p w14:paraId="1392A49F" w14:textId="77777777" w:rsidR="00FD740C" w:rsidRDefault="00000000">
            <w:pPr>
              <w:spacing w:after="100"/>
            </w:pPr>
            <w:r>
              <w:rPr>
                <w:sz w:val="16"/>
                <w:szCs w:val="16"/>
              </w:rPr>
              <w:t>•  Iran conflict and Hormuz disruption may dramatically increase demand for maritime security, risk advisory and alternative route protection services</w:t>
            </w:r>
          </w:p>
          <w:p w14:paraId="1392A4A0" w14:textId="77777777" w:rsidR="00FD740C" w:rsidRDefault="00000000">
            <w:pPr>
              <w:spacing w:after="100"/>
            </w:pPr>
            <w:r>
              <w:rPr>
                <w:sz w:val="16"/>
                <w:szCs w:val="16"/>
              </w:rPr>
              <w:t>•  Shipping rerouting around the Cape of Good Hope extends transit times and creates new security demand on longer voyages</w:t>
            </w:r>
          </w:p>
          <w:p w14:paraId="1392A4A1" w14:textId="77777777" w:rsidR="00FD740C" w:rsidRDefault="00000000">
            <w:pPr>
              <w:spacing w:after="100"/>
            </w:pPr>
            <w:r>
              <w:rPr>
                <w:sz w:val="16"/>
                <w:szCs w:val="16"/>
              </w:rPr>
              <w:t>•  Clients may seek PMSCs with strong compliance credentials and crisis management capability — Seagull’s certification portfolio is a significant differentiator</w:t>
            </w:r>
          </w:p>
          <w:p w14:paraId="1392A4A2" w14:textId="77777777" w:rsidR="00FD740C" w:rsidRDefault="00000000">
            <w:pPr>
              <w:spacing w:after="100"/>
            </w:pPr>
            <w:r>
              <w:rPr>
                <w:sz w:val="16"/>
                <w:szCs w:val="16"/>
              </w:rPr>
              <w:t>•  PMSCs merging or exiting the industry due to conflict disruption may create new client acquisition opportunities</w:t>
            </w:r>
          </w:p>
          <w:p w14:paraId="1392A4A3" w14:textId="77777777" w:rsidR="00FD740C" w:rsidRDefault="00000000">
            <w:pPr>
              <w:spacing w:after="100"/>
            </w:pPr>
            <w:r>
              <w:rPr>
                <w:sz w:val="16"/>
                <w:szCs w:val="16"/>
              </w:rPr>
              <w:t>•  Collaboration with Vanguard Tech to offer combined service models and shared compliance infrastructure</w:t>
            </w:r>
          </w:p>
          <w:p w14:paraId="1392A4A4" w14:textId="77777777" w:rsidR="00FD740C" w:rsidRDefault="00000000">
            <w:pPr>
              <w:spacing w:after="100"/>
            </w:pPr>
            <w:r>
              <w:rPr>
                <w:sz w:val="16"/>
                <w:szCs w:val="16"/>
              </w:rPr>
              <w:lastRenderedPageBreak/>
              <w:t>•  Purchase of own SEVs in WAF would strengthen business model and improve safety control over supply chain</w:t>
            </w:r>
          </w:p>
          <w:p w14:paraId="1392A4A5" w14:textId="77777777" w:rsidR="00FD740C" w:rsidRDefault="00000000">
            <w:pPr>
              <w:spacing w:after="100"/>
            </w:pPr>
            <w:r>
              <w:rPr>
                <w:sz w:val="16"/>
                <w:szCs w:val="16"/>
              </w:rPr>
              <w:t>•  Growing client demand for integrated, all-inclusive service partnerships (security + offshore + risk management)</w:t>
            </w:r>
          </w:p>
          <w:p w14:paraId="1392A4A6" w14:textId="77777777" w:rsidR="00FD740C" w:rsidRDefault="00000000">
            <w:pPr>
              <w:spacing w:after="100"/>
            </w:pPr>
            <w:r>
              <w:rPr>
                <w:sz w:val="16"/>
                <w:szCs w:val="16"/>
              </w:rPr>
              <w:t>•  Emergent platform can be commercialised as a compliance and training tool for other PMSCs and maritime operators</w:t>
            </w:r>
          </w:p>
          <w:p w14:paraId="1392A4A7" w14:textId="77777777" w:rsidR="00FD740C" w:rsidRDefault="00000000">
            <w:pPr>
              <w:spacing w:after="100"/>
            </w:pPr>
            <w:r>
              <w:rPr>
                <w:sz w:val="16"/>
                <w:szCs w:val="16"/>
              </w:rPr>
              <w:t>•  Salvage operations represent new revenue stream — conflict-related vessel damage may increase salvage demand</w:t>
            </w:r>
          </w:p>
          <w:p w14:paraId="1392A4A8" w14:textId="77777777" w:rsidR="00FD740C" w:rsidRDefault="00000000">
            <w:pPr>
              <w:spacing w:after="100"/>
            </w:pPr>
            <w:r>
              <w:rPr>
                <w:sz w:val="16"/>
                <w:szCs w:val="16"/>
              </w:rPr>
              <w:t>•  Shell relationship and best-in-class compliance programme can attract other major oil and gas clients seeking reliable partners during crisis</w:t>
            </w:r>
          </w:p>
          <w:p w14:paraId="1392A4A9" w14:textId="77777777" w:rsidR="00FD740C" w:rsidRDefault="00000000">
            <w:pPr>
              <w:spacing w:after="100"/>
            </w:pPr>
            <w:r>
              <w:rPr>
                <w:sz w:val="16"/>
                <w:szCs w:val="16"/>
              </w:rPr>
              <w:t>•  45001 certification positions Seagull ahead of competitors who lack formal OH&amp;S management during heightened risk period</w:t>
            </w:r>
          </w:p>
          <w:p w14:paraId="1392A4AA" w14:textId="77777777" w:rsidR="00FD740C" w:rsidRDefault="00000000">
            <w:r>
              <w:rPr>
                <w:sz w:val="16"/>
                <w:szCs w:val="16"/>
              </w:rPr>
              <w:t>•  Offshore and fisheries protection expansion diversifies revenue away from conflict-affected PMSC transit operations</w:t>
            </w:r>
          </w:p>
        </w:tc>
        <w:tc>
          <w:tcPr>
            <w:tcW w:w="4513" w:type="dxa"/>
            <w:tcBorders>
              <w:top w:val="single" w:sz="1" w:space="0" w:color="003C72"/>
              <w:left w:val="single" w:sz="1" w:space="0" w:color="003C72"/>
              <w:bottom w:val="single" w:sz="1" w:space="0" w:color="003C72"/>
              <w:right w:val="single" w:sz="1" w:space="0" w:color="003C72"/>
            </w:tcBorders>
            <w:shd w:val="clear" w:color="auto" w:fill="FFF3E0"/>
            <w:tcMar>
              <w:top w:w="100" w:type="dxa"/>
              <w:left w:w="120" w:type="dxa"/>
              <w:bottom w:w="100" w:type="dxa"/>
              <w:right w:w="120" w:type="dxa"/>
            </w:tcMar>
          </w:tcPr>
          <w:p w14:paraId="1392A4AB" w14:textId="77777777" w:rsidR="00FD740C" w:rsidRDefault="00000000">
            <w:pPr>
              <w:spacing w:after="100"/>
            </w:pPr>
            <w:r>
              <w:rPr>
                <w:sz w:val="16"/>
                <w:szCs w:val="16"/>
              </w:rPr>
              <w:lastRenderedPageBreak/>
              <w:t>•  Iran war has made the Strait of Hormuz and Persian Gulf effectively untenable for unescorted commercial transit — 21+ merchant vessel attacks since 28 February 2026</w:t>
            </w:r>
          </w:p>
          <w:p w14:paraId="1392A4AC" w14:textId="77777777" w:rsidR="00FD740C" w:rsidRDefault="00000000">
            <w:pPr>
              <w:spacing w:after="100"/>
            </w:pPr>
            <w:r>
              <w:rPr>
                <w:sz w:val="16"/>
                <w:szCs w:val="16"/>
              </w:rPr>
              <w:t>•  War risk insurance costs at historic highs (5-10% of hull value) may make some client operations economically unviable</w:t>
            </w:r>
          </w:p>
          <w:p w14:paraId="1392A4AD" w14:textId="77777777" w:rsidR="00FD740C" w:rsidRDefault="00000000">
            <w:pPr>
              <w:spacing w:after="100"/>
            </w:pPr>
            <w:r>
              <w:rPr>
                <w:sz w:val="16"/>
                <w:szCs w:val="16"/>
              </w:rPr>
              <w:t>•  VBA operations in Gulf of Oman directly affected by conflict zone — weapons embarkation/disembarkation may be disrupted or impossible</w:t>
            </w:r>
          </w:p>
          <w:p w14:paraId="1392A4AE" w14:textId="77777777" w:rsidR="00FD740C" w:rsidRDefault="00000000">
            <w:pPr>
              <w:spacing w:after="100"/>
            </w:pPr>
            <w:r>
              <w:rPr>
                <w:sz w:val="16"/>
                <w:szCs w:val="16"/>
              </w:rPr>
              <w:t>•  Escalation of Iran conflict to wider GCC region could affect Dubai operations and Seagull parent company</w:t>
            </w:r>
          </w:p>
          <w:p w14:paraId="1392A4AF" w14:textId="77777777" w:rsidR="00FD740C" w:rsidRDefault="00000000">
            <w:pPr>
              <w:spacing w:after="100"/>
            </w:pPr>
            <w:r>
              <w:rPr>
                <w:sz w:val="16"/>
                <w:szCs w:val="16"/>
              </w:rPr>
              <w:t>•  GPS spoofing and AIS interference across Arabian Gulf creates navigation safety risk for all vessel operations in the region</w:t>
            </w:r>
          </w:p>
          <w:p w14:paraId="1392A4B0" w14:textId="77777777" w:rsidR="00FD740C" w:rsidRDefault="00000000">
            <w:pPr>
              <w:spacing w:after="100"/>
            </w:pPr>
            <w:r>
              <w:rPr>
                <w:sz w:val="16"/>
                <w:szCs w:val="16"/>
              </w:rPr>
              <w:lastRenderedPageBreak/>
              <w:t>•  Aggressive competitor pricing in remaining active regions risks undermining safety and compliance investment</w:t>
            </w:r>
          </w:p>
          <w:p w14:paraId="1392A4B1" w14:textId="77777777" w:rsidR="00FD740C" w:rsidRDefault="00000000">
            <w:pPr>
              <w:spacing w:after="100"/>
            </w:pPr>
            <w:r>
              <w:rPr>
                <w:sz w:val="16"/>
                <w:szCs w:val="16"/>
              </w:rPr>
              <w:t>•  Client poaching by competitors offering lower prices threatens existing revenue base</w:t>
            </w:r>
          </w:p>
          <w:p w14:paraId="1392A4B2" w14:textId="77777777" w:rsidR="00FD740C" w:rsidRDefault="00000000">
            <w:pPr>
              <w:spacing w:after="100"/>
            </w:pPr>
            <w:r>
              <w:rPr>
                <w:sz w:val="16"/>
                <w:szCs w:val="16"/>
              </w:rPr>
              <w:t>•  Russia/Ukraine conflict escalation could affect Ukrainian-based remote workers and Black Sea transit operations</w:t>
            </w:r>
          </w:p>
          <w:p w14:paraId="1392A4B3" w14:textId="77777777" w:rsidR="00FD740C" w:rsidRDefault="00000000">
            <w:pPr>
              <w:spacing w:after="100"/>
            </w:pPr>
            <w:r>
              <w:rPr>
                <w:sz w:val="16"/>
                <w:szCs w:val="16"/>
              </w:rPr>
              <w:t>•  Serious H&amp;S incident (injury, fatality) in heightened-risk environment would have catastrophic reputational, legal and certification consequences</w:t>
            </w:r>
          </w:p>
          <w:p w14:paraId="1392A4B4" w14:textId="77777777" w:rsidR="00FD740C" w:rsidRDefault="00000000">
            <w:pPr>
              <w:spacing w:after="100"/>
            </w:pPr>
            <w:r>
              <w:rPr>
                <w:sz w:val="16"/>
                <w:szCs w:val="16"/>
              </w:rPr>
              <w:t>•  Client audit failures (e.g. Shell, Glencore) could result in contract termination and market reputation damage</w:t>
            </w:r>
          </w:p>
          <w:p w14:paraId="1392A4B5" w14:textId="77777777" w:rsidR="00FD740C" w:rsidRDefault="00000000">
            <w:pPr>
              <w:spacing w:after="100"/>
            </w:pPr>
            <w:r>
              <w:rPr>
                <w:sz w:val="16"/>
                <w:szCs w:val="16"/>
              </w:rPr>
              <w:t>•  Failure to maintain compliance standards during crisis period would erode market-leading position</w:t>
            </w:r>
          </w:p>
          <w:p w14:paraId="1392A4B6" w14:textId="77777777" w:rsidR="00FD740C" w:rsidRDefault="00000000">
            <w:pPr>
              <w:spacing w:after="100"/>
            </w:pPr>
            <w:r>
              <w:rPr>
                <w:sz w:val="16"/>
                <w:szCs w:val="16"/>
              </w:rPr>
              <w:t>•  Regulatory changes or emergency restrictions in key jurisdictions could impose new requirements or restrict operations at short notice</w:t>
            </w:r>
          </w:p>
          <w:p w14:paraId="1392A4B7" w14:textId="77777777" w:rsidR="00FD740C" w:rsidRDefault="00000000">
            <w:r>
              <w:rPr>
                <w:sz w:val="16"/>
                <w:szCs w:val="16"/>
              </w:rPr>
              <w:t>•  Prolonged Hormuz closure could reshape global shipping patterns permanently, reducing demand in traditional Seagull operating areas</w:t>
            </w:r>
          </w:p>
        </w:tc>
      </w:tr>
    </w:tbl>
    <w:p w14:paraId="1392A4B9" w14:textId="77777777" w:rsidR="00FD740C" w:rsidRDefault="00000000">
      <w:r>
        <w:lastRenderedPageBreak/>
        <w:br w:type="page"/>
      </w:r>
    </w:p>
    <w:p w14:paraId="1392A4BA" w14:textId="77777777" w:rsidR="00FD740C" w:rsidRDefault="00000000">
      <w:pPr>
        <w:spacing w:before="360" w:after="200"/>
      </w:pPr>
      <w:r>
        <w:rPr>
          <w:b/>
          <w:bCs/>
          <w:caps/>
          <w:color w:val="003C72"/>
          <w:sz w:val="28"/>
          <w:szCs w:val="28"/>
        </w:rPr>
        <w:lastRenderedPageBreak/>
        <w:t>5. KEY FINDINGS AND ACTIONS</w:t>
      </w:r>
    </w:p>
    <w:p w14:paraId="1392A4BB" w14:textId="77777777" w:rsidR="00FD740C" w:rsidRDefault="00000000">
      <w:pPr>
        <w:spacing w:after="200" w:line="276" w:lineRule="auto"/>
        <w:jc w:val="both"/>
      </w:pPr>
      <w:r>
        <w:t>The following key themes emerge from the combined PESTLE and SWOT analysis and require ongoing management attention across the integrated management system:</w:t>
      </w:r>
    </w:p>
    <w:p w14:paraId="1392A4BC" w14:textId="77777777" w:rsidR="00FD740C" w:rsidRDefault="00000000">
      <w:pPr>
        <w:spacing w:before="240" w:after="160"/>
      </w:pPr>
      <w:r>
        <w:rPr>
          <w:b/>
          <w:bCs/>
          <w:color w:val="003C72"/>
          <w:sz w:val="24"/>
          <w:szCs w:val="24"/>
        </w:rPr>
        <w:t>5.1 Iran Conflict and Strait of Hormuz Crisis</w:t>
      </w:r>
    </w:p>
    <w:p w14:paraId="1392A4BD" w14:textId="77777777" w:rsidR="00FD740C" w:rsidRDefault="00000000">
      <w:pPr>
        <w:spacing w:after="200" w:line="276" w:lineRule="auto"/>
        <w:jc w:val="both"/>
      </w:pPr>
      <w:r>
        <w:t>The US/Israeli military strikes on Iran (28 February 2026) and subsequent Iranian retaliation represent the most significant change to the maritime operating environment in decades. The Strait of Hormuz — through which 20% of global seaborne oil transits — is effectively closed to normal commercial traffic, with Iran conducting 21+ confirmed attacks on merchant vessels and imposing a selective passage toll regime. War risk insurance has reached 5-10% of hull value, commercial transit has collapsed from 130 to single-digit transits per day, and UKMTO is issuing daily advisories at critical risk level.</w:t>
      </w:r>
    </w:p>
    <w:p w14:paraId="1392A4BE" w14:textId="77777777" w:rsidR="00FD740C" w:rsidRDefault="00000000">
      <w:pPr>
        <w:spacing w:after="200" w:line="276" w:lineRule="auto"/>
        <w:jc w:val="both"/>
      </w:pPr>
      <w:r>
        <w:t>For Seagull Maritime, this directly affects VBA operations in the Gulf of Oman, IOR transit routes, personnel safety in the wider Arabian Gulf, and potentially the Dubai parent company operations. All risk assessments for Persian Gulf, Gulf of Oman and western Indian Ocean operations must be immediately reviewed. No personnel are to be deployed into the active conflict zone without explicit risk assessment and management approval. The management of change process must be applied to any operational decisions relating to conflict-affected areas.</w:t>
      </w:r>
    </w:p>
    <w:p w14:paraId="1392A4BF" w14:textId="77777777" w:rsidR="00FD740C" w:rsidRDefault="00000000">
      <w:pPr>
        <w:spacing w:before="240" w:after="160"/>
      </w:pPr>
      <w:r>
        <w:rPr>
          <w:b/>
          <w:bCs/>
          <w:color w:val="003C72"/>
          <w:sz w:val="24"/>
          <w:szCs w:val="24"/>
        </w:rPr>
        <w:t>5.2 Russia/Ukraine and Black Sea</w:t>
      </w:r>
    </w:p>
    <w:p w14:paraId="1392A4C0" w14:textId="77777777" w:rsidR="00FD740C" w:rsidRDefault="00000000">
      <w:pPr>
        <w:spacing w:after="200" w:line="276" w:lineRule="auto"/>
        <w:jc w:val="both"/>
      </w:pPr>
      <w:r>
        <w:t>The Russia/Ukraine war continues to create maritime security threats in the Black Sea, with both sides targeting vessels and terminals. GPS spoofing and AIS interference are intensifying. The Russian shadow fleet (1,300+ identified vessels) presents sanctions evasion and environmental risks. This directly affects Seagull’s Ukrainian-based remote workers and any future Black Sea operational requirements. Personnel welfare checks and contingency planning for Ukrainian staff must be maintained.</w:t>
      </w:r>
    </w:p>
    <w:p w14:paraId="1392A4C1" w14:textId="77777777" w:rsidR="00FD740C" w:rsidRDefault="00000000">
      <w:pPr>
        <w:spacing w:before="240" w:after="160"/>
      </w:pPr>
      <w:r>
        <w:rPr>
          <w:b/>
          <w:bCs/>
          <w:color w:val="003C72"/>
          <w:sz w:val="24"/>
          <w:szCs w:val="24"/>
        </w:rPr>
        <w:t>5.3 Cost Pressure vs Compliance Investment</w:t>
      </w:r>
    </w:p>
    <w:p w14:paraId="1392A4C2" w14:textId="77777777" w:rsidR="00FD740C" w:rsidRDefault="00000000">
      <w:pPr>
        <w:spacing w:after="200" w:line="276" w:lineRule="auto"/>
        <w:jc w:val="both"/>
      </w:pPr>
      <w:r>
        <w:t>The Iran conflict has simultaneously increased operational risk and created economic disruption that may squeeze client budgets. Aggressive market competition in remaining active regions adds further pressure. The organisation must ensure that cost management decisions do not compromise investment in PPE, training, welfare, safety equipment, quality systems or audit programmes. In a heightened-risk environment, safety and compliance spending must increase, not decrease. This is a standing agenda item for management review.</w:t>
      </w:r>
    </w:p>
    <w:p w14:paraId="1392A4C3" w14:textId="77777777" w:rsidR="00FD740C" w:rsidRDefault="00000000">
      <w:pPr>
        <w:spacing w:before="240" w:after="160"/>
      </w:pPr>
      <w:r>
        <w:rPr>
          <w:b/>
          <w:bCs/>
          <w:color w:val="003C72"/>
          <w:sz w:val="24"/>
          <w:szCs w:val="24"/>
        </w:rPr>
        <w:t>5.4 Health, Safety and Welfare Culture</w:t>
      </w:r>
    </w:p>
    <w:p w14:paraId="1392A4C4" w14:textId="77777777" w:rsidR="00FD740C" w:rsidRDefault="00000000">
      <w:pPr>
        <w:spacing w:after="200" w:line="276" w:lineRule="auto"/>
        <w:jc w:val="both"/>
      </w:pPr>
      <w:r>
        <w:t>The OH&amp;S management system is maturing. Historical emphasis on security compliance must be balanced with proactive occupational health management, including mental health and welfare of deployed personnel, fatigue management, heat stress controls and near-miss reporting culture. The Emergent HSE App and LMS platform are key tools in driving this cultural shift across all operations and locations.</w:t>
      </w:r>
    </w:p>
    <w:p w14:paraId="4040BD8A" w14:textId="77777777" w:rsidR="007F2033" w:rsidRDefault="007F2033">
      <w:pPr>
        <w:spacing w:after="200" w:line="276" w:lineRule="auto"/>
        <w:jc w:val="both"/>
      </w:pPr>
    </w:p>
    <w:p w14:paraId="2FFBA6D3" w14:textId="77777777" w:rsidR="007F2033" w:rsidRDefault="007F2033">
      <w:pPr>
        <w:spacing w:after="200" w:line="276" w:lineRule="auto"/>
        <w:jc w:val="both"/>
      </w:pPr>
    </w:p>
    <w:p w14:paraId="1392A4C5" w14:textId="77777777" w:rsidR="00FD740C" w:rsidRDefault="00000000">
      <w:pPr>
        <w:spacing w:before="240" w:after="160"/>
      </w:pPr>
      <w:r>
        <w:rPr>
          <w:b/>
          <w:bCs/>
          <w:color w:val="003C72"/>
          <w:sz w:val="24"/>
          <w:szCs w:val="24"/>
        </w:rPr>
        <w:lastRenderedPageBreak/>
        <w:t>5.5 Service Line Expansion</w:t>
      </w:r>
    </w:p>
    <w:p w14:paraId="1392A4C6" w14:textId="77777777" w:rsidR="00FD740C" w:rsidRDefault="00000000">
      <w:pPr>
        <w:spacing w:after="200" w:line="276" w:lineRule="auto"/>
        <w:jc w:val="both"/>
      </w:pPr>
      <w:proofErr w:type="gramStart"/>
      <w:r>
        <w:t>Offshore protection,</w:t>
      </w:r>
      <w:proofErr w:type="gramEnd"/>
      <w:r>
        <w:t xml:space="preserve"> expanded fisheries protection and salvage operations introduce new risk profiles across security, quality and H&amp;S that differ from traditional embarked maritime security. Each new activity must be subject to management of change assessment and risk evaluation before commencement, with appropriate competence requirements, safe systems of work, quality controls and emergency arrangements documented and implemented.</w:t>
      </w:r>
    </w:p>
    <w:p w14:paraId="1392A4C7" w14:textId="77777777" w:rsidR="00FD740C" w:rsidRDefault="00000000">
      <w:pPr>
        <w:spacing w:before="240" w:after="160"/>
      </w:pPr>
      <w:r>
        <w:rPr>
          <w:b/>
          <w:bCs/>
          <w:color w:val="003C72"/>
          <w:sz w:val="24"/>
          <w:szCs w:val="24"/>
        </w:rPr>
        <w:t>5.6 Multi-Jurisdictional Compliance</w:t>
      </w:r>
    </w:p>
    <w:p w14:paraId="1392A4C8" w14:textId="77777777" w:rsidR="00FD740C" w:rsidRDefault="00000000">
      <w:pPr>
        <w:spacing w:after="200" w:line="276" w:lineRule="auto"/>
        <w:jc w:val="both"/>
      </w:pPr>
      <w:r>
        <w:t>Operations across Malta, UAE, Greece, Nigeria, UK and at-sea locations create complex overlapping legal obligations covering worker health and safety, human rights, weapons regulation, data protection, anti-corruption and employment law. The integrated management system must capture the most stringent requirements applicable and ensure consistent application regardless of location or entity.</w:t>
      </w:r>
    </w:p>
    <w:p w14:paraId="1392A4C9" w14:textId="77777777" w:rsidR="00FD740C" w:rsidRDefault="00000000">
      <w:pPr>
        <w:spacing w:before="240" w:after="160"/>
      </w:pPr>
      <w:r>
        <w:rPr>
          <w:b/>
          <w:bCs/>
          <w:color w:val="003C72"/>
          <w:sz w:val="24"/>
          <w:szCs w:val="24"/>
        </w:rPr>
        <w:t>5.7 Compliance Governance</w:t>
      </w:r>
    </w:p>
    <w:p w14:paraId="1392A4CA" w14:textId="77777777" w:rsidR="00FD740C" w:rsidRDefault="00000000">
      <w:pPr>
        <w:spacing w:after="200" w:line="276" w:lineRule="auto"/>
        <w:jc w:val="both"/>
      </w:pPr>
      <w:r>
        <w:t>Operational decisions with compliance implications are sometimes made without consulting the Group Compliance Director. The management system must be sufficiently embedded that compliance requirements are understood and followed by all decision-makers, and that the compliance function has visibility of operational changes before they are implemented. Management of change procedures and the NCR/CAPA process are the primary controls for this risk.</w:t>
      </w:r>
    </w:p>
    <w:p w14:paraId="1392A4CB" w14:textId="77777777" w:rsidR="00FD740C" w:rsidRDefault="00000000">
      <w:pPr>
        <w:spacing w:before="360" w:after="200"/>
      </w:pPr>
      <w:r>
        <w:rPr>
          <w:b/>
          <w:bCs/>
          <w:caps/>
          <w:color w:val="003C72"/>
          <w:sz w:val="28"/>
          <w:szCs w:val="28"/>
        </w:rPr>
        <w:t>6. REFERENCES</w:t>
      </w:r>
    </w:p>
    <w:p w14:paraId="1392A4CC" w14:textId="77777777" w:rsidR="00FD740C" w:rsidRDefault="00000000">
      <w:pPr>
        <w:spacing w:after="80" w:line="276" w:lineRule="auto"/>
        <w:ind w:left="360"/>
        <w:jc w:val="both"/>
      </w:pPr>
      <w:r>
        <w:rPr>
          <w:b/>
          <w:bCs/>
        </w:rPr>
        <w:t>•  SM/HSE/DOC/001</w:t>
      </w:r>
      <w:r>
        <w:t xml:space="preserve"> — OH&amp;S Management System Scope Statement</w:t>
      </w:r>
    </w:p>
    <w:p w14:paraId="1392A4CD" w14:textId="77777777" w:rsidR="00FD740C" w:rsidRDefault="00000000">
      <w:pPr>
        <w:spacing w:after="80" w:line="276" w:lineRule="auto"/>
        <w:ind w:left="360"/>
        <w:jc w:val="both"/>
      </w:pPr>
      <w:r>
        <w:rPr>
          <w:b/>
          <w:bCs/>
        </w:rPr>
        <w:t>•  SM/HSE/REG/001</w:t>
      </w:r>
      <w:r>
        <w:t xml:space="preserve"> — Interested Parties Register</w:t>
      </w:r>
    </w:p>
    <w:p w14:paraId="1392A4CE" w14:textId="77777777" w:rsidR="00FD740C" w:rsidRDefault="00000000">
      <w:pPr>
        <w:spacing w:after="80" w:line="276" w:lineRule="auto"/>
        <w:ind w:left="360"/>
        <w:jc w:val="both"/>
      </w:pPr>
      <w:r>
        <w:rPr>
          <w:b/>
          <w:bCs/>
        </w:rPr>
        <w:t>•  SM/HSE/POL/001</w:t>
      </w:r>
      <w:r>
        <w:t xml:space="preserve"> — OH&amp;S Policy</w:t>
      </w:r>
    </w:p>
    <w:p w14:paraId="1392A4CF" w14:textId="77777777" w:rsidR="00FD740C" w:rsidRDefault="00000000">
      <w:pPr>
        <w:spacing w:after="80" w:line="276" w:lineRule="auto"/>
        <w:ind w:left="360"/>
        <w:jc w:val="both"/>
      </w:pPr>
      <w:r>
        <w:rPr>
          <w:b/>
          <w:bCs/>
        </w:rPr>
        <w:t>•  SM/INT/CMP/002</w:t>
      </w:r>
      <w:r>
        <w:t xml:space="preserve"> — Combined Work Programme</w:t>
      </w:r>
    </w:p>
    <w:p w14:paraId="1392A4D0" w14:textId="77777777" w:rsidR="00FD740C" w:rsidRDefault="00000000">
      <w:pPr>
        <w:spacing w:after="80" w:line="276" w:lineRule="auto"/>
        <w:ind w:left="360"/>
        <w:jc w:val="both"/>
      </w:pPr>
      <w:r>
        <w:rPr>
          <w:b/>
          <w:bCs/>
        </w:rPr>
        <w:t>•  SM/INT/REG/004</w:t>
      </w:r>
      <w:r>
        <w:t xml:space="preserve"> — NCR/OFI/CAPA Register</w:t>
      </w:r>
    </w:p>
    <w:p w14:paraId="1392A4D1" w14:textId="77777777" w:rsidR="00FD740C" w:rsidRDefault="00000000">
      <w:pPr>
        <w:spacing w:after="80" w:line="276" w:lineRule="auto"/>
        <w:ind w:left="360"/>
        <w:jc w:val="both"/>
      </w:pPr>
      <w:r>
        <w:rPr>
          <w:b/>
          <w:bCs/>
        </w:rPr>
        <w:t>•  SM/INT/PRO/001</w:t>
      </w:r>
      <w:r>
        <w:t xml:space="preserve"> — NCR/OFI/CAPA Management Procedure</w:t>
      </w:r>
    </w:p>
    <w:p w14:paraId="1392A4D2" w14:textId="77777777" w:rsidR="00FD740C" w:rsidRDefault="00000000">
      <w:pPr>
        <w:spacing w:after="80" w:line="276" w:lineRule="auto"/>
        <w:ind w:left="360"/>
        <w:jc w:val="both"/>
      </w:pPr>
      <w:r>
        <w:rPr>
          <w:b/>
          <w:bCs/>
        </w:rPr>
        <w:t>•  ISO 45001:2018</w:t>
      </w:r>
      <w:r>
        <w:t xml:space="preserve"> — Occupational health and safety management systems</w:t>
      </w:r>
    </w:p>
    <w:p w14:paraId="1392A4D3" w14:textId="77777777" w:rsidR="00FD740C" w:rsidRDefault="00000000">
      <w:pPr>
        <w:spacing w:after="80" w:line="276" w:lineRule="auto"/>
        <w:ind w:left="360"/>
        <w:jc w:val="both"/>
      </w:pPr>
      <w:r>
        <w:rPr>
          <w:b/>
          <w:bCs/>
        </w:rPr>
        <w:t>•  ISO 18788:2015</w:t>
      </w:r>
      <w:r>
        <w:t xml:space="preserve"> — Management system for private security operations</w:t>
      </w:r>
    </w:p>
    <w:p w14:paraId="1392A4D4" w14:textId="77777777" w:rsidR="00FD740C" w:rsidRDefault="00000000">
      <w:pPr>
        <w:spacing w:after="80" w:line="276" w:lineRule="auto"/>
        <w:ind w:left="360"/>
        <w:jc w:val="both"/>
      </w:pPr>
      <w:r>
        <w:rPr>
          <w:b/>
          <w:bCs/>
        </w:rPr>
        <w:t>•  ISO 28007-1:2015</w:t>
      </w:r>
      <w:r>
        <w:t xml:space="preserve"> — Ships and marine technology (PCASP)</w:t>
      </w:r>
    </w:p>
    <w:p w14:paraId="1392A4D5" w14:textId="77777777" w:rsidR="00FD740C" w:rsidRDefault="00000000">
      <w:pPr>
        <w:spacing w:after="80" w:line="276" w:lineRule="auto"/>
        <w:ind w:left="360"/>
        <w:jc w:val="both"/>
      </w:pPr>
      <w:r>
        <w:rPr>
          <w:b/>
          <w:bCs/>
        </w:rPr>
        <w:t>•  ISO 28000:2022</w:t>
      </w:r>
      <w:r>
        <w:t xml:space="preserve"> — Security management systems for the supply chain</w:t>
      </w:r>
    </w:p>
    <w:p w14:paraId="1392A4D6" w14:textId="77777777" w:rsidR="00FD740C" w:rsidRDefault="00000000">
      <w:pPr>
        <w:spacing w:after="80" w:line="276" w:lineRule="auto"/>
        <w:ind w:left="360"/>
        <w:jc w:val="both"/>
      </w:pPr>
      <w:r>
        <w:rPr>
          <w:b/>
          <w:bCs/>
        </w:rPr>
        <w:t>•  ISO 9001:2015</w:t>
      </w:r>
      <w:r>
        <w:t xml:space="preserve"> — Quality management systems</w:t>
      </w:r>
    </w:p>
    <w:p w14:paraId="1392A4D7" w14:textId="77777777" w:rsidR="00FD740C" w:rsidRDefault="00000000">
      <w:pPr>
        <w:spacing w:after="80" w:line="276" w:lineRule="auto"/>
        <w:ind w:left="360"/>
        <w:jc w:val="both"/>
      </w:pPr>
      <w:r>
        <w:rPr>
          <w:b/>
          <w:bCs/>
        </w:rPr>
        <w:t>•  BMP-MS</w:t>
      </w:r>
      <w:r>
        <w:t xml:space="preserve"> — Best Management Practices for Maritime Security</w:t>
      </w:r>
    </w:p>
    <w:p w14:paraId="1392A4D8" w14:textId="77777777" w:rsidR="00FD740C" w:rsidRDefault="00000000">
      <w:pPr>
        <w:spacing w:after="80" w:line="276" w:lineRule="auto"/>
        <w:ind w:left="360"/>
        <w:jc w:val="both"/>
      </w:pPr>
      <w:r>
        <w:rPr>
          <w:b/>
          <w:bCs/>
        </w:rPr>
        <w:t>•  MISTO</w:t>
      </w:r>
      <w:r>
        <w:t xml:space="preserve"> — Maritime Industry Standardised Threat Overview</w:t>
      </w:r>
    </w:p>
    <w:p w14:paraId="1392A4D9" w14:textId="77777777" w:rsidR="00FD740C" w:rsidRDefault="00FD740C">
      <w:pPr>
        <w:spacing w:after="40" w:line="276" w:lineRule="auto"/>
        <w:jc w:val="both"/>
      </w:pPr>
    </w:p>
    <w:p w14:paraId="1392A4DA" w14:textId="77777777" w:rsidR="00FD740C" w:rsidRDefault="00000000">
      <w:pPr>
        <w:spacing w:before="360" w:after="200"/>
      </w:pPr>
      <w:r>
        <w:rPr>
          <w:b/>
          <w:bCs/>
          <w:caps/>
          <w:color w:val="003C72"/>
          <w:sz w:val="28"/>
          <w:szCs w:val="28"/>
        </w:rPr>
        <w:t>7. REVIEW AND MAINTENANCE</w:t>
      </w:r>
    </w:p>
    <w:p w14:paraId="1392A4DB" w14:textId="77777777" w:rsidR="00FD740C" w:rsidRDefault="00000000">
      <w:pPr>
        <w:spacing w:after="200" w:line="276" w:lineRule="auto"/>
        <w:jc w:val="both"/>
      </w:pPr>
      <w:r>
        <w:lastRenderedPageBreak/>
        <w:t>This analysis shall be reviewed at least annually as part of the management review process, or sooner if triggered by significant changes in the operating environment, organisational structure, service portfolio, client requirements or regulatory framework. Reviews shall be documented and any changes to the context assessment shall be communicated to relevant interested parties and reflected in operational risk assessments across all management system disciplines.</w:t>
      </w:r>
    </w:p>
    <w:p w14:paraId="1392A4DC" w14:textId="77777777" w:rsidR="00FD740C" w:rsidRDefault="00000000">
      <w:pPr>
        <w:spacing w:after="200" w:line="276" w:lineRule="auto"/>
        <w:jc w:val="both"/>
      </w:pPr>
      <w:r>
        <w:t>In the event of a significant geopolitical event, armed conflict, regulatory change or major incident affecting the organisation’s operating environment, an emergency review of this document shall be initiated by the Group Compliance Director and presented to top management within 14 days.</w:t>
      </w:r>
    </w:p>
    <w:sectPr w:rsidR="00FD740C">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C435" w14:textId="77777777" w:rsidR="003F1E19" w:rsidRDefault="003F1E19">
      <w:r>
        <w:separator/>
      </w:r>
    </w:p>
  </w:endnote>
  <w:endnote w:type="continuationSeparator" w:id="0">
    <w:p w14:paraId="3EC70829" w14:textId="77777777" w:rsidR="003F1E19" w:rsidRDefault="003F1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A4E0" w14:textId="62B9B572" w:rsidR="00FD740C" w:rsidRDefault="00000000">
    <w:pPr>
      <w:pBdr>
        <w:top w:val="single" w:sz="6" w:space="4" w:color="003C72"/>
      </w:pBdr>
      <w:tabs>
        <w:tab w:val="center" w:pos="4513"/>
        <w:tab w:val="right" w:pos="9026"/>
      </w:tabs>
      <w:spacing w:before="60"/>
    </w:pPr>
    <w:r>
      <w:rPr>
        <w:color w:val="003C72"/>
        <w:sz w:val="14"/>
        <w:szCs w:val="14"/>
      </w:rPr>
      <w:t xml:space="preserve">Page </w:t>
    </w:r>
    <w:r>
      <w:rPr>
        <w:color w:val="003C72"/>
        <w:sz w:val="14"/>
        <w:szCs w:val="14"/>
      </w:rPr>
      <w:fldChar w:fldCharType="begin"/>
    </w:r>
    <w:r>
      <w:rPr>
        <w:color w:val="003C72"/>
        <w:sz w:val="14"/>
        <w:szCs w:val="14"/>
      </w:rPr>
      <w:instrText>PAGE</w:instrText>
    </w:r>
    <w:r>
      <w:rPr>
        <w:color w:val="003C72"/>
        <w:sz w:val="14"/>
        <w:szCs w:val="14"/>
      </w:rPr>
      <w:fldChar w:fldCharType="separate"/>
    </w:r>
    <w:r w:rsidR="007F2033">
      <w:rPr>
        <w:noProof/>
        <w:color w:val="003C72"/>
        <w:sz w:val="14"/>
        <w:szCs w:val="14"/>
      </w:rPr>
      <w:t>1</w:t>
    </w:r>
    <w:r>
      <w:rPr>
        <w:color w:val="003C72"/>
        <w:sz w:val="14"/>
        <w:szCs w:val="14"/>
      </w:rPr>
      <w:fldChar w:fldCharType="end"/>
    </w:r>
    <w:r>
      <w:rPr>
        <w:color w:val="003C72"/>
        <w:sz w:val="14"/>
        <w:szCs w:val="14"/>
      </w:rPr>
      <w:t xml:space="preserve"> of </w:t>
    </w:r>
    <w:r>
      <w:rPr>
        <w:color w:val="003C72"/>
        <w:sz w:val="14"/>
        <w:szCs w:val="14"/>
      </w:rPr>
      <w:fldChar w:fldCharType="begin"/>
    </w:r>
    <w:r>
      <w:rPr>
        <w:color w:val="003C72"/>
        <w:sz w:val="14"/>
        <w:szCs w:val="14"/>
      </w:rPr>
      <w:instrText>NUMPAGES</w:instrText>
    </w:r>
    <w:r>
      <w:rPr>
        <w:color w:val="003C72"/>
        <w:sz w:val="14"/>
        <w:szCs w:val="14"/>
      </w:rPr>
      <w:fldChar w:fldCharType="separate"/>
    </w:r>
    <w:r w:rsidR="007F2033">
      <w:rPr>
        <w:noProof/>
        <w:color w:val="003C72"/>
        <w:sz w:val="14"/>
        <w:szCs w:val="14"/>
      </w:rPr>
      <w:t>2</w:t>
    </w:r>
    <w:r>
      <w:rPr>
        <w:color w:val="003C72"/>
        <w:sz w:val="14"/>
        <w:szCs w:val="14"/>
      </w:rPr>
      <w:fldChar w:fldCharType="end"/>
    </w:r>
    <w:r>
      <w:rPr>
        <w:color w:val="003C72"/>
        <w:sz w:val="14"/>
        <w:szCs w:val="14"/>
      </w:rPr>
      <w:tab/>
      <w:t>UNCONTROLLED IF PRINTED OR DOWNLOADED</w:t>
    </w:r>
    <w:r>
      <w:rPr>
        <w:color w:val="003C72"/>
        <w:sz w:val="14"/>
        <w:szCs w:val="14"/>
      </w:rPr>
      <w:tab/>
      <w:t>SM/INT/DOC/002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77B65" w14:textId="77777777" w:rsidR="003F1E19" w:rsidRDefault="003F1E19">
      <w:r>
        <w:separator/>
      </w:r>
    </w:p>
  </w:footnote>
  <w:footnote w:type="continuationSeparator" w:id="0">
    <w:p w14:paraId="699DC728" w14:textId="77777777" w:rsidR="003F1E19" w:rsidRDefault="003F1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026"/>
    </w:tblGrid>
    <w:tr w:rsidR="00FD740C" w14:paraId="1392A4DF"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vAlign w:val="center"/>
        </w:tcPr>
        <w:p w14:paraId="1392A4DD" w14:textId="77777777" w:rsidR="00FD740C" w:rsidRDefault="00000000">
          <w:r>
            <w:rPr>
              <w:b/>
              <w:bCs/>
              <w:color w:val="42515A"/>
              <w:sz w:val="16"/>
              <w:szCs w:val="16"/>
            </w:rPr>
            <w:t>CONTEXT OF THE ORGANISATION</w:t>
          </w:r>
        </w:p>
      </w:tc>
      <w:tc>
        <w:tcPr>
          <w:tcW w:w="2026" w:type="dxa"/>
          <w:tcBorders>
            <w:top w:val="none" w:sz="0" w:space="0" w:color="FFFFFF"/>
            <w:left w:val="none" w:sz="0" w:space="0" w:color="FFFFFF"/>
            <w:bottom w:val="none" w:sz="0" w:space="0" w:color="FFFFFF"/>
            <w:right w:val="none" w:sz="0" w:space="0" w:color="FFFFFF"/>
          </w:tcBorders>
          <w:vAlign w:val="center"/>
        </w:tcPr>
        <w:p w14:paraId="1392A4DE" w14:textId="77777777" w:rsidR="00FD740C" w:rsidRDefault="00000000">
          <w:pPr>
            <w:jc w:val="right"/>
          </w:pPr>
          <w:r>
            <w:rPr>
              <w:noProof/>
            </w:rPr>
            <w:drawing>
              <wp:inline distT="0" distB="0" distL="0" distR="0" wp14:anchorId="1392A4E1" wp14:editId="1392A4E2">
                <wp:extent cx="762000" cy="762000"/>
                <wp:effectExtent l="0" t="0" r="0" b="0"/>
                <wp:docPr id="1" name="logo" descr="Seagull Maritime portrait logo" title="Seagull Mariti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A0519"/>
    <w:multiLevelType w:val="hybridMultilevel"/>
    <w:tmpl w:val="FF726CF4"/>
    <w:lvl w:ilvl="0" w:tplc="271CC604">
      <w:start w:val="1"/>
      <w:numFmt w:val="bullet"/>
      <w:lvlText w:val="●"/>
      <w:lvlJc w:val="left"/>
      <w:pPr>
        <w:ind w:left="720" w:hanging="360"/>
      </w:pPr>
    </w:lvl>
    <w:lvl w:ilvl="1" w:tplc="2DCC6434">
      <w:start w:val="1"/>
      <w:numFmt w:val="bullet"/>
      <w:lvlText w:val="○"/>
      <w:lvlJc w:val="left"/>
      <w:pPr>
        <w:ind w:left="1440" w:hanging="360"/>
      </w:pPr>
    </w:lvl>
    <w:lvl w:ilvl="2" w:tplc="A040579A">
      <w:start w:val="1"/>
      <w:numFmt w:val="bullet"/>
      <w:lvlText w:val="■"/>
      <w:lvlJc w:val="left"/>
      <w:pPr>
        <w:ind w:left="2160" w:hanging="360"/>
      </w:pPr>
    </w:lvl>
    <w:lvl w:ilvl="3" w:tplc="1B80582A">
      <w:start w:val="1"/>
      <w:numFmt w:val="bullet"/>
      <w:lvlText w:val="●"/>
      <w:lvlJc w:val="left"/>
      <w:pPr>
        <w:ind w:left="2880" w:hanging="360"/>
      </w:pPr>
    </w:lvl>
    <w:lvl w:ilvl="4" w:tplc="9470FA10">
      <w:start w:val="1"/>
      <w:numFmt w:val="bullet"/>
      <w:lvlText w:val="○"/>
      <w:lvlJc w:val="left"/>
      <w:pPr>
        <w:ind w:left="3600" w:hanging="360"/>
      </w:pPr>
    </w:lvl>
    <w:lvl w:ilvl="5" w:tplc="E6528994">
      <w:start w:val="1"/>
      <w:numFmt w:val="bullet"/>
      <w:lvlText w:val="■"/>
      <w:lvlJc w:val="left"/>
      <w:pPr>
        <w:ind w:left="4320" w:hanging="360"/>
      </w:pPr>
    </w:lvl>
    <w:lvl w:ilvl="6" w:tplc="78B88FA8">
      <w:start w:val="1"/>
      <w:numFmt w:val="bullet"/>
      <w:lvlText w:val="●"/>
      <w:lvlJc w:val="left"/>
      <w:pPr>
        <w:ind w:left="5040" w:hanging="360"/>
      </w:pPr>
    </w:lvl>
    <w:lvl w:ilvl="7" w:tplc="C298DCBA">
      <w:start w:val="1"/>
      <w:numFmt w:val="bullet"/>
      <w:lvlText w:val="●"/>
      <w:lvlJc w:val="left"/>
      <w:pPr>
        <w:ind w:left="5760" w:hanging="360"/>
      </w:pPr>
    </w:lvl>
    <w:lvl w:ilvl="8" w:tplc="685E3B42">
      <w:start w:val="1"/>
      <w:numFmt w:val="bullet"/>
      <w:lvlText w:val="●"/>
      <w:lvlJc w:val="left"/>
      <w:pPr>
        <w:ind w:left="6480" w:hanging="360"/>
      </w:pPr>
    </w:lvl>
  </w:abstractNum>
  <w:num w:numId="1" w16cid:durableId="1681665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40C"/>
    <w:rsid w:val="003F1E19"/>
    <w:rsid w:val="004E6B8E"/>
    <w:rsid w:val="007F2033"/>
    <w:rsid w:val="008205E6"/>
    <w:rsid w:val="00FD740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A409"/>
  <w15:docId w15:val="{8A43562F-1858-483C-8C07-C3B083D8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Avenir Next LT Pro" w:hAnsi="Avenir Next LT Pro" w:cs="Avenir Next LT Pro"/>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3419</Words>
  <Characters>19491</Characters>
  <Application>Microsoft Office Word</Application>
  <DocSecurity>0</DocSecurity>
  <Lines>162</Lines>
  <Paragraphs>45</Paragraphs>
  <ScaleCrop>false</ScaleCrop>
  <Company/>
  <LinksUpToDate>false</LinksUpToDate>
  <CharactersWithSpaces>22865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4</cp:revision>
  <cp:lastPrinted>2026-04-10T04:01:00Z</cp:lastPrinted>
  <dcterms:created xsi:type="dcterms:W3CDTF">2026-03-30T14:49:00Z</dcterms:created>
  <dcterms:modified xsi:type="dcterms:W3CDTF">2026-04-10T04:01:00Z</dcterms:modified>
</cp:coreProperties>
</file>