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drawing>
          <wp:inline distT="0" distB="0" distL="0" distR="0">
            <wp:extent cx="3333750" cy="1143000"/>
            <wp:effectExtent t="0" r="0" b="0" l="0"/>
            <wp:docPr id="1" name="cover-logo" descr="Seagull Maritim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143000"/>
                    </a:xfrm>
                    <a:prstGeom prst="rect">
                      <a:avLst/>
                    </a:prstGeom>
                  </pic:spPr>
                </pic:pic>
              </a:graphicData>
            </a:graphic>
          </wp:inline>
        </w:drawing>
      </w:r>
    </w:p>
    <w:p>
      <w:pPr>
        <w:pBdr>
          <w:bottom w:val="single" w:color="003C72" w:sz="24" w:space="8"/>
        </w:pBdr>
        <w:spacing w:before="200"/>
      </w:pPr>
    </w:p>
    <w:p>
      <w:pPr>
        <w:spacing w:before="400"/>
        <w:jc w:val="center"/>
      </w:pPr>
      <w:r>
        <w:rPr>
          <w:rFonts w:ascii="Avenir Next LT Pro" w:cs="Avenir Next LT Pro" w:eastAsia="Avenir Next LT Pro" w:hAnsi="Avenir Next LT Pro"/>
          <w:b/>
          <w:bCs/>
          <w:caps/>
          <w:color w:val="003C72"/>
          <w:sz w:val="48"/>
          <w:szCs w:val="48"/>
        </w:rPr>
        <w:t xml:space="preserve">DRUGS AND ALCOHOL POLICY</w:t>
      </w:r>
    </w:p>
    <w:p>
      <w:pPr>
        <w:spacing w:before="200"/>
        <w:jc w:val="center"/>
      </w:pPr>
      <w:r>
        <w:rPr>
          <w:rFonts w:ascii="Avenir Next LT Pro" w:cs="Avenir Next LT Pro" w:eastAsia="Avenir Next LT Pro" w:hAnsi="Avenir Next LT Pro"/>
          <w:color w:val="003C72"/>
          <w:sz w:val="24"/>
          <w:szCs w:val="24"/>
        </w:rPr>
        <w:t xml:space="preserve">SM/INT/POL/010 v1.0</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Document Reference</w:t>
            </w:r>
          </w:p>
        </w:tc>
        <w:tc>
          <w:tcPr>
            <w:tcW w:type="dxa" w:w="6426"/>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SM/INT/POL/010</w:t>
            </w:r>
          </w:p>
        </w:tc>
      </w:tr>
      <w:tr>
        <w:tc>
          <w:tcPr>
            <w:tcW w:type="dxa" w:w="260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Version</w:t>
            </w:r>
          </w:p>
        </w:tc>
        <w:tc>
          <w:tcPr>
            <w:tcW w:type="dxa" w:w="6426"/>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1.0</w:t>
            </w:r>
          </w:p>
        </w:tc>
      </w:tr>
      <w:tr>
        <w:tc>
          <w:tcPr>
            <w:tcW w:type="dxa" w:w="2600"/>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Title</w:t>
            </w:r>
          </w:p>
        </w:tc>
        <w:tc>
          <w:tcPr>
            <w:tcW w:type="dxa" w:w="6426"/>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Drugs and Alcohol Policy</w:t>
            </w:r>
          </w:p>
        </w:tc>
      </w:tr>
      <w:tr>
        <w:tc>
          <w:tcPr>
            <w:tcW w:type="dxa" w:w="260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Classification</w:t>
            </w:r>
          </w:p>
        </w:tc>
        <w:tc>
          <w:tcPr>
            <w:tcW w:type="dxa" w:w="6426"/>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Integrated (INT)</w:t>
            </w:r>
          </w:p>
        </w:tc>
      </w:tr>
      <w:tr>
        <w:tc>
          <w:tcPr>
            <w:tcW w:type="dxa" w:w="2600"/>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Owner</w:t>
            </w:r>
          </w:p>
        </w:tc>
        <w:tc>
          <w:tcPr>
            <w:tcW w:type="dxa" w:w="6426"/>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Group Compliance Director (GCD)</w:t>
            </w:r>
          </w:p>
        </w:tc>
      </w:tr>
      <w:tr>
        <w:tc>
          <w:tcPr>
            <w:tcW w:type="dxa" w:w="260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Approved By</w:t>
            </w:r>
          </w:p>
        </w:tc>
        <w:tc>
          <w:tcPr>
            <w:tcW w:type="dxa" w:w="6426"/>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Pavel Shparber, CEO
Darren Watts, GCD</w:t>
            </w:r>
          </w:p>
        </w:tc>
      </w:tr>
      <w:tr>
        <w:tc>
          <w:tcPr>
            <w:tcW w:type="dxa" w:w="2600"/>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Date Approved</w:t>
            </w:r>
          </w:p>
        </w:tc>
        <w:tc>
          <w:tcPr>
            <w:tcW w:type="dxa" w:w="6426"/>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08/04/2026</w:t>
            </w:r>
          </w:p>
        </w:tc>
      </w:tr>
      <w:tr>
        <w:tc>
          <w:tcPr>
            <w:tcW w:type="dxa" w:w="260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Review Date</w:t>
            </w:r>
          </w:p>
        </w:tc>
        <w:tc>
          <w:tcPr>
            <w:tcW w:type="dxa" w:w="6426"/>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08/04/2027</w:t>
            </w:r>
          </w:p>
        </w:tc>
      </w:tr>
      <w:tr>
        <w:tc>
          <w:tcPr>
            <w:tcW w:type="dxa" w:w="2600"/>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b/>
                <w:bCs/>
                <w:color w:val="003C72"/>
                <w:sz w:val="20"/>
                <w:szCs w:val="20"/>
              </w:rPr>
              <w:t xml:space="preserve">Supersedes</w:t>
            </w:r>
          </w:p>
        </w:tc>
        <w:tc>
          <w:tcPr>
            <w:tcW w:type="dxa" w:w="6426"/>
            <w:tcBorders>
              <w:top w:val="none" w:color="FFFFFF" w:sz="0"/>
              <w:left w:val="none" w:color="FFFFFF" w:sz="0"/>
              <w:bottom w:val="none" w:color="FFFFFF" w:sz="0"/>
              <w:right w:val="none" w:color="FFFFFF" w:sz="0"/>
            </w:tcBorders>
            <w:shd w:fill="E6EDF5" w:val="clear"/>
            <w:tcMar>
              <w:top w:type="dxa" w:w="40"/>
              <w:left w:type="dxa" w:w="120"/>
              <w:bottom w:type="dxa" w:w="40"/>
              <w:right w:type="dxa" w:w="120"/>
            </w:tcMar>
          </w:tcPr>
          <w:p>
            <w:r>
              <w:rPr>
                <w:rFonts w:ascii="Avenir Next LT Pro" w:cs="Avenir Next LT Pro" w:eastAsia="Avenir Next LT Pro" w:hAnsi="Avenir Next LT Pro"/>
                <w:sz w:val="20"/>
                <w:szCs w:val="20"/>
              </w:rPr>
              <w:t xml:space="preserve">Seagull Maritime Security Drugs and Alcohol Policy (September 2023)</w:t>
            </w:r>
          </w:p>
        </w:tc>
      </w:tr>
    </w:tbl>
    <w:p>
      <w:pPr>
        <w:spacing w:after="400"/>
      </w:pPr>
    </w:p>
    <w:p>
      <w:pPr>
        <w:pStyle w:val="Heading1"/>
        <w:spacing w:after="200" w:before="360"/>
      </w:pPr>
      <w:r>
        <w:rPr>
          <w:rFonts w:ascii="Avenir Next LT Pro" w:cs="Avenir Next LT Pro" w:eastAsia="Avenir Next LT Pro" w:hAnsi="Avenir Next LT Pro"/>
          <w:b/>
          <w:bCs/>
          <w:caps/>
          <w:color w:val="003C72"/>
          <w:sz w:val="28"/>
          <w:szCs w:val="28"/>
        </w:rPr>
        <w:t xml:space="preserve">1. Purpose</w:t>
      </w:r>
    </w:p>
    <w:p>
      <w:pPr>
        <w:spacing w:after="200" w:line="276"/>
        <w:jc w:val="both"/>
      </w:pPr>
      <w:r>
        <w:rPr>
          <w:rFonts w:ascii="Avenir Next LT Pro" w:cs="Avenir Next LT Pro" w:eastAsia="Avenir Next LT Pro" w:hAnsi="Avenir Next LT Pro"/>
          <w:sz w:val="20"/>
          <w:szCs w:val="20"/>
        </w:rPr>
        <w:t xml:space="preserve">This policy establishes Seagull Maritime’s commitment to maintaining drug-free and alcohol-free operations across all company activities. It defines the rules, expectations, and consequences applicable to all personnel and sets the framework for the Company’s testing and enforcement programme.</w:t>
      </w:r>
    </w:p>
    <w:p>
      <w:pPr>
        <w:spacing w:after="200" w:line="276"/>
        <w:jc w:val="both"/>
      </w:pPr>
      <w:r>
        <w:rPr>
          <w:rFonts w:ascii="Avenir Next LT Pro" w:cs="Avenir Next LT Pro" w:eastAsia="Avenir Next LT Pro" w:hAnsi="Avenir Next LT Pro"/>
          <w:sz w:val="20"/>
          <w:szCs w:val="20"/>
        </w:rPr>
        <w:t xml:space="preserve">This policy supports the Company’s obligations under ISO 45001 (Occupational Health and Safety), ISO 18788 (Security Operations), ISO 28007 (Private Maritime Security) and ISO 28000 (Supply Chain Security), and aligns with the principles of the Voluntary Principles on Security and Human Rights (VPSHR) and the International Code of Conduct for Private Security Service Providers (ICoCA).</w:t>
      </w:r>
    </w:p>
    <w:p>
      <w:pPr>
        <w:pStyle w:val="Heading1"/>
        <w:spacing w:after="200" w:before="360"/>
      </w:pPr>
      <w:r>
        <w:rPr>
          <w:rFonts w:ascii="Avenir Next LT Pro" w:cs="Avenir Next LT Pro" w:eastAsia="Avenir Next LT Pro" w:hAnsi="Avenir Next LT Pro"/>
          <w:b/>
          <w:bCs/>
          <w:caps/>
          <w:color w:val="003C72"/>
          <w:sz w:val="28"/>
          <w:szCs w:val="28"/>
        </w:rPr>
        <w:t xml:space="preserve">2. Scope</w:t>
      </w:r>
    </w:p>
    <w:p>
      <w:pPr>
        <w:spacing w:after="200" w:line="276"/>
        <w:jc w:val="both"/>
      </w:pPr>
      <w:r>
        <w:rPr>
          <w:rFonts w:ascii="Avenir Next LT Pro" w:cs="Avenir Next LT Pro" w:eastAsia="Avenir Next LT Pro" w:hAnsi="Avenir Next LT Pro"/>
          <w:sz w:val="20"/>
          <w:szCs w:val="20"/>
        </w:rPr>
        <w:t xml:space="preserve">This policy applies to all personnel engaged by or operating on behalf of Seagull Maritime, regardless of employment status, location, or contractual arrangement. This includes but is not limited to:</w:t>
      </w:r>
    </w:p>
    <w:p>
      <w:pPr>
        <w:pStyle w:val="ListParagraph"/>
        <w:numPr>
          <w:ilvl w:val="0"/>
          <w:numId w:val="2"/>
        </w:numPr>
        <w:spacing w:after="120" w:line="276"/>
      </w:pPr>
      <w:r>
        <w:rPr>
          <w:rFonts w:ascii="Avenir Next LT Pro" w:cs="Avenir Next LT Pro" w:eastAsia="Avenir Next LT Pro" w:hAnsi="Avenir Next LT Pro"/>
          <w:sz w:val="20"/>
          <w:szCs w:val="20"/>
        </w:rPr>
        <w:t xml:space="preserve">Privately Contracted Armed Security Personnel (PCASP) deployed on client vessels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Shore-based staff and management at all office locations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Subcontractors, consultants, and agency personnel working under Seagull Maritime direction</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Security Escort Vessel (SEV) crew and personnel operating on SEV platforms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Visitors and client personnel aboard Seagull Maritime vessels or at company premises</w:t>
      </w:r>
    </w:p>
    <w:p>
      <w:pPr>
        <w:spacing w:after="200" w:line="276"/>
        <w:jc w:val="both"/>
      </w:pPr>
      <w:r>
        <w:rPr>
          <w:rFonts w:ascii="Avenir Next LT Pro" w:cs="Avenir Next LT Pro" w:eastAsia="Avenir Next LT Pro" w:hAnsi="Avenir Next LT Pro"/>
          <w:sz w:val="20"/>
          <w:szCs w:val="20"/>
        </w:rPr>
        <w:t xml:space="preserve">The scope extends to all company operations, including but not limited to vessel-based activities, office-based work, travel in connection with company business, and periods between deployments when personnel remain under contractual obligation to the Company.</w:t>
      </w:r>
    </w:p>
    <w:p>
      <w:pPr>
        <w:pStyle w:val="Heading1"/>
        <w:spacing w:after="200" w:before="360"/>
      </w:pPr>
      <w:r>
        <w:rPr>
          <w:rFonts w:ascii="Avenir Next LT Pro" w:cs="Avenir Next LT Pro" w:eastAsia="Avenir Next LT Pro" w:hAnsi="Avenir Next LT Pro"/>
          <w:b/>
          <w:bCs/>
          <w:caps/>
          <w:color w:val="003C72"/>
          <w:sz w:val="28"/>
          <w:szCs w:val="28"/>
        </w:rPr>
        <w:t xml:space="preserve">3. Policy Statement</w:t>
      </w:r>
    </w:p>
    <w:p>
      <w:pPr>
        <w:spacing w:after="200" w:line="276"/>
        <w:jc w:val="both"/>
      </w:pPr>
      <w:r>
        <w:rPr>
          <w:rFonts w:ascii="Avenir Next LT Pro" w:cs="Avenir Next LT Pro" w:eastAsia="Avenir Next LT Pro" w:hAnsi="Avenir Next LT Pro"/>
          <w:sz w:val="20"/>
          <w:szCs w:val="20"/>
        </w:rPr>
        <w:t xml:space="preserve">Seagull Maritime operates a zero-tolerance policy on the use, possession, distribution, or manufacture of illegal or non-prescribed drugs and the consumption of alcohol during any period of duty or deployment.</w:t>
      </w:r>
    </w:p>
    <w:p>
      <w:pPr>
        <w:spacing w:after="200" w:line="276"/>
        <w:jc w:val="both"/>
      </w:pPr>
      <w:r>
        <w:rPr>
          <w:rFonts w:ascii="Avenir Next LT Pro" w:cs="Avenir Next LT Pro" w:eastAsia="Avenir Next LT Pro" w:hAnsi="Avenir Next LT Pro"/>
          <w:sz w:val="20"/>
          <w:szCs w:val="20"/>
        </w:rPr>
        <w:t xml:space="preserve">Any person found or reasonably suspected of contravening this policy will be subject to immediate investigation and, where confirmed, disciplinary action up to and including termination of employment or contract.</w:t>
      </w:r>
    </w:p>
    <w:p>
      <w:pPr>
        <w:spacing w:after="200" w:line="276"/>
        <w:jc w:val="both"/>
      </w:pPr>
      <w:r>
        <w:rPr>
          <w:rFonts w:ascii="Avenir Next LT Pro" w:cs="Avenir Next LT Pro" w:eastAsia="Avenir Next LT Pro" w:hAnsi="Avenir Next LT Pro"/>
          <w:sz w:val="20"/>
          <w:szCs w:val="20"/>
        </w:rPr>
        <w:t xml:space="preserve">The Company is committed to enforcing the following rules, which must be fully accepted and adhered to by all personnel:</w:t>
      </w:r>
    </w:p>
    <w:p>
      <w:pPr>
        <w:pStyle w:val="ListParagraph"/>
        <w:numPr>
          <w:ilvl w:val="0"/>
          <w:numId w:val="2"/>
        </w:numPr>
        <w:spacing w:after="120" w:line="276"/>
      </w:pPr>
      <w:r>
        <w:rPr>
          <w:rFonts w:ascii="Avenir Next LT Pro" w:cs="Avenir Next LT Pro" w:eastAsia="Avenir Next LT Pro" w:hAnsi="Avenir Next LT Pro"/>
          <w:sz w:val="20"/>
          <w:szCs w:val="20"/>
        </w:rPr>
        <w:t xml:space="preserve">Alcohol and illicit drugs are not permitted on board any vessel, within company buildings, villas, holding platforms, or at any location where company business is conducted.</w:t>
      </w:r>
    </w:p>
    <w:p>
      <w:pPr>
        <w:pStyle w:val="ListParagraph"/>
        <w:numPr>
          <w:ilvl w:val="0"/>
          <w:numId w:val="2"/>
        </w:numPr>
        <w:spacing w:after="120" w:line="276"/>
      </w:pPr>
      <w:r>
        <w:rPr>
          <w:rFonts w:ascii="Avenir Next LT Pro" w:cs="Avenir Next LT Pro" w:eastAsia="Avenir Next LT Pro" w:hAnsi="Avenir Next LT Pro"/>
          <w:sz w:val="20"/>
          <w:szCs w:val="20"/>
        </w:rPr>
        <w:t xml:space="preserve">Any person under the influence of alcohol or illicit drugs shall not be authorised to board a vessel, enter company premises, or perform any company duties.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Any person not complying with these rules shall be immediately removed from the operational environment and submitted to disciplinary procedures.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Being unfit through the abuse of alcohol or drugs when travelling to or from a vessel, deployment location, or company premises constitutes gross misconduct under the disciplinary rules outlined in the Employment Contract.</w:t>
      </w:r>
    </w:p>
    <w:p>
      <w:pPr>
        <w:pStyle w:val="ListParagraph"/>
        <w:numPr>
          <w:ilvl w:val="0"/>
          <w:numId w:val="2"/>
        </w:numPr>
        <w:spacing w:after="120" w:line="276"/>
      </w:pPr>
      <w:r>
        <w:rPr>
          <w:rFonts w:ascii="Avenir Next LT Pro" w:cs="Avenir Next LT Pro" w:eastAsia="Avenir Next LT Pro" w:hAnsi="Avenir Next LT Pro"/>
          <w:sz w:val="20"/>
          <w:szCs w:val="20"/>
        </w:rPr>
        <w:t xml:space="preserve">All subcontractors, visitors, and client personnel are required to comply with these rules. Any such person contravening these rules shall be immediately removed from the company environment.</w:t>
      </w:r>
    </w:p>
    <w:p>
      <w:pPr>
        <w:pStyle w:val="Heading1"/>
        <w:spacing w:after="200" w:before="360"/>
      </w:pPr>
      <w:r>
        <w:rPr>
          <w:rFonts w:ascii="Avenir Next LT Pro" w:cs="Avenir Next LT Pro" w:eastAsia="Avenir Next LT Pro" w:hAnsi="Avenir Next LT Pro"/>
          <w:b/>
          <w:bCs/>
          <w:caps/>
          <w:color w:val="003C72"/>
          <w:sz w:val="28"/>
          <w:szCs w:val="28"/>
        </w:rPr>
        <w:t xml:space="preserve">4. Definitions</w:t>
      </w:r>
    </w:p>
    <w:p>
      <w:pPr>
        <w:spacing w:after="200" w:line="276"/>
        <w:jc w:val="both"/>
      </w:pPr>
      <w:r>
        <w:rPr>
          <w:rFonts w:ascii="Avenir Next LT Pro" w:cs="Avenir Next LT Pro" w:eastAsia="Avenir Next LT Pro" w:hAnsi="Avenir Next LT Pro"/>
          <w:b/>
          <w:bCs/>
          <w:sz w:val="20"/>
          <w:szCs w:val="20"/>
        </w:rPr>
        <w:t xml:space="preserve">“Drug” </w:t>
      </w:r>
      <w:r>
        <w:rPr>
          <w:rFonts w:ascii="Avenir Next LT Pro" w:cs="Avenir Next LT Pro" w:eastAsia="Avenir Next LT Pro" w:hAnsi="Avenir Next LT Pro"/>
          <w:sz w:val="20"/>
          <w:szCs w:val="20"/>
        </w:rPr>
        <w:t xml:space="preserve">includes but is not restricted to any one or more, or any combination of: marijuana, cocaine, opiates, amphetamines, and any other substance classified as controlled or illegal under the applicable laws of the jurisdiction in which the Company operates.</w:t>
      </w:r>
    </w:p>
    <w:p>
      <w:pPr>
        <w:spacing w:after="200" w:line="276"/>
        <w:jc w:val="both"/>
      </w:pPr>
      <w:r>
        <w:rPr>
          <w:rFonts w:ascii="Avenir Next LT Pro" w:cs="Avenir Next LT Pro" w:eastAsia="Avenir Next LT Pro" w:hAnsi="Avenir Next LT Pro"/>
          <w:b/>
          <w:bCs/>
          <w:sz w:val="20"/>
          <w:szCs w:val="20"/>
        </w:rPr>
        <w:t xml:space="preserve">“Manufacture” </w:t>
      </w:r>
      <w:r>
        <w:rPr>
          <w:rFonts w:ascii="Avenir Next LT Pro" w:cs="Avenir Next LT Pro" w:eastAsia="Avenir Next LT Pro" w:hAnsi="Avenir Next LT Pro"/>
          <w:sz w:val="20"/>
          <w:szCs w:val="20"/>
        </w:rPr>
        <w:t xml:space="preserve">means to produce, prepare, propagate, compound, or process a drug, either directly or indirectly by extraction from substances of natural origin, independently or by means of chemical synthesis, or by a combination of both. This includes packaging, re-packaging, labelling, or re-labelling.</w:t>
      </w:r>
    </w:p>
    <w:p>
      <w:pPr>
        <w:spacing w:after="200" w:line="276"/>
        <w:jc w:val="both"/>
      </w:pPr>
      <w:r>
        <w:rPr>
          <w:rFonts w:ascii="Avenir Next LT Pro" w:cs="Avenir Next LT Pro" w:eastAsia="Avenir Next LT Pro" w:hAnsi="Avenir Next LT Pro"/>
          <w:b/>
          <w:bCs/>
          <w:sz w:val="20"/>
          <w:szCs w:val="20"/>
        </w:rPr>
        <w:t xml:space="preserve">“Distribute” </w:t>
      </w:r>
      <w:r>
        <w:rPr>
          <w:rFonts w:ascii="Avenir Next LT Pro" w:cs="Avenir Next LT Pro" w:eastAsia="Avenir Next LT Pro" w:hAnsi="Avenir Next LT Pro"/>
          <w:sz w:val="20"/>
          <w:szCs w:val="20"/>
        </w:rPr>
        <w:t xml:space="preserve">means to provide another person with a drug or drug paraphernalia in violation of this policy or law.</w:t>
      </w:r>
    </w:p>
    <w:p>
      <w:pPr>
        <w:spacing w:after="200" w:line="276"/>
        <w:jc w:val="both"/>
      </w:pPr>
      <w:r>
        <w:rPr>
          <w:rFonts w:ascii="Avenir Next LT Pro" w:cs="Avenir Next LT Pro" w:eastAsia="Avenir Next LT Pro" w:hAnsi="Avenir Next LT Pro"/>
          <w:b/>
          <w:bCs/>
          <w:sz w:val="20"/>
          <w:szCs w:val="20"/>
        </w:rPr>
        <w:t xml:space="preserve">“Use” </w:t>
      </w:r>
      <w:r>
        <w:rPr>
          <w:rFonts w:ascii="Avenir Next LT Pro" w:cs="Avenir Next LT Pro" w:eastAsia="Avenir Next LT Pro" w:hAnsi="Avenir Next LT Pro"/>
          <w:sz w:val="20"/>
          <w:szCs w:val="20"/>
        </w:rPr>
        <w:t xml:space="preserve">means to have present in one’s system, or to consume a drug to impair or constructively impair the physical or mental abilities of the individual, or to render the individual unfit for duties.</w:t>
      </w:r>
    </w:p>
    <w:p>
      <w:pPr>
        <w:spacing w:after="200" w:line="276"/>
        <w:jc w:val="both"/>
      </w:pPr>
      <w:r>
        <w:rPr>
          <w:rFonts w:ascii="Avenir Next LT Pro" w:cs="Avenir Next LT Pro" w:eastAsia="Avenir Next LT Pro" w:hAnsi="Avenir Next LT Pro"/>
          <w:b/>
          <w:bCs/>
          <w:sz w:val="20"/>
          <w:szCs w:val="20"/>
        </w:rPr>
        <w:t xml:space="preserve">“Possession” </w:t>
      </w:r>
      <w:r>
        <w:rPr>
          <w:rFonts w:ascii="Avenir Next LT Pro" w:cs="Avenir Next LT Pro" w:eastAsia="Avenir Next LT Pro" w:hAnsi="Avenir Next LT Pro"/>
          <w:sz w:val="20"/>
          <w:szCs w:val="20"/>
        </w:rPr>
        <w:t xml:space="preserve">means having a drug or drug paraphernalia on one’s person or in one’s possession on board a vessel, at a company location, or whilst on company business.</w:t>
      </w:r>
    </w:p>
    <w:p>
      <w:pPr>
        <w:spacing w:after="200" w:line="276"/>
        <w:jc w:val="both"/>
      </w:pPr>
      <w:r>
        <w:rPr>
          <w:rFonts w:ascii="Avenir Next LT Pro" w:cs="Avenir Next LT Pro" w:eastAsia="Avenir Next LT Pro" w:hAnsi="Avenir Next LT Pro"/>
          <w:b/>
          <w:bCs/>
          <w:sz w:val="20"/>
          <w:szCs w:val="20"/>
        </w:rPr>
        <w:t xml:space="preserve">“Drug Paraphernalia” </w:t>
      </w:r>
      <w:r>
        <w:rPr>
          <w:rFonts w:ascii="Avenir Next LT Pro" w:cs="Avenir Next LT Pro" w:eastAsia="Avenir Next LT Pro" w:hAnsi="Avenir Next LT Pro"/>
          <w:sz w:val="20"/>
          <w:szCs w:val="20"/>
        </w:rPr>
        <w:t xml:space="preserve">means all equipment, products, and materials of any kind which are used, intended for use, or designed for use in manufacturing, injecting, ingesting, inhaling, or otherwise introducing a drug into the human body in violation of this policy or law.</w:t>
      </w:r>
    </w:p>
    <w:p>
      <w:pPr>
        <w:spacing w:after="200" w:line="276"/>
        <w:jc w:val="both"/>
      </w:pPr>
      <w:r>
        <w:rPr>
          <w:rFonts w:ascii="Avenir Next LT Pro" w:cs="Avenir Next LT Pro" w:eastAsia="Avenir Next LT Pro" w:hAnsi="Avenir Next LT Pro"/>
          <w:b/>
          <w:bCs/>
          <w:sz w:val="20"/>
          <w:szCs w:val="20"/>
        </w:rPr>
        <w:t xml:space="preserve">“Impairment” </w:t>
      </w:r>
      <w:r>
        <w:rPr>
          <w:rFonts w:ascii="Avenir Next LT Pro" w:cs="Avenir Next LT Pro" w:eastAsia="Avenir Next LT Pro" w:hAnsi="Avenir Next LT Pro"/>
          <w:sz w:val="20"/>
          <w:szCs w:val="20"/>
        </w:rPr>
        <w:t xml:space="preserve">means that an individual’s physical or mental abilities or capabilities are reduced or diminished from their normal state.</w:t>
      </w:r>
    </w:p>
    <w:p>
      <w:pPr>
        <w:spacing w:after="200" w:line="276"/>
        <w:jc w:val="both"/>
      </w:pPr>
      <w:r>
        <w:rPr>
          <w:rFonts w:ascii="Avenir Next LT Pro" w:cs="Avenir Next LT Pro" w:eastAsia="Avenir Next LT Pro" w:hAnsi="Avenir Next LT Pro"/>
          <w:b/>
          <w:bCs/>
          <w:sz w:val="20"/>
          <w:szCs w:val="20"/>
        </w:rPr>
        <w:t xml:space="preserve">“Reasonable Cause” </w:t>
      </w:r>
      <w:r>
        <w:rPr>
          <w:rFonts w:ascii="Avenir Next LT Pro" w:cs="Avenir Next LT Pro" w:eastAsia="Avenir Next LT Pro" w:hAnsi="Avenir Next LT Pro"/>
          <w:sz w:val="20"/>
          <w:szCs w:val="20"/>
        </w:rPr>
        <w:t xml:space="preserve">means a probability exists, based on observable evidence, that an individual is intoxicated by or has used drugs or alcohol. Indicators include but are not limited to changes in speech, behaviour, appearance, coordination, or performance.</w:t>
      </w:r>
    </w:p>
    <w:p>
      <w:pPr>
        <w:pStyle w:val="Heading1"/>
        <w:spacing w:after="200" w:before="360"/>
      </w:pPr>
      <w:r>
        <w:rPr>
          <w:rFonts w:ascii="Avenir Next LT Pro" w:cs="Avenir Next LT Pro" w:eastAsia="Avenir Next LT Pro" w:hAnsi="Avenir Next LT Pro"/>
          <w:b/>
          <w:bCs/>
          <w:caps/>
          <w:color w:val="003C72"/>
          <w:sz w:val="28"/>
          <w:szCs w:val="28"/>
        </w:rPr>
        <w:t xml:space="preserve">5. Roles and Responsibilities</w:t>
      </w:r>
    </w:p>
    <w:p>
      <w:pPr>
        <w:pStyle w:val="Heading2"/>
        <w:spacing w:after="200" w:before="240"/>
      </w:pPr>
      <w:r>
        <w:rPr>
          <w:rFonts w:ascii="Avenir Next LT Pro" w:cs="Avenir Next LT Pro" w:eastAsia="Avenir Next LT Pro" w:hAnsi="Avenir Next LT Pro"/>
          <w:b/>
          <w:bCs/>
          <w:color w:val="003C72"/>
          <w:sz w:val="24"/>
          <w:szCs w:val="24"/>
        </w:rPr>
        <w:t xml:space="preserve">5.1 Chief Executive Officer (CEO)</w:t>
      </w:r>
    </w:p>
    <w:p>
      <w:pPr>
        <w:spacing w:after="200" w:line="276"/>
        <w:jc w:val="both"/>
      </w:pPr>
      <w:r>
        <w:rPr>
          <w:rFonts w:ascii="Avenir Next LT Pro" w:cs="Avenir Next LT Pro" w:eastAsia="Avenir Next LT Pro" w:hAnsi="Avenir Next LT Pro"/>
          <w:sz w:val="20"/>
          <w:szCs w:val="20"/>
        </w:rPr>
        <w:t xml:space="preserve">Overall accountability for this policy and its enforcement across the Company.</w:t>
      </w:r>
    </w:p>
    <w:p>
      <w:pPr>
        <w:pStyle w:val="Heading2"/>
        <w:spacing w:after="200" w:before="240"/>
      </w:pPr>
      <w:r>
        <w:rPr>
          <w:rFonts w:ascii="Avenir Next LT Pro" w:cs="Avenir Next LT Pro" w:eastAsia="Avenir Next LT Pro" w:hAnsi="Avenir Next LT Pro"/>
          <w:b/>
          <w:bCs/>
          <w:color w:val="003C72"/>
          <w:sz w:val="24"/>
          <w:szCs w:val="24"/>
        </w:rPr>
        <w:t xml:space="preserve">5.2 Group Compliance Director (GCD)</w:t>
      </w:r>
    </w:p>
    <w:p>
      <w:pPr>
        <w:spacing w:after="200" w:line="276"/>
        <w:jc w:val="both"/>
      </w:pPr>
      <w:r>
        <w:rPr>
          <w:rFonts w:ascii="Avenir Next LT Pro" w:cs="Avenir Next LT Pro" w:eastAsia="Avenir Next LT Pro" w:hAnsi="Avenir Next LT Pro"/>
          <w:sz w:val="20"/>
          <w:szCs w:val="20"/>
        </w:rPr>
        <w:t xml:space="preserve">Responsible for maintaining this policy, the associated testing procedure (SM/INT/PRO/021), and ensuring compliance across all operations and entities. Authorises reasonable cause testing for shore-based personnel.</w:t>
      </w:r>
    </w:p>
    <w:p>
      <w:pPr>
        <w:pStyle w:val="Heading2"/>
        <w:spacing w:after="200" w:before="240"/>
      </w:pPr>
      <w:r>
        <w:rPr>
          <w:rFonts w:ascii="Avenir Next LT Pro" w:cs="Avenir Next LT Pro" w:eastAsia="Avenir Next LT Pro" w:hAnsi="Avenir Next LT Pro"/>
          <w:b/>
          <w:bCs/>
          <w:color w:val="003C72"/>
          <w:sz w:val="24"/>
          <w:szCs w:val="24"/>
        </w:rPr>
        <w:t xml:space="preserve">5.3 Operations Department</w:t>
      </w:r>
    </w:p>
    <w:p>
      <w:pPr>
        <w:spacing w:after="200" w:line="276"/>
        <w:jc w:val="both"/>
      </w:pPr>
      <w:r>
        <w:rPr>
          <w:rFonts w:ascii="Avenir Next LT Pro" w:cs="Avenir Next LT Pro" w:eastAsia="Avenir Next LT Pro" w:hAnsi="Avenir Next LT Pro"/>
          <w:sz w:val="20"/>
          <w:szCs w:val="20"/>
        </w:rPr>
        <w:t xml:space="preserve">Responsible for scheduling and coordinating all testing for deployed PCASP and SEV personnel. Maintains a confidential register of all test results. Advises when compulsory and random tests are due.</w:t>
      </w:r>
    </w:p>
    <w:p>
      <w:pPr>
        <w:pStyle w:val="Heading2"/>
        <w:spacing w:after="200" w:before="240"/>
      </w:pPr>
      <w:r>
        <w:rPr>
          <w:rFonts w:ascii="Avenir Next LT Pro" w:cs="Avenir Next LT Pro" w:eastAsia="Avenir Next LT Pro" w:hAnsi="Avenir Next LT Pro"/>
          <w:b/>
          <w:bCs/>
          <w:color w:val="003C72"/>
          <w:sz w:val="24"/>
          <w:szCs w:val="24"/>
        </w:rPr>
        <w:t xml:space="preserve">5.4 Vessel Masters and Team Leaders</w:t>
      </w:r>
    </w:p>
    <w:p>
      <w:pPr>
        <w:spacing w:after="200" w:line="276"/>
        <w:jc w:val="both"/>
      </w:pPr>
      <w:r>
        <w:rPr>
          <w:rFonts w:ascii="Avenir Next LT Pro" w:cs="Avenir Next LT Pro" w:eastAsia="Avenir Next LT Pro" w:hAnsi="Avenir Next LT Pro"/>
          <w:sz w:val="20"/>
          <w:szCs w:val="20"/>
        </w:rPr>
        <w:t xml:space="preserve">Responsible for ensuring all personnel on board understand and comply with this policy. Authorised to initiate reasonable cause testing on board vessels using company-issued testing equipment. Report all suspected or confirmed breaches immediately to the Operations Department and GCD.</w:t>
      </w:r>
    </w:p>
    <w:p>
      <w:pPr>
        <w:pStyle w:val="Heading2"/>
        <w:spacing w:after="200" w:before="240"/>
      </w:pPr>
      <w:r>
        <w:rPr>
          <w:rFonts w:ascii="Avenir Next LT Pro" w:cs="Avenir Next LT Pro" w:eastAsia="Avenir Next LT Pro" w:hAnsi="Avenir Next LT Pro"/>
          <w:b/>
          <w:bCs/>
          <w:color w:val="003C72"/>
          <w:sz w:val="24"/>
          <w:szCs w:val="24"/>
        </w:rPr>
        <w:t xml:space="preserve">5.5 All Personnel</w:t>
      </w:r>
    </w:p>
    <w:p>
      <w:pPr>
        <w:spacing w:after="200" w:line="276"/>
        <w:jc w:val="both"/>
      </w:pPr>
      <w:r>
        <w:rPr>
          <w:rFonts w:ascii="Avenir Next LT Pro" w:cs="Avenir Next LT Pro" w:eastAsia="Avenir Next LT Pro" w:hAnsi="Avenir Next LT Pro"/>
          <w:sz w:val="20"/>
          <w:szCs w:val="20"/>
        </w:rPr>
        <w:t xml:space="preserve">Every individual within the scope of this policy is personally responsible for understanding and complying with its requirements. Personnel must report any suspected breach by others and must submit to testing when required under the associated procedure.</w:t>
      </w:r>
    </w:p>
    <w:p>
      <w:pPr>
        <w:pStyle w:val="Heading1"/>
        <w:spacing w:after="200" w:before="360"/>
      </w:pPr>
      <w:r>
        <w:rPr>
          <w:rFonts w:ascii="Avenir Next LT Pro" w:cs="Avenir Next LT Pro" w:eastAsia="Avenir Next LT Pro" w:hAnsi="Avenir Next LT Pro"/>
          <w:b/>
          <w:bCs/>
          <w:caps/>
          <w:color w:val="003C72"/>
          <w:sz w:val="28"/>
          <w:szCs w:val="28"/>
        </w:rPr>
        <w:t xml:space="preserve">6. Testing</w:t>
      </w:r>
    </w:p>
    <w:p>
      <w:pPr>
        <w:spacing w:after="200" w:line="276"/>
        <w:jc w:val="both"/>
      </w:pPr>
      <w:r>
        <w:rPr>
          <w:rFonts w:ascii="Avenir Next LT Pro" w:cs="Avenir Next LT Pro" w:eastAsia="Avenir Next LT Pro" w:hAnsi="Avenir Next LT Pro"/>
          <w:sz w:val="20"/>
          <w:szCs w:val="20"/>
        </w:rPr>
        <w:t xml:space="preserve">The Company reserves the right to conduct drug and alcohol testing on any person within the scope of this policy. Testing types, methodologies, frequencies, and chain of custody requirements are detailed in SM/INT/PRO/021 — Drugs and Alcohol Testing Procedure.</w:t>
      </w:r>
    </w:p>
    <w:p>
      <w:pPr>
        <w:pStyle w:val="Heading2"/>
        <w:spacing w:after="200" w:before="240"/>
      </w:pPr>
      <w:r>
        <w:rPr>
          <w:rFonts w:ascii="Avenir Next LT Pro" w:cs="Avenir Next LT Pro" w:eastAsia="Avenir Next LT Pro" w:hAnsi="Avenir Next LT Pro"/>
          <w:b/>
          <w:bCs/>
          <w:color w:val="003C72"/>
          <w:sz w:val="24"/>
          <w:szCs w:val="24"/>
        </w:rPr>
        <w:t xml:space="preserve">6.1 PCASP and Deployed Personnel</w:t>
      </w:r>
    </w:p>
    <w:p>
      <w:pPr>
        <w:spacing w:after="200" w:line="276"/>
        <w:jc w:val="both"/>
      </w:pPr>
      <w:r>
        <w:rPr>
          <w:rFonts w:ascii="Avenir Next LT Pro" w:cs="Avenir Next LT Pro" w:eastAsia="Avenir Next LT Pro" w:hAnsi="Avenir Next LT Pro"/>
          <w:sz w:val="20"/>
          <w:szCs w:val="20"/>
        </w:rPr>
        <w:t xml:space="preserve">Subject to the full testing programme: compulsory pre-deployment, random, reasonable cause, and post-incident testing.</w:t>
      </w:r>
    </w:p>
    <w:p>
      <w:pPr>
        <w:pStyle w:val="Heading2"/>
        <w:spacing w:after="200" w:before="240"/>
      </w:pPr>
      <w:r>
        <w:rPr>
          <w:rFonts w:ascii="Avenir Next LT Pro" w:cs="Avenir Next LT Pro" w:eastAsia="Avenir Next LT Pro" w:hAnsi="Avenir Next LT Pro"/>
          <w:b/>
          <w:bCs/>
          <w:color w:val="003C72"/>
          <w:sz w:val="24"/>
          <w:szCs w:val="24"/>
        </w:rPr>
        <w:t xml:space="preserve">6.2 Shore-Based Staff and Management</w:t>
      </w:r>
    </w:p>
    <w:p>
      <w:pPr>
        <w:spacing w:after="200" w:line="276"/>
        <w:jc w:val="both"/>
      </w:pPr>
      <w:r>
        <w:rPr>
          <w:rFonts w:ascii="Avenir Next LT Pro" w:cs="Avenir Next LT Pro" w:eastAsia="Avenir Next LT Pro" w:hAnsi="Avenir Next LT Pro"/>
          <w:sz w:val="20"/>
          <w:szCs w:val="20"/>
        </w:rPr>
        <w:t xml:space="preserve">Subject to for-cause and post-incident testing only, in recognition of legal and contractual restrictions applicable to office-based employment in the jurisdictions in which the Company operates. For-cause testing may be initiated where reasonable cause exists to suspect impairment.</w:t>
      </w:r>
    </w:p>
    <w:p>
      <w:pPr>
        <w:pStyle w:val="Heading2"/>
        <w:spacing w:after="200" w:before="240"/>
      </w:pPr>
      <w:r>
        <w:rPr>
          <w:rFonts w:ascii="Avenir Next LT Pro" w:cs="Avenir Next LT Pro" w:eastAsia="Avenir Next LT Pro" w:hAnsi="Avenir Next LT Pro"/>
          <w:b/>
          <w:bCs/>
          <w:color w:val="003C72"/>
          <w:sz w:val="24"/>
          <w:szCs w:val="24"/>
        </w:rPr>
        <w:t xml:space="preserve">6.3 Subcontractors and Visitors</w:t>
      </w:r>
    </w:p>
    <w:p>
      <w:pPr>
        <w:spacing w:after="200" w:line="276"/>
        <w:jc w:val="both"/>
      </w:pPr>
      <w:r>
        <w:rPr>
          <w:rFonts w:ascii="Avenir Next LT Pro" w:cs="Avenir Next LT Pro" w:eastAsia="Avenir Next LT Pro" w:hAnsi="Avenir Next LT Pro"/>
          <w:sz w:val="20"/>
          <w:szCs w:val="20"/>
        </w:rPr>
        <w:t xml:space="preserve">All subcontractors and visitors are formally required to comply with this policy. Testing may be conducted in accordance with the terms of their engagement or at the Company’s reasonable request.</w:t>
      </w:r>
    </w:p>
    <w:p>
      <w:pPr>
        <w:pStyle w:val="Heading1"/>
        <w:spacing w:after="200" w:before="360"/>
      </w:pPr>
      <w:r>
        <w:rPr>
          <w:rFonts w:ascii="Avenir Next LT Pro" w:cs="Avenir Next LT Pro" w:eastAsia="Avenir Next LT Pro" w:hAnsi="Avenir Next LT Pro"/>
          <w:b/>
          <w:bCs/>
          <w:caps/>
          <w:color w:val="003C72"/>
          <w:sz w:val="28"/>
          <w:szCs w:val="28"/>
        </w:rPr>
        <w:t xml:space="preserve">7. Refusal to Submit to Testing</w:t>
      </w:r>
    </w:p>
    <w:p>
      <w:pPr>
        <w:spacing w:after="200" w:line="276"/>
        <w:jc w:val="both"/>
      </w:pPr>
      <w:r>
        <w:rPr>
          <w:rFonts w:ascii="Avenir Next LT Pro" w:cs="Avenir Next LT Pro" w:eastAsia="Avenir Next LT Pro" w:hAnsi="Avenir Next LT Pro"/>
          <w:sz w:val="20"/>
          <w:szCs w:val="20"/>
        </w:rPr>
        <w:t xml:space="preserve">Refusal to submit to a drug or alcohol test when requested under the provisions of this policy and the associated procedure constitutes a serious breach of company policy. It will be treated as a separate disciplinary offence and may result in immediate suspension, removal from the operational environment, and disciplinary action up to and including termination.</w:t>
      </w:r>
    </w:p>
    <w:p>
      <w:pPr>
        <w:spacing w:after="200" w:line="276"/>
        <w:jc w:val="both"/>
      </w:pPr>
      <w:r>
        <w:rPr>
          <w:rFonts w:ascii="Avenir Next LT Pro" w:cs="Avenir Next LT Pro" w:eastAsia="Avenir Next LT Pro" w:hAnsi="Avenir Next LT Pro"/>
          <w:sz w:val="20"/>
          <w:szCs w:val="20"/>
        </w:rPr>
        <w:t xml:space="preserve">This applies equally to refusal to submit to a search where reasonable cause exists to believe that drugs, alcohol, or drug paraphernalia are present (see Section 9).</w:t>
      </w:r>
    </w:p>
    <w:p>
      <w:pPr>
        <w:pStyle w:val="Heading1"/>
        <w:spacing w:after="200" w:before="360"/>
      </w:pPr>
      <w:r>
        <w:rPr>
          <w:rFonts w:ascii="Avenir Next LT Pro" w:cs="Avenir Next LT Pro" w:eastAsia="Avenir Next LT Pro" w:hAnsi="Avenir Next LT Pro"/>
          <w:b/>
          <w:bCs/>
          <w:caps/>
          <w:color w:val="003C72"/>
          <w:sz w:val="28"/>
          <w:szCs w:val="28"/>
        </w:rPr>
        <w:t xml:space="preserve">8. Positive Test Results</w:t>
      </w:r>
    </w:p>
    <w:p>
      <w:pPr>
        <w:pStyle w:val="Heading2"/>
        <w:spacing w:after="200" w:before="240"/>
      </w:pPr>
      <w:r>
        <w:rPr>
          <w:rFonts w:ascii="Avenir Next LT Pro" w:cs="Avenir Next LT Pro" w:eastAsia="Avenir Next LT Pro" w:hAnsi="Avenir Next LT Pro"/>
          <w:b/>
          <w:bCs/>
          <w:color w:val="003C72"/>
          <w:sz w:val="24"/>
          <w:szCs w:val="24"/>
        </w:rPr>
        <w:t xml:space="preserve">8.1 Company Employees and Subcontractors</w:t>
      </w:r>
    </w:p>
    <w:p>
      <w:pPr>
        <w:spacing w:after="200" w:line="276"/>
        <w:jc w:val="both"/>
      </w:pPr>
      <w:r>
        <w:rPr>
          <w:rFonts w:ascii="Avenir Next LT Pro" w:cs="Avenir Next LT Pro" w:eastAsia="Avenir Next LT Pro" w:hAnsi="Avenir Next LT Pro"/>
          <w:sz w:val="20"/>
          <w:szCs w:val="20"/>
        </w:rPr>
        <w:t xml:space="preserve">A confirmed positive test result places the individual in breach of their terms and conditions of employment or engagement and will be grounds for disciplinary action, which may include termination. The individual will be given an opportunity to explain the circumstances prior to any final employment action.</w:t>
      </w:r>
    </w:p>
    <w:p>
      <w:pPr>
        <w:pStyle w:val="Heading2"/>
        <w:spacing w:after="200" w:before="240"/>
      </w:pPr>
      <w:r>
        <w:rPr>
          <w:rFonts w:ascii="Avenir Next LT Pro" w:cs="Avenir Next LT Pro" w:eastAsia="Avenir Next LT Pro" w:hAnsi="Avenir Next LT Pro"/>
          <w:b/>
          <w:bCs/>
          <w:color w:val="003C72"/>
          <w:sz w:val="24"/>
          <w:szCs w:val="24"/>
        </w:rPr>
        <w:t xml:space="preserve">8.2 Client Personnel and Third Parties</w:t>
      </w:r>
    </w:p>
    <w:p>
      <w:pPr>
        <w:spacing w:after="200" w:line="276"/>
        <w:jc w:val="both"/>
      </w:pPr>
      <w:r>
        <w:rPr>
          <w:rFonts w:ascii="Avenir Next LT Pro" w:cs="Avenir Next LT Pro" w:eastAsia="Avenir Next LT Pro" w:hAnsi="Avenir Next LT Pro"/>
          <w:sz w:val="20"/>
          <w:szCs w:val="20"/>
        </w:rPr>
        <w:t xml:space="preserve">A confirmed positive test result or refusal to test by client-contracted personnel or third parties on board a Seagull Maritime vessel or at a company location will result in one or more of the following at the Company’s discretion:</w:t>
      </w:r>
    </w:p>
    <w:p>
      <w:pPr>
        <w:pStyle w:val="ListParagraph"/>
        <w:numPr>
          <w:ilvl w:val="0"/>
          <w:numId w:val="2"/>
        </w:numPr>
        <w:spacing w:after="120" w:line="276"/>
      </w:pPr>
      <w:r>
        <w:rPr>
          <w:rFonts w:ascii="Avenir Next LT Pro" w:cs="Avenir Next LT Pro" w:eastAsia="Avenir Next LT Pro" w:hAnsi="Avenir Next LT Pro"/>
          <w:sz w:val="20"/>
          <w:szCs w:val="20"/>
        </w:rPr>
        <w:t xml:space="preserve">Refusal of permission to embark or remain on the vessel or premises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Requirement for the employing company to arrange immediate repatriation at their expense</w:t>
      </w:r>
    </w:p>
    <w:p>
      <w:pPr>
        <w:pStyle w:val="ListParagraph"/>
        <w:numPr>
          <w:ilvl w:val="0"/>
          <w:numId w:val="2"/>
        </w:numPr>
        <w:spacing w:after="120" w:line="276"/>
      </w:pPr>
      <w:r>
        <w:rPr>
          <w:rFonts w:ascii="Avenir Next LT Pro" w:cs="Avenir Next LT Pro" w:eastAsia="Avenir Next LT Pro" w:hAnsi="Avenir Next LT Pro"/>
          <w:sz w:val="20"/>
          <w:szCs w:val="20"/>
        </w:rPr>
        <w:t xml:space="preserve">Temporary or permanent ban from Seagull Maritime vessels and locations</w:t>
      </w:r>
    </w:p>
    <w:p>
      <w:pPr>
        <w:spacing w:after="200" w:line="276"/>
        <w:jc w:val="both"/>
      </w:pPr>
      <w:r>
        <w:rPr>
          <w:rFonts w:ascii="Avenir Next LT Pro" w:cs="Avenir Next LT Pro" w:eastAsia="Avenir Next LT Pro" w:hAnsi="Avenir Next LT Pro"/>
          <w:sz w:val="20"/>
          <w:szCs w:val="20"/>
        </w:rPr>
        <w:t xml:space="preserve">This list is not exhaustive and the Company reserves the right to take additional measures as deemed appropriate.</w:t>
      </w:r>
    </w:p>
    <w:p>
      <w:pPr>
        <w:pStyle w:val="Heading1"/>
        <w:spacing w:after="200" w:before="360"/>
      </w:pPr>
      <w:r>
        <w:rPr>
          <w:rFonts w:ascii="Avenir Next LT Pro" w:cs="Avenir Next LT Pro" w:eastAsia="Avenir Next LT Pro" w:hAnsi="Avenir Next LT Pro"/>
          <w:b/>
          <w:bCs/>
          <w:caps/>
          <w:color w:val="003C72"/>
          <w:sz w:val="28"/>
          <w:szCs w:val="28"/>
        </w:rPr>
        <w:t xml:space="preserve">9. Searches</w:t>
      </w:r>
    </w:p>
    <w:p>
      <w:pPr>
        <w:spacing w:after="200" w:line="276"/>
        <w:jc w:val="both"/>
      </w:pPr>
      <w:r>
        <w:rPr>
          <w:rFonts w:ascii="Avenir Next LT Pro" w:cs="Avenir Next LT Pro" w:eastAsia="Avenir Next LT Pro" w:hAnsi="Avenir Next LT Pro"/>
          <w:sz w:val="20"/>
          <w:szCs w:val="20"/>
        </w:rPr>
        <w:t xml:space="preserve">Where reasonable cause exists to believe that the manufacture, distribution, use, or possession of alcohol, drugs, or drug paraphernalia is occurring contrary to this policy, the Company reserves the right to search personal belongings.</w:t>
      </w:r>
    </w:p>
    <w:p>
      <w:pPr>
        <w:spacing w:after="200" w:line="276"/>
        <w:jc w:val="both"/>
      </w:pPr>
      <w:r>
        <w:rPr>
          <w:rFonts w:ascii="Avenir Next LT Pro" w:cs="Avenir Next LT Pro" w:eastAsia="Avenir Next LT Pro" w:hAnsi="Avenir Next LT Pro"/>
          <w:sz w:val="20"/>
          <w:szCs w:val="20"/>
        </w:rPr>
        <w:t xml:space="preserve">Any search will be conducted with respect for the individual’s dignity and privacy, in accordance with the Company’s human rights commitments (see Section 11). The individual will be present during the search and may request a witness of their choosing.</w:t>
      </w:r>
    </w:p>
    <w:p>
      <w:pPr>
        <w:spacing w:after="200" w:line="276"/>
        <w:jc w:val="both"/>
      </w:pPr>
      <w:r>
        <w:rPr>
          <w:rFonts w:ascii="Avenir Next LT Pro" w:cs="Avenir Next LT Pro" w:eastAsia="Avenir Next LT Pro" w:hAnsi="Avenir Next LT Pro"/>
          <w:sz w:val="20"/>
          <w:szCs w:val="20"/>
        </w:rPr>
        <w:t xml:space="preserve">Refusal to submit to a search will be treated as a disciplinary breach equivalent to refusal to test under Section 7 of this policy.</w:t>
      </w:r>
    </w:p>
    <w:p>
      <w:pPr>
        <w:pStyle w:val="Heading1"/>
        <w:spacing w:after="200" w:before="360"/>
      </w:pPr>
      <w:r>
        <w:rPr>
          <w:rFonts w:ascii="Avenir Next LT Pro" w:cs="Avenir Next LT Pro" w:eastAsia="Avenir Next LT Pro" w:hAnsi="Avenir Next LT Pro"/>
          <w:b/>
          <w:bCs/>
          <w:caps/>
          <w:color w:val="003C72"/>
          <w:sz w:val="28"/>
          <w:szCs w:val="28"/>
        </w:rPr>
        <w:t xml:space="preserve">10. Prescription Medication and Hygiene Materials</w:t>
      </w:r>
    </w:p>
    <w:p>
      <w:pPr>
        <w:spacing w:after="200" w:line="276"/>
        <w:jc w:val="both"/>
      </w:pPr>
      <w:r>
        <w:rPr>
          <w:rFonts w:ascii="Avenir Next LT Pro" w:cs="Avenir Next LT Pro" w:eastAsia="Avenir Next LT Pro" w:hAnsi="Avenir Next LT Pro"/>
          <w:sz w:val="20"/>
          <w:szCs w:val="20"/>
        </w:rPr>
        <w:t xml:space="preserve">Personnel taking prescription medication from a licensed medical practitioner that may affect performance or trigger a positive test must inform the Operations Department (for deployed personnel) or their line manager (for shore-based staff) immediately prior to accepting any duties or deployment.</w:t>
      </w:r>
    </w:p>
    <w:p>
      <w:pPr>
        <w:spacing w:after="200" w:line="276"/>
        <w:jc w:val="both"/>
      </w:pPr>
      <w:r>
        <w:rPr>
          <w:rFonts w:ascii="Avenir Next LT Pro" w:cs="Avenir Next LT Pro" w:eastAsia="Avenir Next LT Pro" w:hAnsi="Avenir Next LT Pro"/>
          <w:sz w:val="20"/>
          <w:szCs w:val="20"/>
        </w:rPr>
        <w:t xml:space="preserve">The consumption or misuse of hygiene or cleaning materials containing alcohol or other intoxicating substances is included within the prohibitions of this policy.</w:t>
      </w:r>
    </w:p>
    <w:p>
      <w:pPr>
        <w:pStyle w:val="Heading1"/>
        <w:spacing w:after="200" w:before="360"/>
      </w:pPr>
      <w:r>
        <w:rPr>
          <w:rFonts w:ascii="Avenir Next LT Pro" w:cs="Avenir Next LT Pro" w:eastAsia="Avenir Next LT Pro" w:hAnsi="Avenir Next LT Pro"/>
          <w:b/>
          <w:bCs/>
          <w:caps/>
          <w:color w:val="003C72"/>
          <w:sz w:val="28"/>
          <w:szCs w:val="28"/>
        </w:rPr>
        <w:t xml:space="preserve">11. Human Rights and Dignity in Testing</w:t>
      </w:r>
    </w:p>
    <w:p>
      <w:pPr>
        <w:spacing w:after="200" w:line="276"/>
        <w:jc w:val="both"/>
      </w:pPr>
      <w:r>
        <w:rPr>
          <w:rFonts w:ascii="Avenir Next LT Pro" w:cs="Avenir Next LT Pro" w:eastAsia="Avenir Next LT Pro" w:hAnsi="Avenir Next LT Pro"/>
          <w:sz w:val="20"/>
          <w:szCs w:val="20"/>
        </w:rPr>
        <w:t xml:space="preserve">All testing, searches, and related processes under this policy shall be conducted in a manner that respects the dignity, privacy, and human rights of the individual, consistent with the Company’s commitments under the Voluntary Principles on Security and Human Rights (VPSHR) and the International Code of Conduct for Private Security Service Providers (ICoCA).</w:t>
      </w:r>
    </w:p>
    <w:p>
      <w:pPr>
        <w:spacing w:after="200" w:line="276"/>
        <w:jc w:val="both"/>
      </w:pPr>
      <w:r>
        <w:rPr>
          <w:rFonts w:ascii="Avenir Next LT Pro" w:cs="Avenir Next LT Pro" w:eastAsia="Avenir Next LT Pro" w:hAnsi="Avenir Next LT Pro"/>
          <w:sz w:val="20"/>
          <w:szCs w:val="20"/>
        </w:rPr>
        <w:t xml:space="preserve">Specifically:</w:t>
      </w:r>
    </w:p>
    <w:p>
      <w:pPr>
        <w:pStyle w:val="ListParagraph"/>
        <w:numPr>
          <w:ilvl w:val="0"/>
          <w:numId w:val="2"/>
        </w:numPr>
        <w:spacing w:after="120" w:line="276"/>
      </w:pPr>
      <w:r>
        <w:rPr>
          <w:rFonts w:ascii="Avenir Next LT Pro" w:cs="Avenir Next LT Pro" w:eastAsia="Avenir Next LT Pro" w:hAnsi="Avenir Next LT Pro"/>
          <w:sz w:val="20"/>
          <w:szCs w:val="20"/>
        </w:rPr>
        <w:t xml:space="preserve">Testing procedures shall be explained clearly in a language the individual understands before testing commences.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Testing shall be conducted in private and with appropriate medical or supervisory oversight.</w:t>
      </w:r>
    </w:p>
    <w:p>
      <w:pPr>
        <w:pStyle w:val="ListParagraph"/>
        <w:numPr>
          <w:ilvl w:val="0"/>
          <w:numId w:val="2"/>
        </w:numPr>
        <w:spacing w:after="120" w:line="276"/>
      </w:pPr>
      <w:r>
        <w:rPr>
          <w:rFonts w:ascii="Avenir Next LT Pro" w:cs="Avenir Next LT Pro" w:eastAsia="Avenir Next LT Pro" w:hAnsi="Avenir Next LT Pro"/>
          <w:sz w:val="20"/>
          <w:szCs w:val="20"/>
        </w:rPr>
        <w:t xml:space="preserve">Test results are confidential and access is restricted to authorised senior management in accordance with the Company’s Personal Data Protection Policy (SM/INT/POL/005).</w:t>
      </w:r>
    </w:p>
    <w:p>
      <w:pPr>
        <w:pStyle w:val="ListParagraph"/>
        <w:numPr>
          <w:ilvl w:val="0"/>
          <w:numId w:val="2"/>
        </w:numPr>
        <w:spacing w:after="120" w:line="276"/>
      </w:pPr>
      <w:r>
        <w:rPr>
          <w:rFonts w:ascii="Avenir Next LT Pro" w:cs="Avenir Next LT Pro" w:eastAsia="Avenir Next LT Pro" w:hAnsi="Avenir Next LT Pro"/>
          <w:sz w:val="20"/>
          <w:szCs w:val="20"/>
        </w:rPr>
        <w:t xml:space="preserve">No individual shall be subjected to degrading, discriminatory, or disproportionate treatment during any testing or search process.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Individuals may raise concerns about the conduct of any test through the Company’s Grievance and Whistleblowing Policy (SM/INT/POL/004).</w:t>
      </w:r>
    </w:p>
    <w:p>
      <w:pPr>
        <w:pStyle w:val="Heading1"/>
        <w:spacing w:after="200" w:before="360"/>
      </w:pPr>
      <w:r>
        <w:rPr>
          <w:rFonts w:ascii="Avenir Next LT Pro" w:cs="Avenir Next LT Pro" w:eastAsia="Avenir Next LT Pro" w:hAnsi="Avenir Next LT Pro"/>
          <w:b/>
          <w:bCs/>
          <w:caps/>
          <w:color w:val="003C72"/>
          <w:sz w:val="28"/>
          <w:szCs w:val="28"/>
        </w:rPr>
        <w:t xml:space="preserve">12. Support and Rehabilitation</w:t>
      </w:r>
    </w:p>
    <w:p>
      <w:pPr>
        <w:spacing w:after="200" w:line="276"/>
        <w:jc w:val="both"/>
      </w:pPr>
      <w:r>
        <w:rPr>
          <w:rFonts w:ascii="Avenir Next LT Pro" w:cs="Avenir Next LT Pro" w:eastAsia="Avenir Next LT Pro" w:hAnsi="Avenir Next LT Pro"/>
          <w:sz w:val="20"/>
          <w:szCs w:val="20"/>
        </w:rPr>
        <w:t xml:space="preserve">The Company recognises that substance dependency is a health condition. Where an individual voluntarily discloses a substance dependency issue prior to any breach of this policy or positive test result, the Company will consider reasonable support measures on a case-by-case basis, which may include referral to appropriate professional services.</w:t>
      </w:r>
    </w:p>
    <w:p>
      <w:pPr>
        <w:spacing w:after="200" w:line="276"/>
        <w:jc w:val="both"/>
      </w:pPr>
      <w:r>
        <w:rPr>
          <w:rFonts w:ascii="Avenir Next LT Pro" w:cs="Avenir Next LT Pro" w:eastAsia="Avenir Next LT Pro" w:hAnsi="Avenir Next LT Pro"/>
          <w:sz w:val="20"/>
          <w:szCs w:val="20"/>
        </w:rPr>
        <w:t xml:space="preserve">Voluntary disclosure does not exempt the individual from the requirements of this policy, nor does it prevent disciplinary action where a breach has occurred. However, voluntary disclosure will be taken into account as a mitigating factor in any disciplinary process.</w:t>
      </w:r>
    </w:p>
    <w:p>
      <w:pPr>
        <w:pStyle w:val="Heading1"/>
        <w:spacing w:after="200" w:before="360"/>
      </w:pPr>
      <w:r>
        <w:rPr>
          <w:rFonts w:ascii="Avenir Next LT Pro" w:cs="Avenir Next LT Pro" w:eastAsia="Avenir Next LT Pro" w:hAnsi="Avenir Next LT Pro"/>
          <w:b/>
          <w:bCs/>
          <w:caps/>
          <w:color w:val="003C72"/>
          <w:sz w:val="28"/>
          <w:szCs w:val="28"/>
        </w:rPr>
        <w:t xml:space="preserve">13. Related Documents</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SM/INT/PRO/021 — Drugs and Alcohol Testing Procedure</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SM/INT/POL/004 — Grievance and Whistleblowing Policy</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SM/INT/POL/005 — Personal Data Protection Policy</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SM/INT/PRO/001 — Non-Conformance, OFI and Corrective Action Management</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SM/INT/PRO/006 — Incident and Crisis Management</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SM/SEC/POL/002 — Human Rights Policy</w:t>
      </w:r>
    </w:p>
    <w:p>
      <w:pPr>
        <w:pStyle w:val="ListParagraph"/>
        <w:numPr>
          <w:ilvl w:val="0"/>
          <w:numId w:val="2"/>
        </w:numPr>
        <w:spacing w:after="120" w:line="276"/>
      </w:pPr>
      <w:r>
        <w:rPr>
          <w:rFonts w:ascii="Avenir Next LT Pro" w:cs="Avenir Next LT Pro" w:eastAsia="Avenir Next LT Pro" w:hAnsi="Avenir Next LT Pro"/>
          <w:sz w:val="20"/>
          <w:szCs w:val="20"/>
        </w:rPr>
        <w:t xml:space="preserve">SM/INT/REG/008 — Training and Competence Matrix</w:t>
      </w:r>
    </w:p>
    <w:p>
      <w:pPr>
        <w:spacing w:before="600"/>
      </w:pPr>
    </w:p>
    <w:p>
      <w:pPr>
        <w:spacing w:after="40"/>
      </w:pPr>
      <w:r>
        <w:rPr>
          <w:rFonts w:ascii="Avenir Next LT Pro" w:cs="Avenir Next LT Pro" w:eastAsia="Avenir Next LT Pro" w:hAnsi="Avenir Next LT Pro"/>
          <w:b/>
          <w:bCs/>
          <w:sz w:val="20"/>
          <w:szCs w:val="20"/>
        </w:rPr>
        <w:t xml:space="preserve">Signed:</w:t>
      </w:r>
    </w:p>
    <w:p>
      <w:pPr>
        <w:spacing w:after="600"/>
      </w:pPr>
    </w:p>
    <w:p>
      <w:r>
        <w:rPr>
          <w:rFonts w:ascii="Avenir Next LT Pro" w:cs="Avenir Next LT Pro" w:eastAsia="Avenir Next LT Pro" w:hAnsi="Avenir Next LT Pro"/>
          <w:b/>
          <w:bCs/>
          <w:sz w:val="20"/>
          <w:szCs w:val="20"/>
        </w:rPr>
        <w:t xml:space="preserve">Darren Watts</w:t>
      </w:r>
    </w:p>
    <w:p>
      <w:r>
        <w:rPr>
          <w:rFonts w:ascii="Avenir Next LT Pro" w:cs="Avenir Next LT Pro" w:eastAsia="Avenir Next LT Pro" w:hAnsi="Avenir Next LT Pro"/>
          <w:sz w:val="20"/>
          <w:szCs w:val="20"/>
        </w:rPr>
        <w:t xml:space="preserve">Group Compliance Director</w:t>
      </w:r>
    </w:p>
    <w:p>
      <w:r>
        <w:rPr>
          <w:rFonts w:ascii="Avenir Next LT Pro" w:cs="Avenir Next LT Pro" w:eastAsia="Avenir Next LT Pro" w:hAnsi="Avenir Next LT Pro"/>
          <w:sz w:val="20"/>
          <w:szCs w:val="20"/>
        </w:rPr>
        <w:t xml:space="preserve">Date: 08/04/2026</w:t>
      </w:r>
    </w:p>
    <w:sectPr>
      <w:headerReference w:type="default" r:id="rId7"/>
      <w:headerReference w:type="first" r:id="rId8"/>
      <w:footerReference w:type="default" r:id="rId9"/>
      <w:footerReference w:type="first" r:id="rId10"/>
      <w:pgSz w:w="11906" w:h="16838" w:orient="portrait"/>
      <w:pgMar w:top="180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C72" w:sz="6" w:space="4"/>
      </w:pBdr>
      <w:tabs>
        <w:tab w:val="center" w:pos="4513"/>
        <w:tab w:val="right" w:pos="9026"/>
      </w:tabs>
    </w:pPr>
    <w:r>
      <w:rPr>
        <w:rFonts w:ascii="Avenir Next LT Pro" w:cs="Avenir Next LT Pro" w:eastAsia="Avenir Next LT Pro" w:hAnsi="Avenir Next LT Pro"/>
        <w:color w:val="003C72"/>
        <w:sz w:val="14"/>
        <w:szCs w:val="14"/>
      </w:rPr>
      <w:t xml:space="preserve">Page </w:t>
    </w:r>
    <w:r>
      <w:rPr>
        <w:rFonts w:ascii="Avenir Next LT Pro" w:cs="Avenir Next LT Pro" w:eastAsia="Avenir Next LT Pro" w:hAnsi="Avenir Next LT Pro"/>
        <w:color w:val="003C72"/>
        <w:sz w:val="14"/>
        <w:szCs w:val="14"/>
      </w:rPr>
      <w:fldChar w:fldCharType="begin"/>
      <w:instrText xml:space="preserve">PAGE</w:instrText>
      <w:fldChar w:fldCharType="separate"/>
      <w:fldChar w:fldCharType="end"/>
    </w:r>
    <w:r>
      <w:rPr>
        <w:rFonts w:ascii="Avenir Next LT Pro" w:cs="Avenir Next LT Pro" w:eastAsia="Avenir Next LT Pro" w:hAnsi="Avenir Next LT Pro"/>
        <w:color w:val="003C72"/>
        <w:sz w:val="14"/>
        <w:szCs w:val="14"/>
      </w:rPr>
      <w:t xml:space="preserve"> of </w:t>
    </w:r>
    <w:r>
      <w:rPr>
        <w:rFonts w:ascii="Avenir Next LT Pro" w:cs="Avenir Next LT Pro" w:eastAsia="Avenir Next LT Pro" w:hAnsi="Avenir Next LT Pro"/>
        <w:color w:val="003C72"/>
        <w:sz w:val="14"/>
        <w:szCs w:val="14"/>
      </w:rPr>
      <w:fldChar w:fldCharType="begin"/>
      <w:instrText xml:space="preserve">NUMPAGES</w:instrText>
      <w:fldChar w:fldCharType="separate"/>
      <w:fldChar w:fldCharType="end"/>
    </w:r>
    <w:r>
      <w:rPr>
        <w:rFonts w:ascii="Avenir Next LT Pro" w:cs="Avenir Next LT Pro" w:eastAsia="Avenir Next LT Pro" w:hAnsi="Avenir Next LT Pro"/>
        <w:sz w:val="14"/>
        <w:szCs w:val="14"/>
      </w:rPr>
      <w:t xml:space="preserve">	</w:t>
    </w:r>
    <w:r>
      <w:rPr>
        <w:rFonts w:ascii="Avenir Next LT Pro" w:cs="Avenir Next LT Pro" w:eastAsia="Avenir Next LT Pro" w:hAnsi="Avenir Next LT Pro"/>
        <w:color w:val="003C72"/>
        <w:sz w:val="14"/>
        <w:szCs w:val="14"/>
      </w:rPr>
      <w:t xml:space="preserve">UNCONTROLLED IF PRINTED OR DOWNLOADED</w:t>
    </w:r>
    <w:r>
      <w:rPr>
        <w:rFonts w:ascii="Avenir Next LT Pro" w:cs="Avenir Next LT Pro" w:eastAsia="Avenir Next LT Pro" w:hAnsi="Avenir Next LT Pro"/>
        <w:sz w:val="14"/>
        <w:szCs w:val="14"/>
      </w:rPr>
      <w:t xml:space="preserve">	</w:t>
    </w:r>
    <w:r>
      <w:rPr>
        <w:rFonts w:ascii="Avenir Next LT Pro" w:cs="Avenir Next LT Pro" w:eastAsia="Avenir Next LT Pro" w:hAnsi="Avenir Next LT Pro"/>
        <w:color w:val="003C72"/>
        <w:sz w:val="14"/>
        <w:szCs w:val="14"/>
      </w:rPr>
      <w:t xml:space="preserve">SM/INT/POL/010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vAlign w:val="center"/>
        </w:tcPr>
        <w:p>
          <w:r>
            <w:rPr>
              <w:rFonts w:ascii="Avenir Next LT Pro" w:cs="Avenir Next LT Pro" w:eastAsia="Avenir Next LT Pro" w:hAnsi="Avenir Next LT Pro"/>
              <w:b/>
              <w:bCs/>
              <w:color w:val="42515A"/>
              <w:sz w:val="40"/>
              <w:szCs w:val="40"/>
            </w:rPr>
            <w:t xml:space="preserve">Drugs and Alcohol Policy</w:t>
          </w:r>
        </w:p>
      </w:tc>
      <w:tc>
        <w:tcPr>
          <w:tcW w:type="dxa" w:w="2026"/>
          <w:tcBorders>
            <w:top w:val="none" w:color="FFFFFF" w:sz="0"/>
            <w:left w:val="none" w:color="FFFFFF" w:sz="0"/>
            <w:bottom w:val="none" w:color="FFFFFF" w:sz="0"/>
            <w:right w:val="none" w:color="FFFFFF" w:sz="0"/>
          </w:tcBorders>
          <w:vAlign w:val="center"/>
        </w:tcPr>
        <w:p>
          <w:pPr>
            <w:jc w:val="right"/>
          </w:pPr>
          <w:r>
            <w:drawing>
              <wp:inline distT="0" distB="0" distL="0" distR="0">
                <wp:extent cx="666750" cy="666750"/>
                <wp:effectExtent t="0" r="0" b="0" l="0"/>
                <wp:docPr id="1" name="logo" descr="Seagull Maritim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LT Pro" w:cs="Avenir Next LT Pro" w:eastAsia="Avenir Next LT Pro" w:hAnsi="Avenir Next LT Pr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venir Next LT Pro" w:cs="Avenir Next LT Pro" w:eastAsia="Avenir Next LT Pro" w:hAnsi="Avenir Next LT Pro"/>
      <w:b/>
      <w:bCs/>
      <w:caps/>
      <w:color w:val="003C72"/>
      <w:sz w:val="28"/>
      <w:szCs w:val="28"/>
    </w:rPr>
  </w:style>
  <w:style w:type="paragraph" w:styleId="Heading2">
    <w:name w:val="Heading 2"/>
    <w:basedOn w:val="Normal"/>
    <w:next w:val="Normal"/>
    <w:qFormat/>
    <w:pPr>
      <w:spacing w:after="200" w:before="240"/>
      <w:outlineLvl w:val="1"/>
    </w:pPr>
    <w:rPr>
      <w:rFonts w:ascii="Avenir Next LT Pro" w:cs="Avenir Next LT Pro" w:eastAsia="Avenir Next LT Pro" w:hAnsi="Avenir Next LT Pro"/>
      <w:b/>
      <w:bCs/>
      <w:color w:val="003C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bad22be83a4811b2770734b54a06182a80097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7d4f88b8b03c49e30c0ec3e4538b5fe61e7ae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2026-04-08T11:17:59.000Z</dcterms:created>
  <dcterms:modified xsi:type="dcterms:W3CDTF">2026-04-08T11:17:59.000Z</dcterms:modified>
</cp:coreProperties>
</file>

<file path=docProps/custom.xml><?xml version="1.0" encoding="utf-8"?>
<Properties xmlns="http://schemas.openxmlformats.org/officeDocument/2006/custom-properties" xmlns:vt="http://schemas.openxmlformats.org/officeDocument/2006/docPropsVTypes"/>
</file>