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jpg" ContentType="image/jpeg"/>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80"/>
        <w:ind w:hanging="0" w:start="360" w:end="0"/>
        <w:rPr>
          <w:rFonts w:cs="Arial"/>
          <w:b w:val="false"/>
          <w:bCs w:val="false"/>
          <w:color w:val="000080"/>
          <w:sz w:val="28"/>
        </w:rPr>
      </w:pPr>
      <w:r>
        <w:rPr>
          <w:rFonts w:cs="Arial"/>
          <w:b w:val="false"/>
          <w:bCs w:val="false"/>
          <w:color w:val="000080"/>
          <w:sz w:val="28"/>
        </w:rPr>
      </w:r>
    </w:p>
    <w:p>
      <w:pPr>
        <w:pStyle w:val="Normal"/>
        <w:numPr>
          <w:ilvl w:val="0"/>
          <w:numId w:val="0"/>
        </w:numPr>
        <w:outlineLvl w:val="0"/>
        <w:rPr>
          <w:rFonts w:ascii="Verdana" w:hAnsi="Verdana" w:cs="Verdana"/>
          <w:b/>
          <w:sz w:val="20"/>
          <w:szCs w:val="20"/>
        </w:rPr>
      </w:pPr>
      <w:r>
        <w:rPr>
          <w:rFonts w:cs="Verdana" w:ascii="Verdana" w:hAnsi="Verdana"/>
          <w:b/>
          <w:sz w:val="20"/>
          <w:szCs w:val="20"/>
        </w:rPr>
        <w:t xml:space="preserve">Private Security Company (PMSC) Table Top Due Diligence (DD) Report </w:t>
      </w:r>
    </w:p>
    <w:p>
      <w:pPr>
        <w:pStyle w:val="Normal"/>
        <w:numPr>
          <w:ilvl w:val="0"/>
          <w:numId w:val="0"/>
        </w:numPr>
        <w:outlineLvl w:val="0"/>
        <w:rPr>
          <w:rFonts w:ascii="Verdana" w:hAnsi="Verdana" w:cs="Verdana"/>
          <w:b/>
          <w:sz w:val="20"/>
          <w:szCs w:val="20"/>
        </w:rPr>
      </w:pPr>
      <w:r>
        <w:rPr>
          <w:rFonts w:cs="Verdana" w:ascii="Verdana" w:hAnsi="Verdana"/>
          <w:b/>
          <w:sz w:val="20"/>
          <w:szCs w:val="20"/>
        </w:rPr>
      </w:r>
    </w:p>
    <w:tbl>
      <w:tblPr>
        <w:tblW w:w="8522" w:type="dxa"/>
        <w:jc w:val="center"/>
        <w:tblInd w:w="0" w:type="dxa"/>
        <w:tblLayout w:type="fixed"/>
        <w:tblCellMar>
          <w:top w:w="0" w:type="dxa"/>
          <w:start w:w="108" w:type="dxa"/>
          <w:bottom w:w="0" w:type="dxa"/>
          <w:end w:w="108" w:type="dxa"/>
        </w:tblCellMar>
      </w:tblPr>
      <w:tblGrid>
        <w:gridCol w:w="4308"/>
        <w:gridCol w:w="4214"/>
      </w:tblGrid>
      <w:tr>
        <w:trPr>
          <w:trHeight w:val="680" w:hRule="atLeast"/>
        </w:trPr>
        <w:tc>
          <w:tcPr>
            <w:tcW w:w="43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pPr>
            <w:r>
              <w:rPr>
                <w:rFonts w:cs="Arial" w:ascii="Verdana" w:hAnsi="Verdana"/>
                <w:sz w:val="20"/>
                <w:szCs w:val="20"/>
              </w:rPr>
              <w:t>PMSC</w:t>
            </w:r>
            <w:r>
              <w:rPr>
                <w:lang w:val="en-US" w:eastAsia="en-US"/>
              </w:rPr>
              <w:t xml:space="preserve"> </w:t>
            </w:r>
          </w:p>
          <w:p>
            <w:pPr>
              <w:pStyle w:val="Normal"/>
              <w:spacing w:before="0" w:after="0"/>
              <w:jc w:val="both"/>
              <w:rPr>
                <w:rFonts w:ascii="Verdana" w:hAnsi="Verdana" w:cs="Arial"/>
                <w:sz w:val="32"/>
                <w:szCs w:val="20"/>
                <w:lang w:val="en-US" w:eastAsia="en-US"/>
              </w:rPr>
            </w:pPr>
            <w:r>
              <w:rPr>
                <w:rFonts w:cs="Arial" w:ascii="Verdana" w:hAnsi="Verdana"/>
                <w:sz w:val="32"/>
                <w:szCs w:val="20"/>
                <w:lang w:val="en-US" w:eastAsia="en-US"/>
              </w:rPr>
            </w:r>
          </w:p>
        </w:tc>
        <w:tc>
          <w:tcPr>
            <w:tcW w:w="4214" w:type="dxa"/>
            <w:tcBorders>
              <w:top w:val="single" w:sz="4" w:space="0" w:color="000000"/>
              <w:start w:val="single" w:sz="4" w:space="0" w:color="000000"/>
              <w:bottom w:val="single" w:sz="4" w:space="0" w:color="000000"/>
              <w:end w:val="single" w:sz="4" w:space="0" w:color="000000"/>
            </w:tcBorders>
            <w:vAlign w:val="center"/>
          </w:tcPr>
          <w:p>
            <w:r>
              <w:t>Seagull Maritime Ltd</w:t>
            </w:r>
          </w:p>
        </w:tc>
      </w:tr>
      <w:tr>
        <w:trPr>
          <w:trHeight w:val="680" w:hRule="atLeast"/>
        </w:trPr>
        <w:tc>
          <w:tcPr>
            <w:tcW w:w="43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rFonts w:ascii="Verdana" w:hAnsi="Verdana" w:cs="Arial"/>
                <w:sz w:val="20"/>
                <w:szCs w:val="20"/>
              </w:rPr>
            </w:pPr>
            <w:r>
              <w:rPr>
                <w:rFonts w:cs="Arial" w:ascii="Verdana" w:hAnsi="Verdana"/>
                <w:sz w:val="20"/>
                <w:szCs w:val="20"/>
              </w:rPr>
              <w:t xml:space="preserve">Area of the deployment / service </w:t>
            </w:r>
          </w:p>
        </w:tc>
        <w:tc>
          <w:tcPr>
            <w:tcW w:w="4214" w:type="dxa"/>
            <w:tcBorders>
              <w:top w:val="single" w:sz="4" w:space="0" w:color="000000"/>
              <w:start w:val="single" w:sz="4" w:space="0" w:color="000000"/>
              <w:bottom w:val="single" w:sz="4" w:space="0" w:color="000000"/>
              <w:end w:val="single" w:sz="4" w:space="0" w:color="000000"/>
            </w:tcBorders>
            <w:vAlign w:val="center"/>
          </w:tcPr>
          <w:p>
            <w:r>
              <w:t>Armed Escort Services within HRA — Red Sea, Gulf of Aden, Arabian Gulf and Indian Ocean</w:t>
            </w:r>
          </w:p>
        </w:tc>
      </w:tr>
      <w:tr>
        <w:trPr>
          <w:trHeight w:val="680" w:hRule="atLeast"/>
        </w:trPr>
        <w:tc>
          <w:tcPr>
            <w:tcW w:w="43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rFonts w:ascii="Verdana" w:hAnsi="Verdana" w:cs="Arial"/>
                <w:sz w:val="20"/>
                <w:szCs w:val="20"/>
              </w:rPr>
            </w:pPr>
            <w:r>
              <w:rPr>
                <w:rFonts w:cs="Arial" w:ascii="Verdana" w:hAnsi="Verdana"/>
                <w:sz w:val="20"/>
                <w:szCs w:val="20"/>
              </w:rPr>
              <w:t>Month of the DD</w:t>
            </w:r>
          </w:p>
        </w:tc>
        <w:tc>
          <w:tcPr>
            <w:tcW w:w="4214" w:type="dxa"/>
            <w:tcBorders>
              <w:top w:val="single" w:sz="4" w:space="0" w:color="000000"/>
              <w:start w:val="single" w:sz="4" w:space="0" w:color="000000"/>
              <w:bottom w:val="single" w:sz="4" w:space="0" w:color="000000"/>
              <w:end w:val="single" w:sz="4" w:space="0" w:color="000000"/>
            </w:tcBorders>
            <w:vAlign w:val="center"/>
          </w:tcPr>
          <w:p>
            <w:r>
              <w:t>April 2026</w:t>
            </w:r>
          </w:p>
        </w:tc>
      </w:tr>
      <w:tr>
        <w:trPr>
          <w:trHeight w:val="680" w:hRule="atLeast"/>
        </w:trPr>
        <w:tc>
          <w:tcPr>
            <w:tcW w:w="43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rFonts w:ascii="Verdana" w:hAnsi="Verdana" w:cs="Arial"/>
                <w:sz w:val="20"/>
                <w:szCs w:val="20"/>
              </w:rPr>
            </w:pPr>
            <w:r>
              <w:rPr>
                <w:rFonts w:cs="Arial" w:ascii="Verdana" w:hAnsi="Verdana"/>
                <w:sz w:val="20"/>
                <w:szCs w:val="20"/>
              </w:rPr>
              <w:t>Date of the last DD:</w:t>
            </w:r>
          </w:p>
        </w:tc>
        <w:tc>
          <w:tcPr>
            <w:tcW w:w="4214" w:type="dxa"/>
            <w:tcBorders>
              <w:top w:val="single" w:sz="4" w:space="0" w:color="000000"/>
              <w:start w:val="single" w:sz="4" w:space="0" w:color="000000"/>
              <w:bottom w:val="single" w:sz="4" w:space="0" w:color="000000"/>
              <w:end w:val="single" w:sz="4" w:space="0" w:color="000000"/>
            </w:tcBorders>
            <w:vAlign w:val="center"/>
          </w:tcPr>
          <w:p>
            <w:r>
              <w:t>March 2021</w:t>
            </w:r>
          </w:p>
        </w:tc>
      </w:tr>
      <w:tr>
        <w:trPr>
          <w:trHeight w:val="680" w:hRule="atLeast"/>
        </w:trPr>
        <w:tc>
          <w:tcPr>
            <w:tcW w:w="43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pPr>
            <w:r>
              <w:rPr>
                <w:rFonts w:cs="Arial" w:ascii="Verdana" w:hAnsi="Verdana"/>
                <w:sz w:val="20"/>
                <w:szCs w:val="20"/>
                <w:lang w:val="en-US"/>
              </w:rPr>
              <w:t>DD Auditor</w:t>
            </w:r>
          </w:p>
        </w:tc>
        <w:tc>
          <w:tcPr>
            <w:tcW w:w="4214" w:type="dxa"/>
            <w:tcBorders>
              <w:top w:val="single" w:sz="4" w:space="0" w:color="000000"/>
              <w:start w:val="single" w:sz="4" w:space="0" w:color="000000"/>
              <w:bottom w:val="single" w:sz="4" w:space="0" w:color="000000"/>
              <w:end w:val="single" w:sz="4" w:space="0" w:color="000000"/>
            </w:tcBorders>
            <w:vAlign w:val="center"/>
          </w:tcPr>
          <w:p>
            <w:r>
              <w:t>Capt. Daniel Musafia — Columbia Shipmanagement</w:t>
            </w:r>
          </w:p>
        </w:tc>
      </w:tr>
      <w:tr>
        <w:trPr>
          <w:trHeight w:val="680" w:hRule="atLeast"/>
        </w:trPr>
        <w:tc>
          <w:tcPr>
            <w:tcW w:w="43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rFonts w:ascii="Verdana" w:hAnsi="Verdana" w:cs="Arial"/>
                <w:sz w:val="20"/>
                <w:szCs w:val="20"/>
                <w:lang w:val="en-US"/>
              </w:rPr>
            </w:pPr>
            <w:r>
              <w:rPr>
                <w:rFonts w:cs="Arial" w:ascii="Verdana" w:hAnsi="Verdana"/>
                <w:sz w:val="20"/>
                <w:szCs w:val="20"/>
                <w:lang w:val="en-US"/>
              </w:rPr>
              <w:t>Scope</w:t>
            </w:r>
          </w:p>
        </w:tc>
        <w:tc>
          <w:tcPr>
            <w:tcW w:w="421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rFonts w:ascii="Verdana" w:hAnsi="Verdana" w:cs="Arial"/>
                <w:sz w:val="20"/>
                <w:szCs w:val="20"/>
                <w:lang w:val="en-US"/>
              </w:rPr>
            </w:pPr>
            <w:r>
              <w:rPr>
                <w:rFonts w:cs="Verdana" w:ascii="Verdana" w:hAnsi="Verdana"/>
                <w:sz w:val="20"/>
                <w:szCs w:val="20"/>
              </w:rPr>
              <w:t>Table Top Due Diligence Assessment</w:t>
            </w:r>
          </w:p>
        </w:tc>
      </w:tr>
      <w:tr>
        <w:trPr>
          <w:trHeight w:val="680" w:hRule="atLeast"/>
        </w:trPr>
        <w:tc>
          <w:tcPr>
            <w:tcW w:w="43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rFonts w:ascii="Verdana" w:hAnsi="Verdana" w:cs="Arial"/>
                <w:sz w:val="20"/>
                <w:szCs w:val="20"/>
              </w:rPr>
            </w:pPr>
            <w:r>
              <w:rPr>
                <w:rFonts w:cs="Arial" w:ascii="Verdana" w:hAnsi="Verdana"/>
                <w:sz w:val="20"/>
                <w:szCs w:val="20"/>
              </w:rPr>
              <w:t>Objective</w:t>
            </w:r>
          </w:p>
        </w:tc>
        <w:tc>
          <w:tcPr>
            <w:tcW w:w="421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120"/>
              <w:jc w:val="both"/>
              <w:rPr>
                <w:rFonts w:ascii="Verdana" w:hAnsi="Verdana" w:cs="Verdana"/>
                <w:sz w:val="20"/>
                <w:szCs w:val="20"/>
              </w:rPr>
            </w:pPr>
            <w:r>
              <w:rPr>
                <w:rFonts w:cs="Verdana" w:ascii="Verdana" w:hAnsi="Verdana"/>
                <w:sz w:val="20"/>
                <w:szCs w:val="20"/>
              </w:rPr>
              <w:t>To determine and judge the legal and practical reliability of the PMSC</w:t>
            </w:r>
          </w:p>
        </w:tc>
      </w:tr>
      <w:tr>
        <w:trPr>
          <w:trHeight w:val="680" w:hRule="atLeast"/>
        </w:trPr>
        <w:tc>
          <w:tcPr>
            <w:tcW w:w="43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both"/>
              <w:rPr>
                <w:rFonts w:ascii="Verdana" w:hAnsi="Verdana" w:cs="Arial"/>
                <w:sz w:val="20"/>
                <w:szCs w:val="20"/>
              </w:rPr>
            </w:pPr>
            <w:r>
              <w:rPr>
                <w:rFonts w:cs="Arial" w:ascii="Verdana" w:hAnsi="Verdana"/>
                <w:sz w:val="20"/>
                <w:szCs w:val="20"/>
              </w:rPr>
              <w:t>Reference Manuals / Documents</w:t>
            </w:r>
          </w:p>
        </w:tc>
        <w:tc>
          <w:tcPr>
            <w:tcW w:w="4214" w:type="dxa"/>
            <w:tcBorders>
              <w:top w:val="single" w:sz="4" w:space="0" w:color="000000"/>
              <w:start w:val="single" w:sz="4" w:space="0" w:color="000000"/>
              <w:bottom w:val="single" w:sz="4" w:space="0" w:color="000000"/>
              <w:end w:val="single" w:sz="4" w:space="0" w:color="000000"/>
            </w:tcBorders>
            <w:vAlign w:val="center"/>
          </w:tcPr>
          <w:p>
            <w:r>
              <w:t>BIMCO GUARDCON, IMO Circ. 1405 Rev.2, BMP-MS, OCIMF PMSC Guidance, ISO 28007:2015, ISO 18788:2015, ISO 28000:2022, ISO 9001:2015, ICoCA Code of Conduct, VPSHR, MISTO</w:t>
            </w:r>
          </w:p>
        </w:tc>
      </w:tr>
    </w:tbl>
    <w:p>
      <w:pPr>
        <w:pStyle w:val="Normal"/>
        <w:autoSpaceDE w:val="false"/>
        <w:spacing w:lineRule="auto" w:line="360" w:before="0" w:after="0"/>
        <w:ind w:hanging="720" w:start="720" w:end="0"/>
        <w:jc w:val="both"/>
        <w:rPr>
          <w:rFonts w:ascii="Verdana" w:hAnsi="Verdana" w:cs="Arial"/>
          <w:b/>
          <w:sz w:val="20"/>
          <w:szCs w:val="20"/>
          <w:lang w:val="en-US"/>
        </w:rPr>
      </w:pPr>
      <w:r>
        <w:rPr>
          <w:rFonts w:cs="Arial" w:ascii="Verdana" w:hAnsi="Verdana"/>
          <w:b/>
          <w:sz w:val="20"/>
          <w:szCs w:val="20"/>
          <w:lang w:val="en-US"/>
        </w:rPr>
      </w:r>
      <w:bookmarkStart w:id="0" w:name="OLE_LINK1"/>
      <w:bookmarkStart w:id="1" w:name="OLE_LINK2"/>
    </w:p>
    <w:p>
      <w:pPr>
        <w:pStyle w:val="Normal"/>
        <w:autoSpaceDE w:val="false"/>
        <w:spacing w:lineRule="auto" w:line="360" w:before="0" w:after="0"/>
        <w:ind w:hanging="720" w:start="720" w:end="0"/>
        <w:jc w:val="both"/>
        <w:rPr>
          <w:rFonts w:ascii="Verdana" w:hAnsi="Verdana" w:cs="Arial"/>
          <w:b/>
          <w:sz w:val="20"/>
          <w:szCs w:val="20"/>
          <w:lang w:val="en-US"/>
        </w:rPr>
      </w:pPr>
      <w:r>
        <w:rPr>
          <w:rFonts w:cs="Arial" w:ascii="Verdana" w:hAnsi="Verdana"/>
          <w:b/>
          <w:sz w:val="20"/>
          <w:szCs w:val="20"/>
          <w:lang w:val="en-US"/>
        </w:rPr>
      </w:r>
    </w:p>
    <w:p>
      <w:pPr>
        <w:pStyle w:val="Normal"/>
        <w:autoSpaceDE w:val="false"/>
        <w:spacing w:lineRule="auto" w:line="360" w:before="0" w:after="0"/>
        <w:ind w:hanging="720" w:start="720" w:end="0"/>
        <w:jc w:val="both"/>
        <w:rPr>
          <w:rFonts w:ascii="Verdana" w:hAnsi="Verdana" w:cs="Arial"/>
          <w:b/>
          <w:sz w:val="20"/>
          <w:szCs w:val="20"/>
          <w:lang w:val="en-US"/>
        </w:rPr>
      </w:pPr>
      <w:r>
        <w:rPr>
          <w:rFonts w:cs="Arial" w:ascii="Verdana" w:hAnsi="Verdana"/>
          <w:b/>
          <w:sz w:val="20"/>
          <w:szCs w:val="20"/>
          <w:lang w:val="en-US"/>
        </w:rPr>
      </w:r>
    </w:p>
    <w:p>
      <w:pPr>
        <w:pStyle w:val="Normal"/>
        <w:autoSpaceDE w:val="false"/>
        <w:spacing w:lineRule="auto" w:line="360" w:before="0" w:after="0"/>
        <w:ind w:hanging="720" w:start="720" w:end="0"/>
        <w:jc w:val="both"/>
        <w:rPr>
          <w:rFonts w:ascii="Verdana" w:hAnsi="Verdana" w:cs="Arial"/>
          <w:b/>
          <w:sz w:val="20"/>
          <w:szCs w:val="20"/>
          <w:lang w:val="en-US"/>
        </w:rPr>
      </w:pPr>
      <w:r>
        <w:rPr>
          <w:rFonts w:cs="Arial" w:ascii="Verdana" w:hAnsi="Verdana"/>
          <w:b/>
          <w:sz w:val="20"/>
          <w:szCs w:val="20"/>
          <w:lang w:val="en-US"/>
        </w:rPr>
      </w:r>
    </w:p>
    <w:p>
      <w:pPr>
        <w:pStyle w:val="Normal"/>
        <w:autoSpaceDE w:val="false"/>
        <w:spacing w:lineRule="auto" w:line="360" w:before="0" w:after="0"/>
        <w:ind w:hanging="720" w:start="720" w:end="0"/>
        <w:jc w:val="both"/>
        <w:rPr>
          <w:rFonts w:ascii="Verdana" w:hAnsi="Verdana" w:cs="Arial"/>
          <w:b/>
          <w:sz w:val="20"/>
          <w:szCs w:val="20"/>
          <w:lang w:val="en-US"/>
        </w:rPr>
        <w:sectPr>
          <w:headerReference w:type="default" r:id="rId2"/>
          <w:footerReference w:type="default" r:id="rId3"/>
          <w:type w:val="nextPage"/>
          <w:pgSz w:w="11906" w:h="16838"/>
          <w:pgMar w:left="1800" w:right="1800" w:gutter="0" w:header="720" w:top="1440" w:footer="720" w:bottom="1440"/>
          <w:pgNumType w:fmt="decimal"/>
          <w:formProt w:val="false"/>
          <w:textDirection w:val="lrTb"/>
          <w:docGrid w:type="default" w:linePitch="360" w:charSpace="0"/>
        </w:sectPr>
      </w:pPr>
      <w:r>
        <w:rPr>
          <w:rFonts w:cs="Arial" w:ascii="Verdana" w:hAnsi="Verdana"/>
          <w:b/>
          <w:sz w:val="20"/>
          <w:szCs w:val="20"/>
          <w:lang w:val="en-US"/>
        </w:rPr>
      </w:r>
    </w:p>
    <w:p>
      <w:pPr>
        <w:pStyle w:val="Normal"/>
        <w:autoSpaceDE w:val="false"/>
        <w:spacing w:lineRule="auto" w:line="600" w:before="0" w:after="0"/>
        <w:ind w:hanging="720" w:start="720" w:end="0"/>
        <w:jc w:val="both"/>
        <w:rPr>
          <w:rFonts w:ascii="Verdana" w:hAnsi="Verdana" w:cs="Arial"/>
          <w:b/>
          <w:sz w:val="16"/>
          <w:szCs w:val="20"/>
          <w:lang w:val="en-US"/>
        </w:rPr>
      </w:pPr>
      <w:r>
        <w:rPr>
          <w:rFonts w:cs="Arial" w:ascii="Verdana" w:hAnsi="Verdana"/>
          <w:b/>
          <w:sz w:val="16"/>
          <w:szCs w:val="20"/>
          <w:lang w:val="en-US"/>
        </w:rPr>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 xml:space="preserve">Background / Introduction </w:t>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 xml:space="preserve">Executive Summary </w:t>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General</w:t>
      </w:r>
    </w:p>
    <w:p>
      <w:pPr>
        <w:pStyle w:val="Normal"/>
        <w:numPr>
          <w:ilvl w:val="0"/>
          <w:numId w:val="2"/>
        </w:numPr>
        <w:autoSpaceDE w:val="false"/>
        <w:spacing w:lineRule="auto" w:line="60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Certificates, Licences and accreditation by recognized association or industry body</w:t>
      </w:r>
    </w:p>
    <w:p>
      <w:pPr>
        <w:pStyle w:val="Normal"/>
        <w:autoSpaceDE w:val="false"/>
        <w:spacing w:lineRule="auto" w:line="600" w:before="0" w:after="0"/>
        <w:ind w:start="144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4.1 Additional certificates, licences, letters and documents</w:t>
      </w:r>
    </w:p>
    <w:p>
      <w:pPr>
        <w:pStyle w:val="Normal"/>
        <w:autoSpaceDE w:val="false"/>
        <w:spacing w:lineRule="auto" w:line="600" w:before="0" w:after="0"/>
        <w:ind w:firstLine="720" w:start="72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4.2 Vessel based Armouries for</w:t>
      </w:r>
    </w:p>
    <w:p>
      <w:pPr>
        <w:pStyle w:val="Normal"/>
        <w:numPr>
          <w:ilvl w:val="0"/>
          <w:numId w:val="2"/>
        </w:numPr>
        <w:autoSpaceDE w:val="false"/>
        <w:spacing w:lineRule="auto" w:line="60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Knowledge and Experience</w:t>
      </w:r>
    </w:p>
    <w:p>
      <w:pPr>
        <w:pStyle w:val="Normal"/>
        <w:numPr>
          <w:ilvl w:val="0"/>
          <w:numId w:val="2"/>
        </w:numPr>
        <w:autoSpaceDE w:val="false"/>
        <w:spacing w:lineRule="auto" w:line="60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Procedures</w:t>
      </w:r>
    </w:p>
    <w:p>
      <w:pPr>
        <w:pStyle w:val="Normal"/>
        <w:numPr>
          <w:ilvl w:val="0"/>
          <w:numId w:val="2"/>
        </w:numPr>
        <w:autoSpaceDE w:val="false"/>
        <w:spacing w:lineRule="auto" w:line="600" w:before="0" w:after="0"/>
        <w:jc w:val="both"/>
        <w:rPr>
          <w:rFonts w:ascii="Verdana" w:hAnsi="Verdana" w:eastAsia="Times New Roman" w:cs="Arial"/>
          <w:bCs/>
          <w:sz w:val="20"/>
          <w:szCs w:val="20"/>
          <w:lang w:eastAsia="en-GB"/>
        </w:rPr>
      </w:pPr>
      <w:r>
        <w:rPr>
          <w:rFonts w:eastAsia="Times New Roman" w:cs="Arial" w:ascii="Verdana" w:hAnsi="Verdana"/>
          <w:b/>
          <w:bCs/>
          <w:sz w:val="20"/>
          <w:szCs w:val="20"/>
          <w:lang w:eastAsia="en-GB"/>
        </w:rPr>
        <w:t xml:space="preserve">Employee Screening </w:t>
      </w:r>
    </w:p>
    <w:p>
      <w:pPr>
        <w:pStyle w:val="Normal"/>
        <w:numPr>
          <w:ilvl w:val="0"/>
          <w:numId w:val="2"/>
        </w:numPr>
        <w:autoSpaceDE w:val="false"/>
        <w:spacing w:lineRule="auto" w:line="60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Training</w:t>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Flag state approval</w:t>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Insurance</w:t>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Contractual agreement</w:t>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PMSC team size, composition and equipment</w:t>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 xml:space="preserve"> </w:t>
      </w:r>
      <w:r>
        <w:rPr>
          <w:rFonts w:eastAsia="Times New Roman" w:cs="Arial" w:ascii="Verdana" w:hAnsi="Verdana"/>
          <w:b/>
          <w:bCs/>
          <w:sz w:val="20"/>
          <w:szCs w:val="20"/>
          <w:lang w:eastAsia="en-GB"/>
        </w:rPr>
        <w:t>PMSC boarding areas/ports</w:t>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cs="Verdana" w:ascii="Verdana" w:hAnsi="Verdana"/>
          <w:b/>
          <w:sz w:val="20"/>
          <w:szCs w:val="20"/>
        </w:rPr>
        <w:t xml:space="preserve"> </w:t>
      </w:r>
      <w:r>
        <w:rPr>
          <w:rFonts w:cs="Verdana" w:ascii="Verdana" w:hAnsi="Verdana"/>
          <w:b/>
          <w:sz w:val="20"/>
          <w:szCs w:val="20"/>
        </w:rPr>
        <w:t>P &amp; I Club</w:t>
      </w:r>
    </w:p>
    <w:p>
      <w:pPr>
        <w:pStyle w:val="Normal"/>
        <w:numPr>
          <w:ilvl w:val="0"/>
          <w:numId w:val="2"/>
        </w:numPr>
        <w:autoSpaceDE w:val="false"/>
        <w:spacing w:lineRule="auto" w:line="600" w:before="0" w:after="0"/>
        <w:rPr>
          <w:rFonts w:ascii="Verdana" w:hAnsi="Verdana" w:cs="Arial"/>
          <w:b/>
          <w:sz w:val="20"/>
          <w:szCs w:val="20"/>
          <w:lang w:val="en-US"/>
        </w:rPr>
        <w:sectPr>
          <w:headerReference w:type="default" r:id="rId4"/>
          <w:headerReference w:type="first" r:id="rId5"/>
          <w:footerReference w:type="default" r:id="rId6"/>
          <w:footerReference w:type="first" r:id="rId7"/>
          <w:type w:val="nextPage"/>
          <w:pgSz w:w="11906" w:h="16838"/>
          <w:pgMar w:left="1800" w:right="1800" w:gutter="0" w:header="720" w:top="1440" w:footer="720" w:bottom="1440"/>
          <w:pgNumType w:fmt="decimal"/>
          <w:formProt w:val="false"/>
          <w:textDirection w:val="lrTb"/>
          <w:docGrid w:type="default" w:linePitch="360" w:charSpace="0"/>
        </w:sectPr>
      </w:pPr>
      <w:r>
        <w:rPr>
          <w:rFonts w:cs="Arial" w:ascii="Verdana" w:hAnsi="Verdana"/>
          <w:b/>
          <w:sz w:val="20"/>
          <w:szCs w:val="20"/>
          <w:lang w:val="en-US"/>
        </w:rPr>
        <w:t xml:space="preserve">Conclusion </w:t>
      </w:r>
    </w:p>
    <w:p>
      <w:pPr>
        <w:pStyle w:val="Normal"/>
        <w:autoSpaceDE w:val="false"/>
        <w:spacing w:lineRule="auto" w:line="360" w:before="0" w:after="0"/>
        <w:ind w:start="1080" w:end="0"/>
        <w:rPr>
          <w:rFonts w:ascii="Verdana" w:hAnsi="Verdana" w:eastAsia="Times New Roman" w:cs="Arial"/>
          <w:b/>
          <w:bCs/>
          <w:sz w:val="20"/>
          <w:szCs w:val="20"/>
          <w:lang w:val="en-US" w:eastAsia="en-GB"/>
        </w:rPr>
      </w:pPr>
      <w:r>
        <w:rPr>
          <w:rFonts w:eastAsia="Times New Roman" w:cs="Arial" w:ascii="Verdana" w:hAnsi="Verdana"/>
          <w:b/>
          <w:bCs/>
          <w:sz w:val="20"/>
          <w:szCs w:val="20"/>
          <w:lang w:val="en-US" w:eastAsia="en-GB"/>
        </w:rPr>
      </w:r>
    </w:p>
    <w:p>
      <w:pPr>
        <w:pStyle w:val="Normal"/>
        <w:autoSpaceDE w:val="false"/>
        <w:spacing w:lineRule="auto" w:line="36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firstLine="720" w:start="360" w:end="0"/>
        <w:rPr/>
      </w:pPr>
      <w:r>
        <w:rPr>
          <w:rFonts w:eastAsia="Times New Roman" w:cs="Arial" w:ascii="Verdana" w:hAnsi="Verdana"/>
          <w:b/>
          <w:bCs/>
          <w:sz w:val="20"/>
          <w:szCs w:val="20"/>
          <w:lang w:eastAsia="en-GB"/>
        </w:rPr>
        <w:t xml:space="preserve">1. Background / Introduction </w:t>
      </w:r>
    </w:p>
    <w:p>
      <w:pPr>
        <w:pStyle w:val="Normal"/>
        <w:autoSpaceDE w:val="false"/>
        <w:spacing w:lineRule="auto" w:line="240" w:before="0" w:after="0"/>
        <w:ind w:start="108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240" w:before="0" w:after="0"/>
        <w:ind w:start="1080" w:end="0"/>
        <w:jc w:val="both"/>
        <w:rPr>
          <w:rFonts w:ascii="Verdana" w:hAnsi="Verdana" w:eastAsia="Times New Roman" w:cs="Arial"/>
          <w:b/>
          <w:sz w:val="18"/>
          <w:szCs w:val="20"/>
          <w:lang w:eastAsia="en-GB"/>
        </w:rPr>
      </w:pPr>
      <w:r>
        <w:rPr>
          <w:rFonts w:eastAsia="Times New Roman" w:cs="Arial" w:ascii="Verdana" w:hAnsi="Verdana"/>
          <w:sz w:val="20"/>
          <w:szCs w:val="20"/>
          <w:lang w:eastAsia="en-GB"/>
        </w:rPr>
        <w:t xml:space="preserve">Table Top Due Diligence of </w:t>
      </w:r>
      <w:r>
        <w:rPr>
          <w:rFonts w:eastAsia="Times New Roman" w:cs="Arial" w:ascii="Verdana" w:hAnsi="Verdana"/>
          <w:b/>
          <w:sz w:val="20"/>
          <w:szCs w:val="20"/>
          <w:lang w:eastAsia="en-GB"/>
        </w:rPr>
        <w:t xml:space="preserve">Seagull Maritime </w:t>
      </w:r>
      <w:r>
        <w:rPr>
          <w:rFonts w:eastAsia="Times New Roman" w:cs="Arial" w:ascii="Verdana" w:hAnsi="Verdana"/>
          <w:sz w:val="20"/>
          <w:szCs w:val="20"/>
          <w:lang w:eastAsia="en-GB"/>
        </w:rPr>
        <w:t>Ltd (later as PMSC) was conducted in order to confirm and evaluate</w:t>
      </w:r>
      <w:r>
        <w:rPr>
          <w:rFonts w:eastAsia="Times New Roman" w:cs="Arial" w:ascii="Verdana" w:hAnsi="Verdana"/>
          <w:sz w:val="18"/>
          <w:szCs w:val="20"/>
          <w:lang w:eastAsia="en-GB"/>
        </w:rPr>
        <w:t xml:space="preserve"> </w:t>
      </w:r>
      <w:r>
        <w:rPr>
          <w:rFonts w:cs="Arial" w:ascii="Verdana" w:hAnsi="Verdana"/>
          <w:b/>
          <w:sz w:val="20"/>
          <w:shd w:fill="FFFFFF" w:val="clear"/>
        </w:rPr>
        <w:t>operational performance and its potential for the future. </w:t>
      </w:r>
      <w:r>
        <w:rPr>
          <w:rFonts w:eastAsia="Times New Roman" w:cs="Arial" w:ascii="Verdana" w:hAnsi="Verdana"/>
          <w:b/>
          <w:sz w:val="18"/>
          <w:szCs w:val="20"/>
          <w:lang w:eastAsia="en-GB"/>
        </w:rPr>
        <w:t xml:space="preserve">  </w:t>
      </w:r>
    </w:p>
    <w:p>
      <w:pPr>
        <w:pStyle w:val="Normal"/>
        <w:autoSpaceDE w:val="false"/>
        <w:spacing w:lineRule="auto" w:line="240" w:before="0" w:after="0"/>
        <w:ind w:start="1080" w:end="0"/>
        <w:jc w:val="both"/>
        <w:rPr>
          <w:rFonts w:ascii="Verdana" w:hAnsi="Verdana" w:eastAsia="Times New Roman" w:cs="Arial"/>
          <w:b/>
          <w:sz w:val="20"/>
          <w:szCs w:val="20"/>
          <w:lang w:eastAsia="en-GB"/>
        </w:rPr>
      </w:pPr>
      <w:r>
        <w:rPr>
          <w:rFonts w:eastAsia="Times New Roman" w:cs="Arial" w:ascii="Verdana" w:hAnsi="Verdana"/>
          <w:b/>
          <w:sz w:val="20"/>
          <w:szCs w:val="20"/>
          <w:lang w:eastAsia="en-GB"/>
        </w:rPr>
      </w:r>
    </w:p>
    <w:p>
      <w:pPr>
        <w:pStyle w:val="Normal"/>
        <w:autoSpaceDE w:val="false"/>
        <w:spacing w:lineRule="auto" w:line="240" w:before="0" w:after="0"/>
        <w:ind w:start="1080" w:end="0"/>
        <w:jc w:val="both"/>
        <w:rPr>
          <w:rFonts w:ascii="Verdana" w:hAnsi="Verdana" w:cs="Verdana"/>
          <w:sz w:val="20"/>
          <w:szCs w:val="20"/>
        </w:rPr>
      </w:pPr>
      <w:r>
        <w:rPr>
          <w:rFonts w:eastAsia="Times New Roman" w:cs="Arial" w:ascii="Verdana" w:hAnsi="Verdana"/>
          <w:sz w:val="20"/>
          <w:szCs w:val="20"/>
          <w:lang w:eastAsia="en-GB"/>
        </w:rPr>
        <w:t xml:space="preserve">The primary Objective of this review is to provide objective assessment, evaluate existing national and international validity of the existing Certificates and Licences including </w:t>
      </w:r>
      <w:r>
        <w:rPr>
          <w:rFonts w:cs="Arial" w:ascii="Verdana" w:hAnsi="Verdana"/>
          <w:sz w:val="20"/>
          <w:szCs w:val="20"/>
        </w:rPr>
        <w:t xml:space="preserve">procedures in place against the industry standards, as well as </w:t>
      </w:r>
      <w:r>
        <w:rPr>
          <w:rFonts w:cs="Verdana" w:ascii="Verdana" w:hAnsi="Verdana"/>
          <w:sz w:val="20"/>
          <w:szCs w:val="20"/>
        </w:rPr>
        <w:t>assessment the capability of the PMSC to carry out maritime escorting support with the armed guards on board within Red Sea, Gulf of Aden, Arabian Gulf Area and W and E -Indian Ocean and Ports (later as WIO).</w:t>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 xml:space="preserve"> </w:t>
      </w:r>
    </w:p>
    <w:p>
      <w:pPr>
        <w:pStyle w:val="Normal"/>
        <w:autoSpaceDE w:val="false"/>
        <w:spacing w:lineRule="auto" w:line="240" w:before="0" w:after="0"/>
        <w:ind w:start="1080" w:end="0"/>
        <w:jc w:val="both"/>
        <w:rPr>
          <w:rFonts w:ascii="Verdana" w:hAnsi="Verdana" w:eastAsia="Times New Roman" w:cs="Arial"/>
          <w:sz w:val="20"/>
          <w:szCs w:val="20"/>
          <w:lang w:eastAsia="en-GB"/>
        </w:rPr>
      </w:pPr>
      <w:r>
        <w:rPr>
          <w:rFonts w:eastAsia="Times New Roman" w:cs="Arial" w:ascii="Verdana" w:hAnsi="Verdana"/>
          <w:sz w:val="20"/>
          <w:szCs w:val="20"/>
          <w:lang w:eastAsia="en-GB"/>
        </w:rPr>
        <w:t xml:space="preserve">   </w:t>
      </w:r>
    </w:p>
    <w:p>
      <w:pPr>
        <w:pStyle w:val="Normal"/>
        <w:numPr>
          <w:ilvl w:val="0"/>
          <w:numId w:val="11"/>
        </w:numPr>
        <w:autoSpaceDE w:val="false"/>
        <w:spacing w:lineRule="auto" w:line="360" w:before="0" w:after="0"/>
        <w:jc w:val="both"/>
        <w:rPr>
          <w:rFonts w:ascii="Verdana" w:hAnsi="Verdana" w:eastAsia="Times New Roman" w:cs="Arial"/>
          <w:sz w:val="20"/>
          <w:szCs w:val="20"/>
          <w:lang w:eastAsia="en-GB"/>
        </w:rPr>
      </w:pPr>
      <w:r>
        <w:rPr>
          <w:rFonts w:eastAsia="Times New Roman" w:cs="Arial" w:ascii="Verdana" w:hAnsi="Verdana"/>
          <w:b/>
          <w:bCs/>
          <w:sz w:val="20"/>
          <w:szCs w:val="20"/>
          <w:lang w:eastAsia="en-GB"/>
        </w:rPr>
        <w:t xml:space="preserve">Executive Summary </w:t>
      </w:r>
    </w:p>
    <w:p>
      <w:pPr>
        <w:pStyle w:val="Normal"/>
        <w:autoSpaceDE w:val="false"/>
        <w:spacing w:lineRule="auto" w:line="360" w:before="0" w:after="0"/>
        <w:ind w:start="1440" w:end="0"/>
        <w:jc w:val="both"/>
        <w:rPr>
          <w:rFonts w:ascii="Verdana" w:hAnsi="Verdana" w:eastAsia="Times New Roman" w:cs="Arial"/>
          <w:sz w:val="20"/>
          <w:szCs w:val="20"/>
          <w:lang w:eastAsia="en-GB"/>
        </w:rPr>
      </w:pPr>
      <w:r>
        <w:rPr>
          <w:rFonts w:eastAsia="Times New Roman" w:cs="Arial" w:ascii="Verdana" w:hAnsi="Verdana"/>
          <w:sz w:val="20"/>
          <w:szCs w:val="20"/>
          <w:lang w:eastAsia="en-GB"/>
        </w:rPr>
      </w:r>
    </w:p>
    <w:p>
      <w:pPr>
        <w:pStyle w:val="Normal"/>
        <w:autoSpaceDE w:val="false"/>
        <w:spacing w:lineRule="auto" w:line="240" w:before="0" w:after="0"/>
        <w:ind w:start="1080" w:end="0"/>
        <w:jc w:val="both"/>
        <w:rPr>
          <w:rFonts w:ascii="Verdana" w:hAnsi="Verdana" w:eastAsia="Times New Roman" w:cs="Arial"/>
          <w:sz w:val="20"/>
          <w:szCs w:val="20"/>
          <w:lang w:eastAsia="en-GB"/>
        </w:rPr>
      </w:pPr>
      <w:r>
        <w:rPr>
          <w:rFonts w:eastAsia="Times New Roman" w:cs="Arial" w:ascii="Verdana" w:hAnsi="Verdana"/>
          <w:sz w:val="20"/>
          <w:szCs w:val="20"/>
          <w:lang w:eastAsia="en-GB"/>
        </w:rPr>
        <w:t xml:space="preserve">PMSC provided documented evidence in order to provide escorting services within WIO Waters and EEZ in accordance with the known industry standards. </w:t>
      </w:r>
    </w:p>
    <w:p>
      <w:pPr>
        <w:pStyle w:val="Normal"/>
        <w:autoSpaceDE w:val="false"/>
        <w:spacing w:lineRule="auto" w:line="240" w:before="0" w:after="0"/>
        <w:ind w:start="1080" w:end="0"/>
        <w:jc w:val="both"/>
        <w:rPr>
          <w:rFonts w:ascii="Verdana" w:hAnsi="Verdana" w:eastAsia="Times New Roman" w:cs="Arial"/>
          <w:sz w:val="20"/>
          <w:szCs w:val="20"/>
          <w:lang w:eastAsia="en-GB"/>
        </w:rPr>
      </w:pPr>
      <w:r>
        <w:rPr>
          <w:rFonts w:eastAsia="Times New Roman" w:cs="Arial" w:ascii="Verdana" w:hAnsi="Verdana"/>
          <w:sz w:val="20"/>
          <w:szCs w:val="20"/>
          <w:lang w:eastAsia="en-GB"/>
        </w:rPr>
      </w:r>
    </w:p>
    <w:p>
      <w:pPr>
        <w:pStyle w:val="Normal"/>
        <w:autoSpaceDE w:val="false"/>
        <w:spacing w:lineRule="auto" w:line="240" w:before="0" w:after="0"/>
        <w:ind w:start="1080" w:end="0"/>
        <w:jc w:val="both"/>
        <w:rPr/>
      </w:pPr>
      <w:r>
        <w:rPr>
          <w:rFonts w:eastAsia="Times New Roman" w:cs="Arial" w:ascii="Verdana" w:hAnsi="Verdana"/>
          <w:sz w:val="20"/>
          <w:szCs w:val="20"/>
          <w:lang w:eastAsia="en-GB"/>
        </w:rPr>
        <w:t>PMSC uses it’s own Pool for trained guards and is not utilizing any subcontractors</w:t>
      </w:r>
      <w:r>
        <w:rPr>
          <w:rFonts w:eastAsia="Times New Roman" w:cs="Arial" w:ascii="Verdana" w:hAnsi="Verdana"/>
          <w:sz w:val="20"/>
          <w:szCs w:val="20"/>
          <w:lang w:eastAsia="en-GB"/>
        </w:rPr>
        <w:t>.</w:t>
      </w:r>
    </w:p>
    <w:p>
      <w:pPr>
        <w:pStyle w:val="Normal"/>
        <w:autoSpaceDE w:val="false"/>
        <w:spacing w:lineRule="auto" w:line="240" w:before="0" w:after="0"/>
        <w:ind w:start="1080" w:end="0"/>
        <w:jc w:val="both"/>
        <w:rPr>
          <w:rFonts w:ascii="Verdana" w:hAnsi="Verdana" w:eastAsia="Times New Roman" w:cs="Arial"/>
          <w:sz w:val="20"/>
          <w:szCs w:val="20"/>
          <w:lang w:eastAsia="en-GB"/>
        </w:rPr>
      </w:pPr>
      <w:r>
        <w:rPr>
          <w:rFonts w:eastAsia="Times New Roman" w:cs="Arial" w:ascii="Verdana" w:hAnsi="Verdana"/>
          <w:sz w:val="20"/>
          <w:szCs w:val="20"/>
          <w:lang w:eastAsia="en-GB"/>
        </w:rPr>
      </w:r>
    </w:p>
    <w:p>
      <w:pPr>
        <w:pStyle w:val="Normal"/>
        <w:autoSpaceDE w:val="false"/>
        <w:spacing w:lineRule="auto" w:line="240" w:before="0" w:after="0"/>
        <w:ind w:start="1080" w:end="0"/>
        <w:jc w:val="both"/>
        <w:rPr/>
      </w:pPr>
      <w:r>
        <w:rPr>
          <w:rFonts w:eastAsia="Times New Roman" w:cs="Arial" w:ascii="Verdana" w:hAnsi="Verdana"/>
          <w:sz w:val="20"/>
          <w:szCs w:val="20"/>
          <w:lang w:eastAsia="en-GB"/>
        </w:rPr>
        <w:t>Up to dated documentation is accessible at any given time and on demand, thus allowing transparent and instant access to the key documentation.</w:t>
      </w:r>
    </w:p>
    <w:p>
      <w:pPr>
        <w:pStyle w:val="Normal"/>
        <w:autoSpaceDE w:val="false"/>
        <w:spacing w:lineRule="auto" w:line="240" w:before="0" w:after="0"/>
        <w:ind w:start="1080" w:end="0"/>
        <w:jc w:val="both"/>
        <w:rPr>
          <w:rFonts w:ascii="Verdana" w:hAnsi="Verdana" w:eastAsia="Times New Roman" w:cs="Arial"/>
          <w:sz w:val="20"/>
          <w:szCs w:val="20"/>
          <w:lang w:eastAsia="en-GB"/>
        </w:rPr>
      </w:pPr>
      <w:r>
        <w:rPr>
          <w:rFonts w:eastAsia="Times New Roman" w:cs="Arial" w:ascii="Verdana" w:hAnsi="Verdana"/>
          <w:sz w:val="20"/>
          <w:szCs w:val="20"/>
          <w:lang w:eastAsia="en-GB"/>
        </w:rPr>
      </w:r>
    </w:p>
    <w:p>
      <w:pPr>
        <w:pStyle w:val="Normal"/>
        <w:autoSpaceDE w:val="false"/>
        <w:spacing w:lineRule="auto" w:line="240" w:before="0" w:after="0"/>
        <w:ind w:start="1080" w:end="0"/>
        <w:jc w:val="both"/>
        <w:rPr>
          <w:rFonts w:ascii="Verdana" w:hAnsi="Verdana" w:eastAsia="Times New Roman" w:cs="Arial"/>
          <w:sz w:val="20"/>
          <w:szCs w:val="20"/>
          <w:lang w:eastAsia="en-GB"/>
        </w:rPr>
      </w:pPr>
      <w:r>
        <w:rPr>
          <w:rFonts w:eastAsia="Times New Roman" w:cs="Arial" w:ascii="Verdana" w:hAnsi="Verdana"/>
          <w:sz w:val="20"/>
          <w:szCs w:val="20"/>
          <w:lang w:eastAsia="en-GB"/>
        </w:rPr>
        <w:t>PMSC’s aim and objective is to meet national industry expectations as well as contractual and regulatory obligations.</w:t>
      </w:r>
    </w:p>
    <w:p>
      <w:pPr>
        <w:pStyle w:val="Normal"/>
        <w:autoSpaceDE w:val="false"/>
        <w:spacing w:lineRule="auto" w:line="240" w:before="0" w:after="0"/>
        <w:ind w:start="1080" w:end="0"/>
        <w:jc w:val="both"/>
        <w:rPr>
          <w:rFonts w:ascii="Verdana" w:hAnsi="Verdana" w:eastAsia="Times New Roman" w:cs="Arial"/>
          <w:sz w:val="20"/>
          <w:szCs w:val="20"/>
          <w:lang w:eastAsia="en-GB"/>
        </w:rPr>
      </w:pPr>
      <w:r>
        <w:rPr>
          <w:rFonts w:eastAsia="Times New Roman" w:cs="Arial" w:ascii="Verdana" w:hAnsi="Verdana"/>
          <w:sz w:val="20"/>
          <w:szCs w:val="20"/>
          <w:lang w:eastAsia="en-GB"/>
        </w:rPr>
      </w:r>
    </w:p>
    <w:p>
      <w:pPr>
        <w:pStyle w:val="Normal"/>
        <w:autoSpaceDE w:val="false"/>
        <w:spacing w:lineRule="auto" w:line="240" w:before="0" w:after="0"/>
        <w:ind w:start="1080" w:end="0"/>
        <w:jc w:val="both"/>
        <w:rPr>
          <w:rFonts w:ascii="Verdana" w:hAnsi="Verdana" w:eastAsia="Times New Roman" w:cs="Arial"/>
          <w:sz w:val="20"/>
          <w:szCs w:val="20"/>
          <w:lang w:eastAsia="en-GB"/>
        </w:rPr>
      </w:pPr>
      <w:r>
        <w:rPr>
          <w:rFonts w:eastAsia="Times New Roman" w:cs="Arial" w:ascii="Verdana" w:hAnsi="Verdana"/>
          <w:sz w:val="20"/>
          <w:szCs w:val="20"/>
          <w:lang w:eastAsia="en-GB"/>
        </w:rPr>
        <w:t>These have been ensured by obtaining required Certificates and Licences indicated within this report.</w:t>
      </w:r>
    </w:p>
    <w:p>
      <w:pPr>
        <w:pStyle w:val="Normal"/>
        <w:autoSpaceDE w:val="false"/>
        <w:spacing w:lineRule="auto" w:line="240" w:before="0" w:after="0"/>
        <w:ind w:start="1080" w:end="0"/>
        <w:jc w:val="both"/>
        <w:rPr>
          <w:rFonts w:ascii="Verdana" w:hAnsi="Verdana" w:eastAsia="Times New Roman" w:cs="Arial"/>
          <w:sz w:val="20"/>
          <w:szCs w:val="20"/>
          <w:lang w:eastAsia="en-GB"/>
        </w:rPr>
      </w:pPr>
      <w:r>
        <w:rPr>
          <w:rFonts w:eastAsia="Times New Roman" w:cs="Arial" w:ascii="Verdana" w:hAnsi="Verdana"/>
          <w:sz w:val="20"/>
          <w:szCs w:val="20"/>
          <w:lang w:eastAsia="en-GB"/>
        </w:rPr>
      </w:r>
    </w:p>
    <w:p>
      <w:pPr>
        <w:pStyle w:val="Normal"/>
        <w:autoSpaceDE w:val="false"/>
        <w:spacing w:lineRule="auto" w:line="240" w:before="0" w:after="0"/>
        <w:ind w:start="1080" w:end="0"/>
        <w:jc w:val="both"/>
        <w:rPr/>
      </w:pPr>
      <w:r>
        <w:rPr>
          <w:rFonts w:eastAsia="Times New Roman" w:cs="Arial" w:ascii="Verdana" w:hAnsi="Verdana"/>
          <w:sz w:val="20"/>
          <w:szCs w:val="20"/>
          <w:lang w:eastAsia="en-GB"/>
        </w:rPr>
        <w:t>Objective evidence has demonstrated that the PMSC has the capabilities to carry out maritime boat escorting support.</w:t>
      </w:r>
    </w:p>
    <w:p>
      <w:pPr>
        <w:pStyle w:val="Normal"/>
        <w:autoSpaceDE w:val="false"/>
        <w:spacing w:lineRule="auto" w:line="240" w:before="0" w:after="0"/>
        <w:jc w:val="both"/>
        <w:rPr>
          <w:rFonts w:ascii="Verdana" w:hAnsi="Verdana" w:eastAsia="Times New Roman" w:cs="Arial"/>
          <w:sz w:val="20"/>
          <w:szCs w:val="20"/>
          <w:lang w:eastAsia="en-GB"/>
        </w:rPr>
        <w:sectPr>
          <w:headerReference w:type="default" r:id="rId8"/>
          <w:headerReference w:type="first" r:id="rId9"/>
          <w:footerReference w:type="default" r:id="rId10"/>
          <w:footerReference w:type="first" r:id="rId11"/>
          <w:type w:val="nextPage"/>
          <w:pgSz w:w="11906" w:h="16838"/>
          <w:pgMar w:left="1800" w:right="1800" w:gutter="0" w:header="720" w:top="1440" w:footer="720" w:bottom="1440"/>
          <w:pgNumType w:fmt="decimal"/>
          <w:formProt w:val="false"/>
          <w:textDirection w:val="lrTb"/>
          <w:docGrid w:type="default" w:linePitch="360" w:charSpace="0"/>
        </w:sectPr>
      </w:pPr>
      <w:r>
        <w:rPr>
          <w:rFonts w:eastAsia="Times New Roman" w:cs="Arial" w:ascii="Verdana" w:hAnsi="Verdana"/>
          <w:sz w:val="20"/>
          <w:szCs w:val="20"/>
          <w:lang w:eastAsia="en-GB"/>
        </w:rPr>
      </w:r>
    </w:p>
    <w:p>
      <w:pPr>
        <w:pStyle w:val="Normal"/>
        <w:autoSpaceDE w:val="false"/>
        <w:spacing w:lineRule="auto" w:line="360" w:before="0" w:after="0"/>
        <w:ind w:start="108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8"/>
        </w:numPr>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General</w:t>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 xml:space="preserve">Seagull Maritime Ltd (later as PMSC) is a Limited Company, registered in Malta C/54665/2011. </w:t>
      </w:r>
      <w:r>
        <w:rPr>
          <w:rFonts w:cs="Verdana" w:ascii="Verdana" w:hAnsi="Verdana"/>
          <w:b/>
          <w:sz w:val="20"/>
          <w:szCs w:val="20"/>
        </w:rPr>
      </w:r>
      <w:r>
        <w:rPr>
          <w:rFonts w:cs="Verdana" w:ascii="Verdana" w:hAnsi="Verdana"/>
          <w:sz w:val="20"/>
          <w:szCs w:val="20"/>
        </w:rPr>
      </w:r>
    </w:p>
    <w:p>
      <w:pPr>
        <w:pStyle w:val="Normal"/>
        <w:autoSpaceDE w:val="false"/>
        <w:spacing w:lineRule="auto" w:line="240" w:before="0" w:after="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t>The Mission and Vision are:</w:t>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
          <w:bCs/>
          <w:color w:val="000000"/>
          <w:sz w:val="18"/>
          <w:szCs w:val="20"/>
          <w:lang w:eastAsia="en-GB"/>
        </w:rPr>
      </w:pPr>
      <w:r>
        <w:rPr>
          <w:rFonts w:eastAsia="Times New Roman" w:cs="Arial" w:ascii="Verdana" w:hAnsi="Verdana"/>
          <w:b/>
          <w:bCs/>
          <w:color w:val="000000"/>
          <w:sz w:val="18"/>
          <w:szCs w:val="20"/>
          <w:lang w:eastAsia="en-GB"/>
        </w:rPr>
        <w:t>Mission:</w:t>
      </w:r>
    </w:p>
    <w:p>
      <w:pPr>
        <w:pStyle w:val="Normal"/>
        <w:autoSpaceDE w:val="false"/>
        <w:spacing w:lineRule="auto" w:line="240" w:before="0" w:after="0"/>
        <w:ind w:start="1080" w:end="0"/>
        <w:jc w:val="both"/>
        <w:rPr>
          <w:rFonts w:ascii="Verdana" w:hAnsi="Verdana" w:eastAsia="Times New Roman" w:cs="Arial"/>
          <w:b/>
          <w:bCs/>
          <w:color w:val="000000"/>
          <w:sz w:val="20"/>
          <w:szCs w:val="20"/>
          <w:lang w:eastAsia="en-GB"/>
        </w:rPr>
      </w:pPr>
      <w:r>
        <w:rPr>
          <w:rFonts w:eastAsia="Times New Roman" w:cs="Arial" w:ascii="Verdana" w:hAnsi="Verdana"/>
          <w:b/>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t>Seagull Maritime provides professional maritime security services across the Indian Ocean, Red Sea, Gulf of Aden and Arabian Gulf regions. The company is committed to the highest standards of operational excellence, compliance with international maritime security frameworks, and the protection of human rights in all operations.</w:t>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
          <w:bCs/>
          <w:color w:val="000000"/>
          <w:sz w:val="18"/>
          <w:szCs w:val="20"/>
          <w:lang w:eastAsia="en-GB"/>
        </w:rPr>
      </w:pPr>
      <w:r>
        <w:rPr>
          <w:rFonts w:eastAsia="Times New Roman" w:cs="Arial" w:ascii="Verdana" w:hAnsi="Verdana"/>
          <w:b/>
          <w:bCs/>
          <w:color w:val="000000"/>
          <w:sz w:val="18"/>
          <w:szCs w:val="20"/>
          <w:lang w:eastAsia="en-GB"/>
        </w:rPr>
        <w:t>Vision:</w:t>
      </w:r>
    </w:p>
    <w:p>
      <w:pPr>
        <w:pStyle w:val="Normal"/>
        <w:autoSpaceDE w:val="false"/>
        <w:spacing w:lineRule="auto" w:line="240" w:before="0" w:after="0"/>
        <w:ind w:start="1080" w:end="0"/>
        <w:jc w:val="both"/>
        <w:rPr>
          <w:rFonts w:ascii="Verdana" w:hAnsi="Verdana" w:eastAsia="Times New Roman" w:cs="Arial"/>
          <w:b/>
          <w:bCs/>
          <w:color w:val="000000"/>
          <w:sz w:val="20"/>
          <w:szCs w:val="20"/>
          <w:lang w:eastAsia="en-GB"/>
        </w:rPr>
      </w:pPr>
      <w:r>
        <w:rPr>
          <w:rFonts w:eastAsia="Times New Roman" w:cs="Arial" w:ascii="Verdana" w:hAnsi="Verdana"/>
          <w:b/>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t>Seagull Maritime provides professional maritime security services across the Indian Ocean, Red Sea, Gulf of Aden and Arabian Gulf regions. The company is committed to the highest standards of operational excellence, compliance with international maritime security frameworks, and the protection of human rights in all operations.</w:t>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PMSC operates a zero tolerance drug and alcohol policy for all Personnel for the duration of their employment.</w:t>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PMSC Standard Operating Procedures contain procedures for all activities undertaken by Personnel to ensure that people, property and life are protected during the conduct of services.</w:t>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r>
        <w:rPr>
          <w:rFonts w:cs="Verdana" w:ascii="Verdana" w:hAnsi="Verdana"/>
          <w:sz w:val="20"/>
          <w:szCs w:val="20"/>
        </w:rPr>
      </w: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080" w:end="0"/>
        <w:jc w:val="both"/>
        <w:rPr>
          <w:rFonts w:ascii="Verdana" w:hAnsi="Verdana" w:eastAsia="Times New Roman" w:cs="Arial"/>
          <w:color w:val="000000"/>
          <w:sz w:val="20"/>
          <w:szCs w:val="20"/>
          <w:lang w:eastAsia="en-GB"/>
        </w:rPr>
      </w:pPr>
      <w:r>
        <w:rPr>
          <w:rFonts w:eastAsia="Times New Roman" w:cs="Arial" w:ascii="Verdana" w:hAnsi="Verdana"/>
          <w:color w:val="000000"/>
          <w:sz w:val="20"/>
          <w:szCs w:val="20"/>
          <w:lang w:eastAsia="en-GB"/>
        </w:rPr>
        <w:t>PMSC holds local licences and approvals to store and export firearms legally in the area of operations, with weapons maintained on approved floating armoury platforms.</w:t>
      </w:r>
    </w:p>
    <w:p>
      <w:pPr>
        <w:pStyle w:val="Normal"/>
        <w:autoSpaceDE w:val="false"/>
        <w:spacing w:lineRule="auto" w:line="240" w:before="0" w:after="0"/>
        <w:ind w:start="1080" w:end="0"/>
        <w:jc w:val="both"/>
        <w:rPr>
          <w:rFonts w:ascii="Verdana" w:hAnsi="Verdana" w:eastAsia="Times New Roman" w:cs="Verdana"/>
          <w:color w:val="000000"/>
          <w:sz w:val="20"/>
          <w:szCs w:val="20"/>
          <w:lang w:eastAsia="en-GB"/>
        </w:rPr>
      </w:pPr>
      <w:r>
        <w:rPr>
          <w:rFonts w:eastAsia="Times New Roman" w:cs="Verdana" w:ascii="Verdana" w:hAnsi="Verdana"/>
          <w:color w:val="000000"/>
          <w:sz w:val="20"/>
          <w:szCs w:val="20"/>
          <w:lang w:eastAsia="en-GB"/>
        </w:rPr>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 xml:space="preserve">Maritime lawyers are available for legal advice on a 24/7 basis. </w:t>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080" w:end="0"/>
        <w:jc w:val="both"/>
        <w:rPr/>
      </w:pPr>
      <w:r>
        <w:rPr>
          <w:rFonts w:cs="Verdana" w:ascii="Verdana" w:hAnsi="Verdana"/>
          <w:sz w:val="20"/>
          <w:szCs w:val="20"/>
        </w:rPr>
        <w:t>Elements of the ICOC and the Voluntary Principles of Human Rights and Rules for the Use of Force (RUF</w:t>
      </w:r>
      <w:r>
        <w:rPr>
          <w:rFonts w:cs="Lucida Sans Unicode" w:ascii="Verdana" w:hAnsi="Verdana"/>
          <w:sz w:val="20"/>
          <w:szCs w:val="20"/>
        </w:rPr>
        <w:t>’</w:t>
      </w:r>
      <w:r>
        <w:rPr>
          <w:rFonts w:cs="Verdana" w:ascii="Verdana" w:hAnsi="Verdana"/>
          <w:sz w:val="20"/>
          <w:szCs w:val="20"/>
        </w:rPr>
        <w:t>s) are contained within Standard Operating Procedures (SOP’s).</w:t>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Normal"/>
        <w:autoSpaceDE w:val="false"/>
        <w:spacing w:lineRule="auto" w:line="240" w:before="0" w:after="0"/>
        <w:ind w:start="1080" w:end="0"/>
        <w:jc w:val="both"/>
        <w:rPr>
          <w:rFonts w:ascii="Verdana" w:hAnsi="Verdana" w:eastAsia="Times New Roman" w:cs="Arial"/>
          <w:bCs/>
          <w:color w:val="000000"/>
          <w:sz w:val="20"/>
          <w:szCs w:val="20"/>
          <w:lang w:eastAsia="en-GB"/>
        </w:rPr>
      </w:pPr>
      <w:r>
        <w:rPr>
          <w:rFonts w:eastAsia="Times New Roman" w:cs="Arial" w:ascii="Verdana" w:hAnsi="Verdana"/>
          <w:bCs/>
          <w:color w:val="000000"/>
          <w:sz w:val="20"/>
          <w:szCs w:val="20"/>
          <w:lang w:eastAsia="en-GB"/>
        </w:rPr>
      </w:r>
    </w:p>
    <w:p>
      <w:pPr>
        <w:pStyle w:val="Default"/>
        <w:ind w:start="1080" w:end="0"/>
        <w:jc w:val="both"/>
        <w:rPr>
          <w:rFonts w:ascii="Verdana" w:hAnsi="Verdana" w:eastAsia="Times New Roman" w:cs="Verdana"/>
          <w:bCs/>
          <w:color w:val="000000"/>
          <w:sz w:val="20"/>
          <w:szCs w:val="20"/>
          <w:lang w:eastAsia="en-GB"/>
        </w:rPr>
      </w:pPr>
      <w:r>
        <w:rPr>
          <w:rFonts w:eastAsia="Times New Roman" w:cs="Verdana" w:ascii="Verdana" w:hAnsi="Verdana"/>
          <w:bCs/>
          <w:color w:val="000000"/>
          <w:sz w:val="20"/>
          <w:szCs w:val="20"/>
          <w:lang w:eastAsia="en-GB"/>
        </w:rPr>
      </w:r>
    </w:p>
    <w:p>
      <w:pPr>
        <w:pStyle w:val="Default"/>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Default"/>
        <w:ind w:start="108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r>
    </w:p>
    <w:p>
      <w:pPr>
        <w:pStyle w:val="Normal"/>
        <w:numPr>
          <w:ilvl w:val="0"/>
          <w:numId w:val="8"/>
        </w:numPr>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Certificates, Licences and accreditation by recognized association or industry body</w:t>
      </w:r>
    </w:p>
    <w:p>
      <w:pPr>
        <w:pStyle w:val="Normal"/>
        <w:autoSpaceDE w:val="false"/>
        <w:spacing w:lineRule="auto" w:line="360" w:before="0" w:after="0"/>
        <w:ind w:start="144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firstLine="720" w:start="360"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PMSC holds the following certificates, licences and accreditations:</w:t>
        <w:br/>
        <w:br/>
        <w:t>• ISO 18788:2015 — Security Operations Management (Expiry 03/09/2028)</w:t>
        <w:br/>
        <w:t>• ISO 28000:2022 — Security Management Systems for Supply Chain (Expiry 27/11/2027)</w:t>
        <w:br/>
        <w:t>• ISO 28007:2015 — Guidelines for PMSCs providing Ship Security (Expiry 27/11/2027)</w:t>
        <w:br/>
        <w:t>• ISO 9001:2015 — Quality Management System (Expiry 03/09/2028)</w:t>
        <w:br/>
        <w:t>• ICoCA — Certified Member (Expiry 22/06/2026)</w:t>
        <w:br/>
        <w:t>• ISO 45001 — Certification in progress (expected May 2026)</w:t>
        <w:br/>
        <w:br/>
        <w:t>Flag state licences are maintained for Panama, Liberia, Malta and Guinea-Bissau. Full flag state register maintained as SM/SEC/REG/001 covering 37 flag states.</w:t>
      </w:r>
      <w:r>
        <w:rPr>
          <w:rFonts w:eastAsia="Times New Roman" w:cs="Arial" w:ascii="Verdana" w:hAnsi="Verdana"/>
          <w:b/>
          <w:bCs/>
          <w:sz w:val="20"/>
          <w:szCs w:val="20"/>
          <w:lang w:eastAsia="en-GB"/>
        </w:rPr>
      </w:r>
      <w:r>
        <w:rPr>
          <w:rFonts w:eastAsia="Times New Roman" w:cs="Arial" w:ascii="Verdana" w:hAnsi="Verdana"/>
          <w:bCs/>
          <w:sz w:val="20"/>
          <w:szCs w:val="20"/>
          <w:lang w:eastAsia="en-GB"/>
        </w:rPr>
      </w:r>
    </w:p>
    <w:p>
      <w:pPr>
        <w:pStyle w:val="Normal"/>
        <w:autoSpaceDE w:val="false"/>
        <w:spacing w:lineRule="auto" w:line="360" w:before="0" w:after="0"/>
        <w:ind w:firstLine="720" w:start="360"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r>
        <w:rPr>
          <w:rFonts w:eastAsia="Times New Roman" w:cs="Arial" w:ascii="Verdana" w:hAnsi="Verdana"/>
          <w:bCs/>
          <w:sz w:val="20"/>
          <w:szCs w:val="20"/>
          <w:lang w:eastAsia="en-GB"/>
        </w:rPr>
      </w:r>
    </w:p>
    <w:p>
      <w:pPr>
        <w:pStyle w:val="Normal"/>
        <w:autoSpaceDE w:val="false"/>
        <w:spacing w:lineRule="auto" w:line="360" w:before="0" w:after="0"/>
        <w:ind w:start="1418"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firstLine="720" w:start="698" w:end="0"/>
        <w:jc w:val="both"/>
        <w:rPr/>
      </w:pPr>
      <w:r>
        <w:rPr>
          <w:rFonts w:eastAsia="Times New Roman" w:cs="Arial" w:ascii="Verdana" w:hAnsi="Verdana"/>
          <w:bCs/>
          <w:sz w:val="20"/>
          <w:szCs w:val="20"/>
          <w:lang w:eastAsia="en-GB"/>
        </w:rPr>
      </w:r>
      <w:r>
        <w:rPr>
          <w:rFonts w:eastAsia="Times New Roman" w:cs="Arial" w:ascii="Verdana" w:hAnsi="Verdana"/>
          <w:bCs/>
          <w:sz w:val="20"/>
          <w:szCs w:val="20"/>
          <w:vertAlign w:val="superscript"/>
          <w:lang w:eastAsia="en-GB"/>
        </w:rPr>
      </w: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pPr>
      <w:r>
        <w:rPr>
          <w:rFonts w:eastAsia="Times New Roman" w:cs="Arial" w:ascii="Verdana" w:hAnsi="Verdana"/>
          <w:bCs/>
          <w:sz w:val="20"/>
          <w:szCs w:val="20"/>
          <w:lang w:eastAsia="en-GB"/>
        </w:rPr>
      </w:r>
      <w:r>
        <w:rPr>
          <w:rFonts w:eastAsia="Times New Roman" w:cs="Arial" w:ascii="Verdana" w:hAnsi="Verdana"/>
          <w:bCs/>
          <w:sz w:val="20"/>
          <w:szCs w:val="20"/>
          <w:vertAlign w:val="superscript"/>
          <w:lang w:eastAsia="en-GB"/>
        </w:rPr>
      </w: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r>
        <w:rPr>
          <w:rFonts w:eastAsia="Times New Roman" w:cs="Arial" w:ascii="Verdana" w:hAnsi="Verdana"/>
          <w:b/>
          <w:bCs/>
          <w:sz w:val="20"/>
          <w:szCs w:val="20"/>
          <w:lang w:eastAsia="en-GB"/>
        </w:rPr>
      </w:r>
      <w:r>
        <w:rPr>
          <w:rFonts w:eastAsia="Times New Roman" w:cs="Arial" w:ascii="Verdana" w:hAnsi="Verdana"/>
          <w:bCs/>
          <w:sz w:val="20"/>
          <w:szCs w:val="20"/>
          <w:lang w:eastAsia="en-GB"/>
        </w:rPr>
      </w:r>
    </w:p>
    <w:p>
      <w:pPr>
        <w:pStyle w:val="Normal"/>
        <w:autoSpaceDE w:val="false"/>
        <w:spacing w:lineRule="auto" w:line="360" w:before="0" w:after="0"/>
        <w:ind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firstLine="720" w:start="69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start="1418"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start="108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13"/>
        </w:numPr>
        <w:autoSpaceDE w:val="false"/>
        <w:spacing w:lineRule="auto" w:line="360" w:before="0" w:after="0"/>
        <w:ind w:hanging="360" w:start="1418" w:end="0"/>
        <w:jc w:val="both"/>
        <w:rPr>
          <w:rFonts w:ascii="Verdana" w:hAnsi="Verdana" w:eastAsia="Times New Roman" w:cs="Arial"/>
          <w:b/>
          <w:bCs/>
          <w:sz w:val="20"/>
          <w:szCs w:val="20"/>
          <w:lang w:eastAsia="en-GB"/>
        </w:rPr>
      </w:pPr>
      <w:r>
        <w:rPr>
          <w:rFonts w:eastAsia="Times New Roman" w:cs="Arial" w:ascii="Verdana" w:hAnsi="Verdana"/>
          <w:b/>
          <w:bCs/>
          <w:color w:val="808080"/>
          <w:sz w:val="20"/>
          <w:szCs w:val="20"/>
          <w:lang w:eastAsia="en-GB"/>
        </w:rPr>
        <w:t>ICoCA Certificate (International Code of Conduct for Private Security Services Providers’ Association):</w:t>
      </w:r>
      <w:r>
        <w:rPr>
          <w:rFonts w:eastAsia="Times New Roman" w:cs="Arial" w:ascii="Verdana" w:hAnsi="Verdana"/>
          <w:b/>
          <w:bCs/>
          <w:sz w:val="20"/>
          <w:szCs w:val="20"/>
          <w:lang w:eastAsia="en-GB"/>
        </w:rPr>
        <w:t xml:space="preserve"> </w:t>
      </w:r>
    </w:p>
    <w:p>
      <w:pPr>
        <w:pStyle w:val="Normal"/>
        <w:autoSpaceDE w:val="false"/>
        <w:spacing w:lineRule="auto" w:line="360" w:before="0" w:after="0"/>
        <w:ind w:start="1418" w:end="0"/>
        <w:jc w:val="both"/>
        <w:rPr>
          <w:rFonts w:ascii="Verdana" w:hAnsi="Verdana" w:eastAsia="Times New Roman" w:cs="Arial"/>
          <w:b/>
          <w:bCs/>
          <w:sz w:val="20"/>
          <w:szCs w:val="20"/>
          <w:lang w:eastAsia="en-GB"/>
        </w:rPr>
      </w:pPr>
      <w:r>
        <w:rPr>
          <w:rFonts w:eastAsia="Times New Roman" w:cs="Arial" w:ascii="Verdana" w:hAnsi="Verdana"/>
          <w:bCs/>
          <w:sz w:val="20"/>
          <w:szCs w:val="20"/>
          <w:lang w:eastAsia="en-GB"/>
        </w:rPr>
      </w:r>
      <w:r>
        <w:rPr>
          <w:rFonts w:eastAsia="Times New Roman" w:cs="Arial" w:ascii="Verdana" w:hAnsi="Verdana"/>
          <w:b/>
          <w:bCs/>
          <w:sz w:val="20"/>
          <w:szCs w:val="20"/>
          <w:lang w:eastAsia="en-GB"/>
        </w:rPr>
      </w:r>
    </w:p>
    <w:p>
      <w:pPr>
        <w:pStyle w:val="Normal"/>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ab/>
        <w:tab/>
      </w:r>
    </w:p>
    <w:p>
      <w:pPr>
        <w:pStyle w:val="Normal"/>
        <w:autoSpaceDE w:val="false"/>
        <w:spacing w:lineRule="auto" w:line="360" w:before="0" w:after="0"/>
        <w:ind w:firstLine="720" w:start="36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firstLine="720" w:start="360" w:end="0"/>
        <w:jc w:val="both"/>
        <w:rPr/>
      </w:pPr>
      <w:r>
        <w:rPr>
          <w:rFonts w:eastAsia="Times New Roman" w:cs="Arial" w:ascii="Verdana" w:hAnsi="Verdana"/>
          <w:b/>
          <w:bCs/>
          <w:sz w:val="20"/>
          <w:szCs w:val="20"/>
          <w:lang w:eastAsia="en-GB"/>
        </w:rPr>
        <w:t>4.1 Additional certificates, licences, letters and documents</w:t>
      </w:r>
    </w:p>
    <w:p>
      <w:pPr>
        <w:pStyle w:val="Normal"/>
        <w:autoSpaceDE w:val="false"/>
        <w:spacing w:lineRule="auto" w:line="360" w:before="0" w:after="0"/>
        <w:ind w:start="1418"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 xml:space="preserve">  </w:t>
      </w:r>
    </w:p>
    <w:p>
      <w:pPr>
        <w:pStyle w:val="Normal"/>
        <w:numPr>
          <w:ilvl w:val="0"/>
          <w:numId w:val="13"/>
        </w:numPr>
        <w:autoSpaceDE w:val="false"/>
        <w:spacing w:lineRule="auto" w:line="360" w:before="0" w:after="0"/>
        <w:ind w:hanging="360" w:start="1418" w:end="0"/>
        <w:jc w:val="both"/>
        <w:rPr>
          <w:rFonts w:ascii="Verdana" w:hAnsi="Verdana" w:eastAsia="Times New Roman" w:cs="Arial"/>
          <w:b/>
          <w:bCs/>
          <w:color w:val="808080"/>
          <w:sz w:val="20"/>
          <w:szCs w:val="20"/>
          <w:lang w:eastAsia="en-GB"/>
        </w:rPr>
      </w:pPr>
      <w:r>
        <w:rPr>
          <w:rFonts w:eastAsia="Times New Roman" w:cs="Arial" w:ascii="Verdana" w:hAnsi="Verdana"/>
          <w:b/>
          <w:bCs/>
          <w:color w:val="808080"/>
          <w:sz w:val="20"/>
          <w:szCs w:val="20"/>
          <w:lang w:eastAsia="en-GB"/>
        </w:rPr>
        <w:t xml:space="preserve">Quality Management System </w:t>
      </w:r>
    </w:p>
    <w:p>
      <w:pPr>
        <w:pStyle w:val="Normal"/>
        <w:autoSpaceDE w:val="false"/>
        <w:spacing w:lineRule="auto" w:line="360" w:before="0" w:after="0"/>
        <w:ind w:start="1418" w:end="0"/>
        <w:jc w:val="both"/>
        <w:rPr>
          <w:rFonts w:ascii="Verdana" w:hAnsi="Verdana" w:eastAsia="Times New Roman" w:cs="Arial"/>
          <w:bCs/>
          <w:sz w:val="20"/>
          <w:szCs w:val="20"/>
          <w:highlight w:val="yellow"/>
          <w:lang w:eastAsia="en-GB"/>
        </w:rPr>
      </w:pPr>
      <w:r>
        <w:rPr>
          <w:rFonts w:eastAsia="Times New Roman" w:cs="Arial" w:ascii="Verdana" w:hAnsi="Verdana"/>
          <w:b/>
          <w:bCs/>
          <w:color w:val="808080"/>
          <w:sz w:val="20"/>
          <w:szCs w:val="20"/>
          <w:lang w:eastAsia="en-GB"/>
        </w:rPr>
        <w:t>ISO 9001:2015 — Expiry 03/09/2028</w:t>
      </w:r>
      <w:r>
        <w:rPr>
          <w:rFonts w:eastAsia="Times New Roman" w:cs="Arial" w:ascii="Verdana" w:hAnsi="Verdana"/>
          <w:bCs/>
          <w:sz w:val="20"/>
          <w:szCs w:val="20"/>
          <w:lang w:eastAsia="en-GB"/>
        </w:rPr>
      </w:r>
    </w:p>
    <w:p>
      <w:pPr>
        <w:pStyle w:val="Normal"/>
        <w:autoSpaceDE w:val="false"/>
        <w:spacing w:lineRule="auto" w:line="360" w:before="0" w:after="0"/>
        <w:ind w:start="1418" w:end="0"/>
        <w:jc w:val="both"/>
        <w:rPr/>
      </w:pPr>
      <w:r>
        <w:rPr>
          <w:rFonts w:eastAsia="Times New Roman" w:cs="Arial" w:ascii="Verdana" w:hAnsi="Verdana"/>
          <w:b/>
          <w:bCs/>
          <w:color w:val="808080"/>
          <w:sz w:val="20"/>
          <w:szCs w:val="20"/>
          <w:lang w:eastAsia="en-GB"/>
        </w:rPr>
        <w:t>ISO 14001 :</w:t>
      </w:r>
      <w:r>
        <w:rPr>
          <w:rFonts w:eastAsia="Times New Roman" w:cs="Arial" w:ascii="Verdana" w:hAnsi="Verdana"/>
          <w:bCs/>
          <w:sz w:val="20"/>
          <w:szCs w:val="20"/>
          <w:lang w:eastAsia="en-GB"/>
        </w:rPr>
        <w:t xml:space="preserve"> </w:t>
      </w:r>
      <w:r>
        <w:rPr>
          <w:rFonts w:eastAsia="Times New Roman" w:cs="Arial" w:ascii="Verdana" w:hAnsi="Verdana"/>
          <w:b/>
          <w:bCs/>
          <w:color w:val="808080"/>
          <w:sz w:val="20"/>
          <w:szCs w:val="20"/>
          <w:lang w:eastAsia="en-GB"/>
        </w:rPr>
        <w:t>2004</w:t>
      </w:r>
      <w:r>
        <w:rPr>
          <w:rFonts w:eastAsia="Times New Roman" w:cs="Arial" w:ascii="Verdana" w:hAnsi="Verdana"/>
          <w:bCs/>
          <w:sz w:val="20"/>
          <w:szCs w:val="20"/>
          <w:lang w:eastAsia="en-GB"/>
        </w:rPr>
        <w:tab/>
        <w:tab/>
        <w:t>expiry date: See certificates in DD portal</w:t>
      </w:r>
    </w:p>
    <w:p>
      <w:pPr>
        <w:pStyle w:val="Normal"/>
        <w:autoSpaceDE w:val="false"/>
        <w:spacing w:lineRule="auto" w:line="360" w:before="0" w:after="0"/>
        <w:ind w:start="1418" w:end="0"/>
        <w:jc w:val="both"/>
        <w:rPr/>
      </w:pPr>
      <w:r>
        <w:rPr>
          <w:rFonts w:eastAsia="Times New Roman" w:cs="Arial" w:ascii="Verdana" w:hAnsi="Verdana"/>
          <w:b/>
          <w:bCs/>
          <w:color w:val="808080"/>
          <w:sz w:val="20"/>
          <w:szCs w:val="20"/>
          <w:lang w:eastAsia="en-GB"/>
        </w:rPr>
        <w:t>ISO 45001 — Certification in progress (expected May 2026)</w:t>
      </w:r>
      <w:r>
        <w:rPr>
          <w:rFonts w:eastAsia="Times New Roman" w:cs="Arial" w:ascii="Verdana" w:hAnsi="Verdana"/>
          <w:bCs/>
          <w:sz w:val="20"/>
          <w:szCs w:val="20"/>
          <w:lang w:eastAsia="en-GB"/>
        </w:rPr>
      </w:r>
    </w:p>
    <w:p>
      <w:pPr>
        <w:pStyle w:val="Normal"/>
        <w:autoSpaceDE w:val="false"/>
        <w:spacing w:lineRule="auto" w:line="360" w:before="0" w:after="0"/>
        <w:ind w:start="1418" w:end="0"/>
        <w:jc w:val="both"/>
        <w:rPr>
          <w:rFonts w:ascii="Verdana" w:hAnsi="Verdana" w:eastAsia="Times New Roman" w:cs="Arial"/>
          <w:bCs/>
          <w:sz w:val="20"/>
          <w:szCs w:val="20"/>
          <w:highlight w:val="yellow"/>
          <w:lang w:eastAsia="en-GB"/>
        </w:rPr>
      </w:pPr>
      <w:r>
        <w:rPr>
          <w:rFonts w:eastAsia="Times New Roman" w:cs="Arial" w:ascii="Verdana" w:hAnsi="Verdana"/>
          <w:b/>
          <w:bCs/>
          <w:color w:val="808080"/>
          <w:sz w:val="20"/>
          <w:szCs w:val="20"/>
          <w:lang w:eastAsia="en-GB"/>
        </w:rPr>
        <w:t>ISO 28000:2022 — Expiry 27/11/2027</w:t>
      </w:r>
      <w:r>
        <w:rPr>
          <w:rFonts w:eastAsia="Times New Roman" w:cs="Arial" w:ascii="Verdana" w:hAnsi="Verdana"/>
          <w:bCs/>
          <w:sz w:val="20"/>
          <w:szCs w:val="20"/>
          <w:lang w:eastAsia="en-GB"/>
        </w:rPr>
      </w:r>
    </w:p>
    <w:p>
      <w:pPr>
        <w:pStyle w:val="Normal"/>
        <w:autoSpaceDE w:val="false"/>
        <w:spacing w:lineRule="auto" w:line="360" w:before="0" w:after="0"/>
        <w:ind w:start="1418" w:end="0"/>
        <w:jc w:val="both"/>
        <w:rPr/>
      </w:pPr>
      <w:r>
        <w:rPr>
          <w:rFonts w:eastAsia="Times New Roman" w:cs="Arial" w:ascii="Verdana" w:hAnsi="Verdana"/>
          <w:b/>
          <w:bCs/>
          <w:color w:val="808080"/>
          <w:sz w:val="20"/>
          <w:szCs w:val="20"/>
          <w:lang w:eastAsia="en-GB"/>
        </w:rPr>
        <w:t>ISO 28007:2015 — Expiry 27/11/2027</w:t>
      </w:r>
      <w:r>
        <w:rPr>
          <w:rFonts w:eastAsia="Times New Roman" w:cs="Arial" w:ascii="Verdana" w:hAnsi="Verdana"/>
          <w:bCs/>
          <w:sz w:val="20"/>
          <w:szCs w:val="20"/>
          <w:lang w:eastAsia="en-GB"/>
        </w:rPr>
      </w:r>
    </w:p>
    <w:p>
      <w:pPr>
        <w:pStyle w:val="Normal"/>
        <w:autoSpaceDE w:val="false"/>
        <w:spacing w:lineRule="auto" w:line="360" w:before="0" w:after="0"/>
        <w:ind w:start="1418" w:end="0"/>
        <w:jc w:val="both"/>
        <w:rPr>
          <w:rFonts w:ascii="Verdana" w:hAnsi="Verdana" w:eastAsia="Times New Roman" w:cs="Arial"/>
          <w:bCs/>
          <w:sz w:val="20"/>
          <w:szCs w:val="20"/>
          <w:lang w:eastAsia="en-GB"/>
        </w:rPr>
      </w:pPr>
      <w:r>
        <w:rPr>
          <w:rFonts w:eastAsia="Times New Roman" w:cs="Arial" w:ascii="Verdana" w:hAnsi="Verdana"/>
          <w:b/>
          <w:bCs/>
          <w:color w:val="808080"/>
          <w:sz w:val="20"/>
          <w:szCs w:val="20"/>
          <w:lang w:eastAsia="en-GB"/>
        </w:rPr>
        <w:t>ISO 18788:2015 — Expiry 03/09/2028</w:t>
      </w:r>
      <w:r>
        <w:rPr>
          <w:rFonts w:eastAsia="Times New Roman" w:cs="Arial" w:ascii="Verdana" w:hAnsi="Verdana"/>
          <w:bCs/>
          <w:sz w:val="20"/>
          <w:szCs w:val="20"/>
          <w:lang w:eastAsia="en-GB"/>
        </w:rPr>
      </w:r>
    </w:p>
    <w:p>
      <w:pPr>
        <w:pStyle w:val="Normal"/>
        <w:autoSpaceDE w:val="false"/>
        <w:spacing w:lineRule="auto" w:line="360" w:before="0" w:after="0"/>
        <w:ind w:start="1418" w:end="0"/>
        <w:jc w:val="both"/>
        <w:rPr>
          <w:rFonts w:ascii="Verdana" w:hAnsi="Verdana" w:eastAsia="Times New Roman" w:cs="Arial"/>
          <w:b/>
          <w:bCs/>
          <w:color w:val="808080"/>
          <w:sz w:val="20"/>
          <w:szCs w:val="20"/>
          <w:lang w:eastAsia="en-GB"/>
        </w:rPr>
      </w:pPr>
      <w:r>
        <w:rPr>
          <w:rFonts w:eastAsia="Times New Roman" w:cs="Arial" w:ascii="Verdana" w:hAnsi="Verdana"/>
          <w:b/>
          <w:bCs/>
          <w:color w:val="808080"/>
          <w:sz w:val="20"/>
          <w:szCs w:val="20"/>
          <w:lang w:eastAsia="en-GB"/>
        </w:rPr>
        <w:tab/>
        <w:tab/>
      </w:r>
    </w:p>
    <w:p>
      <w:pPr>
        <w:pStyle w:val="Normal"/>
        <w:autoSpaceDE w:val="false"/>
        <w:spacing w:lineRule="auto" w:line="360" w:before="0" w:after="0"/>
        <w:ind w:firstLine="720" w:start="36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 xml:space="preserve">4.2 Vessel based Armouries for: </w:t>
      </w:r>
    </w:p>
    <w:p>
      <w:pPr>
        <w:pStyle w:val="Normal"/>
        <w:autoSpaceDE w:val="false"/>
        <w:spacing w:lineRule="auto" w:line="360" w:before="0" w:after="0"/>
        <w:ind w:firstLine="720" w:start="36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10"/>
        </w:numPr>
        <w:autoSpaceDE w:val="false"/>
        <w:spacing w:lineRule="auto" w:line="360" w:before="0" w:after="0"/>
        <w:ind w:hanging="426" w:start="1560" w:end="0"/>
        <w:jc w:val="both"/>
        <w:rPr>
          <w:rFonts w:ascii="Verdana" w:hAnsi="Verdana" w:eastAsia="Times New Roman" w:cs="Arial"/>
          <w:bCs/>
          <w:sz w:val="20"/>
          <w:szCs w:val="20"/>
          <w:lang w:eastAsia="en-GB"/>
        </w:rPr>
      </w:pPr>
      <w:r>
        <w:rPr>
          <w:rFonts w:eastAsia="Times New Roman" w:cs="Arial" w:ascii="Verdana" w:hAnsi="Verdana"/>
          <w:b/>
          <w:bCs/>
          <w:sz w:val="20"/>
          <w:szCs w:val="20"/>
          <w:lang w:eastAsia="en-GB"/>
        </w:rPr>
        <w:t xml:space="preserve">MV Markab (IMO 7605391) </w:t>
      </w:r>
      <w:r>
        <w:rPr>
          <w:rFonts w:eastAsia="Times New Roman" w:cs="Arial" w:ascii="Verdana" w:hAnsi="Verdana"/>
          <w:bCs/>
          <w:sz w:val="20"/>
          <w:szCs w:val="20"/>
          <w:lang w:eastAsia="en-GB"/>
        </w:rPr>
        <w:t>expiry date: 18/10/2019</w:t>
      </w:r>
    </w:p>
    <w:p>
      <w:pPr>
        <w:pStyle w:val="Normal"/>
        <w:autoSpaceDE w:val="false"/>
        <w:spacing w:lineRule="auto" w:line="360" w:before="0" w:after="0"/>
        <w:ind w:hanging="120" w:start="1560" w:end="0"/>
        <w:jc w:val="both"/>
        <w:rPr/>
      </w:pPr>
      <w:r>
        <w:rPr>
          <w:rFonts w:eastAsia="Times New Roman" w:cs="Arial" w:ascii="Verdana" w:hAnsi="Verdana"/>
          <w:bCs/>
          <w:sz w:val="20"/>
          <w:szCs w:val="20"/>
          <w:lang w:eastAsia="en-GB"/>
        </w:rPr>
        <w:t>Valid for inward and outward operations</w:t>
      </w:r>
    </w:p>
    <w:p>
      <w:pPr>
        <w:pStyle w:val="Normal"/>
        <w:autoSpaceDE w:val="false"/>
        <w:spacing w:lineRule="auto" w:line="360" w:before="0" w:after="0"/>
        <w:ind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numPr>
          <w:ilvl w:val="0"/>
          <w:numId w:val="10"/>
        </w:numPr>
        <w:autoSpaceDE w:val="false"/>
        <w:spacing w:lineRule="auto" w:line="360" w:before="0" w:after="0"/>
        <w:ind w:hanging="426" w:start="1560" w:end="0"/>
        <w:jc w:val="both"/>
        <w:rPr>
          <w:rFonts w:ascii="Verdana" w:hAnsi="Verdana" w:eastAsia="Times New Roman" w:cs="Arial"/>
          <w:bCs/>
          <w:sz w:val="20"/>
          <w:szCs w:val="20"/>
          <w:lang w:eastAsia="en-GB"/>
        </w:rPr>
      </w:pPr>
      <w:r>
        <w:rPr>
          <w:rFonts w:eastAsia="Times New Roman" w:cs="Arial" w:ascii="Verdana" w:hAnsi="Verdana"/>
          <w:b/>
          <w:bCs/>
          <w:sz w:val="20"/>
          <w:szCs w:val="20"/>
          <w:lang w:eastAsia="en-GB"/>
        </w:rPr>
        <w:t xml:space="preserve">MV Menkar (IMO 7605689) </w:t>
      </w:r>
      <w:r>
        <w:rPr>
          <w:rFonts w:eastAsia="Times New Roman" w:cs="Arial" w:ascii="Verdana" w:hAnsi="Verdana"/>
          <w:bCs/>
          <w:sz w:val="20"/>
          <w:szCs w:val="20"/>
          <w:lang w:eastAsia="en-GB"/>
        </w:rPr>
        <w:t>expiry date: 18/07/2019</w:t>
      </w:r>
    </w:p>
    <w:p>
      <w:pPr>
        <w:pStyle w:val="Normal"/>
        <w:autoSpaceDE w:val="false"/>
        <w:spacing w:lineRule="auto" w:line="360" w:before="0" w:after="0"/>
        <w:ind w:hanging="120" w:start="1560"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Valid for inward and outward operations</w:t>
      </w:r>
    </w:p>
    <w:p>
      <w:pPr>
        <w:pStyle w:val="Normal"/>
        <w:autoSpaceDE w:val="false"/>
        <w:spacing w:lineRule="auto" w:line="360" w:before="0" w:after="0"/>
        <w:ind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numPr>
          <w:ilvl w:val="0"/>
          <w:numId w:val="8"/>
        </w:numPr>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Knowledge and Experience</w:t>
      </w:r>
    </w:p>
    <w:p>
      <w:pPr>
        <w:pStyle w:val="Normal"/>
        <w:autoSpaceDE w:val="false"/>
        <w:spacing w:lineRule="auto" w:line="360" w:before="0" w:after="0"/>
        <w:ind w:start="108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 xml:space="preserve">PMSC  as a limited company was established in </w:t>
      </w:r>
      <w:r>
        <w:rPr>
          <w:rFonts w:cs="Verdana" w:ascii="Verdana" w:hAnsi="Verdana"/>
          <w:sz w:val="20"/>
          <w:szCs w:val="20"/>
        </w:rPr>
        <w:t>2011</w:t>
      </w:r>
      <w:r>
        <w:rPr>
          <w:rFonts w:cs="Verdana" w:ascii="Verdana" w:hAnsi="Verdana"/>
          <w:sz w:val="20"/>
          <w:szCs w:val="20"/>
        </w:rPr>
        <w:t xml:space="preserve"> and has </w:t>
      </w:r>
      <w:r>
        <w:rPr>
          <w:rFonts w:cs="Verdana" w:ascii="Verdana" w:hAnsi="Verdana"/>
          <w:sz w:val="20"/>
          <w:szCs w:val="20"/>
        </w:rPr>
        <w:t>over 14 years of experience</w:t>
      </w:r>
      <w:r>
        <w:rPr>
          <w:rFonts w:cs="Verdana" w:ascii="Verdana" w:hAnsi="Verdana"/>
          <w:sz w:val="20"/>
          <w:szCs w:val="20"/>
        </w:rPr>
        <w:t xml:space="preserve"> in the maritime security private sector. Many of the Personnel PMSC employs have worked in the maritime security sector for many more years.</w:t>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The majority of vessels supported are tankers and bulk carriers. References are available from major shipping companies.</w:t>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 xml:space="preserve">Furthermore, PMSC has </w:t>
      </w:r>
      <w:r>
        <w:rPr>
          <w:rFonts w:cs="Verdana" w:ascii="Verdana" w:hAnsi="Verdana"/>
          <w:sz w:val="20"/>
          <w:szCs w:val="20"/>
        </w:rPr>
        <w:t>its own intelligence</w:t>
      </w:r>
      <w:r>
        <w:rPr>
          <w:rFonts w:cs="Verdana" w:ascii="Verdana" w:hAnsi="Verdana"/>
          <w:sz w:val="20"/>
          <w:szCs w:val="20"/>
        </w:rPr>
        <w:t xml:space="preserve"> </w:t>
      </w:r>
      <w:r>
        <w:rPr>
          <w:rFonts w:cs="Verdana" w:ascii="Verdana" w:hAnsi="Verdana"/>
          <w:sz w:val="20"/>
          <w:szCs w:val="20"/>
        </w:rPr>
        <w:t>who provides threat analysis (tracking) and dynamic routing recommendations, during the passage through the High Risk Area.</w:t>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r>
    </w:p>
    <w:p>
      <w:pPr>
        <w:pStyle w:val="Normal"/>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8"/>
        </w:numPr>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Procedures</w:t>
      </w:r>
    </w:p>
    <w:p>
      <w:pPr>
        <w:pStyle w:val="Normal"/>
        <w:autoSpaceDE w:val="false"/>
        <w:spacing w:lineRule="auto" w:line="240" w:before="0" w:after="0"/>
        <w:ind w:start="108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240" w:before="0" w:after="0"/>
        <w:ind w:start="1080" w:end="0"/>
        <w:jc w:val="both"/>
        <w:rPr/>
      </w:pPr>
      <w:r>
        <w:rPr>
          <w:rFonts w:eastAsia="Times New Roman" w:cs="Arial" w:ascii="Verdana" w:hAnsi="Verdana"/>
          <w:bCs/>
          <w:sz w:val="20"/>
          <w:szCs w:val="20"/>
          <w:lang w:eastAsia="en-GB"/>
        </w:rPr>
        <w:t>PMSC has submitted documented procedures in place and some of these are;</w:t>
      </w:r>
    </w:p>
    <w:p>
      <w:pPr>
        <w:pStyle w:val="Normal"/>
        <w:autoSpaceDE w:val="false"/>
        <w:spacing w:lineRule="auto" w:line="240" w:before="0" w:after="0"/>
        <w:ind w:firstLine="720" w:start="360"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numPr>
          <w:ilvl w:val="1"/>
          <w:numId w:val="5"/>
        </w:numPr>
        <w:tabs>
          <w:tab w:val="clear" w:pos="720"/>
        </w:tabs>
        <w:autoSpaceDE w:val="false"/>
        <w:spacing w:lineRule="auto" w:line="240" w:before="0" w:after="0"/>
        <w:ind w:hanging="284" w:start="1418" w:end="0"/>
        <w:jc w:val="both"/>
        <w:rPr>
          <w:rFonts w:ascii="Verdana" w:hAnsi="Verdana" w:eastAsia="Times New Roman" w:cs="Arial"/>
          <w:bCs/>
          <w:sz w:val="20"/>
          <w:szCs w:val="20"/>
          <w:lang w:eastAsia="en-GB"/>
        </w:rPr>
      </w:pPr>
      <w:r>
        <w:rPr>
          <w:rFonts w:cs="Verdana" w:ascii="Verdana" w:hAnsi="Verdana"/>
          <w:sz w:val="20"/>
          <w:szCs w:val="20"/>
        </w:rPr>
        <w:t xml:space="preserve">command and control structure linking the client, the </w:t>
      </w:r>
      <w:r>
        <w:rPr>
          <w:rFonts w:cs="Verdana" w:ascii="Verdana" w:hAnsi="Verdana"/>
          <w:sz w:val="20"/>
          <w:szCs w:val="20"/>
        </w:rPr>
        <w:t>Master, and the Maritime Security Team Leader</w:t>
      </w:r>
      <w:r>
        <w:rPr>
          <w:rFonts w:cs="Verdana" w:ascii="Verdana" w:hAnsi="Verdana"/>
          <w:sz w:val="20"/>
          <w:szCs w:val="20"/>
        </w:rPr>
        <w:t xml:space="preserve">; </w:t>
      </w:r>
      <w:r>
        <w:rPr>
          <w:rFonts w:eastAsia="Times New Roman" w:cs="Arial" w:ascii="Verdana" w:hAnsi="Verdana"/>
          <w:bCs/>
          <w:sz w:val="20"/>
          <w:szCs w:val="20"/>
          <w:lang w:eastAsia="en-GB"/>
        </w:rPr>
        <w:t xml:space="preserve"> </w:t>
      </w:r>
    </w:p>
    <w:p>
      <w:pPr>
        <w:pStyle w:val="Normal"/>
        <w:numPr>
          <w:ilvl w:val="1"/>
          <w:numId w:val="5"/>
        </w:numPr>
        <w:tabs>
          <w:tab w:val="clear" w:pos="720"/>
        </w:tabs>
        <w:autoSpaceDE w:val="false"/>
        <w:spacing w:lineRule="auto" w:line="240" w:before="0" w:after="0"/>
        <w:ind w:hanging="284"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procedures for notification of the Flag State;</w:t>
      </w:r>
    </w:p>
    <w:p>
      <w:pPr>
        <w:pStyle w:val="Normal"/>
        <w:numPr>
          <w:ilvl w:val="1"/>
          <w:numId w:val="5"/>
        </w:numPr>
        <w:tabs>
          <w:tab w:val="clear" w:pos="720"/>
        </w:tabs>
        <w:autoSpaceDE w:val="false"/>
        <w:spacing w:lineRule="auto" w:line="240" w:before="0" w:after="0"/>
        <w:ind w:hanging="284" w:start="1418" w:end="0"/>
        <w:jc w:val="both"/>
        <w:rPr>
          <w:rFonts w:ascii="Verdana" w:hAnsi="Verdana" w:eastAsia="Times New Roman" w:cs="Arial"/>
          <w:bCs/>
          <w:sz w:val="20"/>
          <w:szCs w:val="20"/>
          <w:highlight w:val="yellow"/>
          <w:lang w:eastAsia="en-GB"/>
        </w:rPr>
      </w:pPr>
      <w:r>
        <w:rPr>
          <w:rFonts w:eastAsia="Times New Roman" w:cs="Arial" w:ascii="Verdana" w:hAnsi="Verdana"/>
          <w:bCs/>
          <w:sz w:val="20"/>
          <w:szCs w:val="20"/>
          <w:lang w:eastAsia="en-GB"/>
        </w:rPr>
        <w:t xml:space="preserve">Rules for the Use of Force procedures </w:t>
      </w:r>
      <w:r>
        <w:rPr>
          <w:rFonts w:eastAsia="Times New Roman" w:cs="Arial" w:ascii="Verdana" w:hAnsi="Verdana"/>
          <w:bCs/>
          <w:sz w:val="20"/>
          <w:szCs w:val="20"/>
          <w:lang w:eastAsia="en-GB"/>
        </w:rPr>
        <w:t xml:space="preserve">adjusted to the standard; </w:t>
      </w:r>
    </w:p>
    <w:p>
      <w:pPr>
        <w:pStyle w:val="Normal"/>
        <w:autoSpaceDE w:val="false"/>
        <w:spacing w:lineRule="auto" w:line="240" w:before="0" w:after="0"/>
        <w:ind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 xml:space="preserve">“ </w:t>
      </w:r>
      <w:r>
        <w:rPr>
          <w:rFonts w:eastAsia="Times New Roman" w:cs="Arial" w:ascii="Verdana" w:hAnsi="Verdana"/>
          <w:bCs/>
          <w:sz w:val="20"/>
          <w:szCs w:val="20"/>
          <w:lang w:eastAsia="en-GB"/>
        </w:rPr>
        <w:t>100 Series Rules for the Use of Force”</w:t>
      </w:r>
    </w:p>
    <w:p>
      <w:pPr>
        <w:pStyle w:val="Normal"/>
        <w:autoSpaceDE w:val="false"/>
        <w:spacing w:lineRule="auto" w:line="240" w:before="0" w:after="0"/>
        <w:ind w:start="1418" w:end="0"/>
        <w:jc w:val="both"/>
        <w:rPr>
          <w:rFonts w:ascii="Verdana" w:hAnsi="Verdana" w:eastAsia="Times New Roman" w:cs="Arial"/>
          <w:bCs/>
          <w:i/>
          <w:sz w:val="18"/>
          <w:szCs w:val="20"/>
          <w:lang w:eastAsia="en-GB"/>
        </w:rPr>
      </w:pPr>
      <w:r>
        <w:rPr>
          <w:rFonts w:eastAsia="Times New Roman" w:cs="Arial" w:ascii="Verdana" w:hAnsi="Verdana"/>
          <w:bCs/>
          <w:i/>
          <w:sz w:val="18"/>
          <w:szCs w:val="20"/>
          <w:lang w:eastAsia="en-GB"/>
        </w:rPr>
      </w:r>
    </w:p>
    <w:p>
      <w:pPr>
        <w:pStyle w:val="Normal"/>
        <w:autoSpaceDE w:val="false"/>
        <w:spacing w:lineRule="auto" w:line="240" w:before="0" w:after="0"/>
        <w:ind w:start="1418" w:end="0"/>
        <w:jc w:val="both"/>
        <w:rPr/>
      </w:pPr>
      <w:r>
        <w:rPr>
          <w:rFonts w:eastAsia="Times New Roman" w:cs="Arial" w:ascii="Verdana" w:hAnsi="Verdana"/>
          <w:bCs/>
          <w:i/>
          <w:sz w:val="18"/>
          <w:szCs w:val="20"/>
          <w:lang w:eastAsia="en-GB"/>
        </w:rPr>
        <w:t>Note: RUF is distinguishing various Flags requirements e.g. Cypriot and no Cypriot vessel;</w:t>
      </w:r>
    </w:p>
    <w:p>
      <w:pPr>
        <w:pStyle w:val="Normal"/>
        <w:autoSpaceDE w:val="false"/>
        <w:spacing w:lineRule="auto" w:line="240" w:before="0" w:after="0"/>
        <w:ind w:start="1418" w:end="0"/>
        <w:jc w:val="both"/>
        <w:rPr>
          <w:rFonts w:ascii="Verdana" w:hAnsi="Verdana" w:eastAsia="Times New Roman" w:cs="Arial"/>
          <w:bCs/>
          <w:i/>
          <w:sz w:val="20"/>
          <w:szCs w:val="20"/>
          <w:lang w:eastAsia="en-GB"/>
        </w:rPr>
      </w:pPr>
      <w:r>
        <w:rPr>
          <w:rFonts w:eastAsia="Times New Roman" w:cs="Arial" w:ascii="Verdana" w:hAnsi="Verdana"/>
          <w:bCs/>
          <w:i/>
          <w:sz w:val="20"/>
          <w:szCs w:val="20"/>
          <w:lang w:eastAsia="en-GB"/>
        </w:rPr>
      </w:r>
    </w:p>
    <w:p>
      <w:pPr>
        <w:pStyle w:val="Normal"/>
        <w:numPr>
          <w:ilvl w:val="1"/>
          <w:numId w:val="5"/>
        </w:numPr>
        <w:tabs>
          <w:tab w:val="clear" w:pos="720"/>
        </w:tabs>
        <w:autoSpaceDE w:val="false"/>
        <w:spacing w:lineRule="auto" w:line="240" w:before="0" w:after="0"/>
        <w:ind w:hanging="284"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procedures on decision making in support of the Master;</w:t>
      </w:r>
    </w:p>
    <w:p>
      <w:pPr>
        <w:pStyle w:val="Normal"/>
        <w:numPr>
          <w:ilvl w:val="1"/>
          <w:numId w:val="5"/>
        </w:numPr>
        <w:tabs>
          <w:tab w:val="clear" w:pos="720"/>
        </w:tabs>
        <w:autoSpaceDE w:val="false"/>
        <w:spacing w:lineRule="auto" w:line="240" w:before="0" w:after="0"/>
        <w:ind w:hanging="284"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management and safety of firearms;</w:t>
      </w:r>
    </w:p>
    <w:p>
      <w:pPr>
        <w:pStyle w:val="Normal"/>
        <w:numPr>
          <w:ilvl w:val="1"/>
          <w:numId w:val="5"/>
        </w:numPr>
        <w:tabs>
          <w:tab w:val="clear" w:pos="720"/>
        </w:tabs>
        <w:autoSpaceDE w:val="false"/>
        <w:spacing w:lineRule="auto" w:line="240" w:before="0" w:after="0"/>
        <w:ind w:hanging="284"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full and formal incident investigation;</w:t>
      </w:r>
    </w:p>
    <w:p>
      <w:pPr>
        <w:pStyle w:val="Normal"/>
        <w:numPr>
          <w:ilvl w:val="1"/>
          <w:numId w:val="5"/>
        </w:numPr>
        <w:tabs>
          <w:tab w:val="clear" w:pos="720"/>
        </w:tabs>
        <w:autoSpaceDE w:val="false"/>
        <w:spacing w:lineRule="auto" w:line="240" w:before="0" w:after="0"/>
        <w:ind w:hanging="284"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 xml:space="preserve">and other procedures in access of recommended industry standards; and fully compliant </w:t>
      </w:r>
      <w:r>
        <w:rPr>
          <w:rFonts w:eastAsia="Times New Roman" w:cs="Arial" w:ascii="Verdana" w:hAnsi="Verdana"/>
          <w:bCs/>
          <w:sz w:val="20"/>
          <w:szCs w:val="20"/>
          <w:lang w:eastAsia="en-GB"/>
        </w:rPr>
        <w:t>with UK Law</w:t>
      </w:r>
      <w:r>
        <w:rPr>
          <w:rFonts w:eastAsia="Times New Roman" w:cs="Arial" w:ascii="Verdana" w:hAnsi="Verdana"/>
          <w:bCs/>
          <w:sz w:val="20"/>
          <w:szCs w:val="20"/>
          <w:lang w:eastAsia="en-GB"/>
        </w:rPr>
        <w:t>.</w:t>
      </w:r>
    </w:p>
    <w:p>
      <w:pPr>
        <w:pStyle w:val="Normal"/>
        <w:numPr>
          <w:ilvl w:val="1"/>
          <w:numId w:val="5"/>
        </w:numPr>
        <w:tabs>
          <w:tab w:val="clear" w:pos="720"/>
        </w:tabs>
        <w:autoSpaceDE w:val="false"/>
        <w:spacing w:lineRule="auto" w:line="240" w:before="0" w:after="0"/>
        <w:ind w:hanging="284" w:start="1418"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Personnel Recruitment Training SOPs</w:t>
      </w:r>
    </w:p>
    <w:p>
      <w:pPr>
        <w:pStyle w:val="Normal"/>
        <w:autoSpaceDE w:val="false"/>
        <w:spacing w:lineRule="auto" w:line="240" w:before="0" w:after="0"/>
        <w:ind w:hanging="1026" w:start="2160"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360" w:before="0" w:after="0"/>
        <w:ind w:start="1080"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numPr>
          <w:ilvl w:val="0"/>
          <w:numId w:val="8"/>
        </w:numPr>
        <w:autoSpaceDE w:val="false"/>
        <w:spacing w:lineRule="auto" w:line="360" w:before="0" w:after="0"/>
        <w:jc w:val="both"/>
        <w:rPr>
          <w:rFonts w:ascii="Verdana" w:hAnsi="Verdana" w:eastAsia="Times New Roman" w:cs="Arial"/>
          <w:bCs/>
          <w:sz w:val="20"/>
          <w:szCs w:val="20"/>
          <w:lang w:eastAsia="en-GB"/>
        </w:rPr>
      </w:pPr>
      <w:r>
        <w:rPr>
          <w:rFonts w:eastAsia="Times New Roman" w:cs="Arial" w:ascii="Verdana" w:hAnsi="Verdana"/>
          <w:b/>
          <w:bCs/>
          <w:sz w:val="20"/>
          <w:szCs w:val="20"/>
          <w:lang w:eastAsia="en-GB"/>
        </w:rPr>
        <w:t xml:space="preserve">Employee Screening </w:t>
      </w:r>
    </w:p>
    <w:p>
      <w:pPr>
        <w:pStyle w:val="Normal"/>
        <w:autoSpaceDE w:val="false"/>
        <w:spacing w:lineRule="auto" w:line="360" w:before="0" w:after="0"/>
        <w:ind w:start="1440"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lineRule="auto" w:line="240" w:before="0" w:after="0"/>
        <w:ind w:start="1440"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t>PMSC is ensures the following minimum standards are met:</w:t>
      </w:r>
    </w:p>
    <w:p>
      <w:pPr>
        <w:pStyle w:val="Normal"/>
        <w:autoSpaceDE w:val="false"/>
        <w:spacing w:lineRule="auto" w:line="240" w:before="0" w:after="0"/>
        <w:ind w:start="1440" w:end="0"/>
        <w:jc w:val="both"/>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numPr>
          <w:ilvl w:val="0"/>
          <w:numId w:val="4"/>
        </w:numPr>
        <w:tabs>
          <w:tab w:val="clear" w:pos="720"/>
        </w:tabs>
        <w:autoSpaceDE w:val="false"/>
        <w:spacing w:lineRule="auto" w:line="240" w:before="0" w:after="125"/>
        <w:ind w:hanging="284" w:start="1418" w:end="0"/>
        <w:jc w:val="both"/>
        <w:rPr>
          <w:rFonts w:ascii="Verdana" w:hAnsi="Verdana" w:eastAsia="Times New Roman" w:cs="Arial"/>
          <w:color w:val="000000"/>
          <w:sz w:val="20"/>
          <w:szCs w:val="20"/>
          <w:lang w:eastAsia="en-GB"/>
        </w:rPr>
      </w:pPr>
      <w:r>
        <w:rPr>
          <w:rFonts w:eastAsia="Times New Roman" w:cs="Arial" w:ascii="Verdana" w:hAnsi="Verdana"/>
          <w:color w:val="000000"/>
          <w:sz w:val="20"/>
          <w:szCs w:val="20"/>
          <w:lang w:eastAsia="en-GB"/>
        </w:rPr>
        <w:t>ISPS Ships Security Officer (SSO) course or DSSD (Indian SSO equivalent);</w:t>
      </w:r>
    </w:p>
    <w:p>
      <w:pPr>
        <w:pStyle w:val="Normal"/>
        <w:numPr>
          <w:ilvl w:val="0"/>
          <w:numId w:val="4"/>
        </w:numPr>
        <w:tabs>
          <w:tab w:val="clear" w:pos="720"/>
        </w:tabs>
        <w:autoSpaceDE w:val="false"/>
        <w:spacing w:lineRule="auto" w:line="240" w:before="0" w:after="125"/>
        <w:ind w:hanging="284" w:start="1418" w:end="0"/>
        <w:jc w:val="both"/>
        <w:rPr>
          <w:rFonts w:ascii="Verdana" w:hAnsi="Verdana" w:eastAsia="Times New Roman" w:cs="Arial"/>
          <w:color w:val="000000"/>
          <w:sz w:val="20"/>
          <w:szCs w:val="20"/>
          <w:lang w:eastAsia="en-GB"/>
        </w:rPr>
      </w:pPr>
      <w:r>
        <w:rPr>
          <w:rFonts w:eastAsia="Times New Roman" w:cs="Arial" w:ascii="Verdana" w:hAnsi="Verdana"/>
          <w:color w:val="000000"/>
          <w:sz w:val="20"/>
          <w:szCs w:val="20"/>
          <w:lang w:eastAsia="en-GB"/>
        </w:rPr>
        <w:t>STCW 95 (Sea Safety and Survival - all 4 modules);</w:t>
      </w:r>
    </w:p>
    <w:p>
      <w:pPr>
        <w:pStyle w:val="Normal"/>
        <w:numPr>
          <w:ilvl w:val="0"/>
          <w:numId w:val="4"/>
        </w:numPr>
        <w:tabs>
          <w:tab w:val="clear" w:pos="720"/>
        </w:tabs>
        <w:autoSpaceDE w:val="false"/>
        <w:spacing w:lineRule="auto" w:line="240" w:before="0" w:after="125"/>
        <w:ind w:hanging="284" w:start="1418" w:end="0"/>
        <w:jc w:val="both"/>
        <w:rPr>
          <w:rFonts w:ascii="Verdana" w:hAnsi="Verdana" w:eastAsia="Times New Roman" w:cs="Arial"/>
          <w:color w:val="000000"/>
          <w:sz w:val="20"/>
          <w:szCs w:val="20"/>
          <w:highlight w:val="yellow"/>
          <w:lang w:eastAsia="en-GB"/>
        </w:rPr>
      </w:pPr>
      <w:r>
        <w:rPr>
          <w:rFonts w:eastAsia="Times New Roman" w:cs="Arial" w:ascii="Verdana" w:hAnsi="Verdana"/>
          <w:color w:val="000000"/>
          <w:sz w:val="20"/>
          <w:szCs w:val="20"/>
          <w:lang w:eastAsia="en-GB"/>
        </w:rPr>
        <w:t>ENG1 Medical UK personnel, FNG1 Indian personnel;</w:t>
      </w:r>
    </w:p>
    <w:p>
      <w:pPr>
        <w:pStyle w:val="Normal"/>
        <w:numPr>
          <w:ilvl w:val="0"/>
          <w:numId w:val="4"/>
        </w:numPr>
        <w:tabs>
          <w:tab w:val="clear" w:pos="720"/>
        </w:tabs>
        <w:autoSpaceDE w:val="false"/>
        <w:spacing w:lineRule="auto" w:line="240" w:before="0" w:after="125"/>
        <w:ind w:hanging="284" w:start="1418" w:end="0"/>
        <w:jc w:val="both"/>
        <w:rPr>
          <w:rFonts w:ascii="Verdana" w:hAnsi="Verdana" w:eastAsia="Times New Roman" w:cs="Arial"/>
          <w:color w:val="000000"/>
          <w:sz w:val="20"/>
          <w:szCs w:val="20"/>
          <w:highlight w:val="yellow"/>
          <w:lang w:eastAsia="en-GB"/>
        </w:rPr>
      </w:pPr>
      <w:r>
        <w:rPr>
          <w:rFonts w:eastAsia="Times New Roman" w:cs="Arial" w:ascii="Verdana" w:hAnsi="Verdana"/>
          <w:color w:val="000000"/>
          <w:sz w:val="20"/>
          <w:szCs w:val="20"/>
          <w:lang w:eastAsia="en-GB"/>
        </w:rPr>
        <w:t xml:space="preserve">A minimum of five years military service verified through evidence of honourable discharge; </w:t>
      </w:r>
    </w:p>
    <w:p>
      <w:pPr>
        <w:pStyle w:val="Normal"/>
        <w:numPr>
          <w:ilvl w:val="0"/>
          <w:numId w:val="4"/>
        </w:numPr>
        <w:tabs>
          <w:tab w:val="clear" w:pos="720"/>
        </w:tabs>
        <w:autoSpaceDE w:val="false"/>
        <w:spacing w:lineRule="auto" w:line="240" w:before="0" w:after="125"/>
        <w:ind w:hanging="284" w:start="1418" w:end="0"/>
        <w:jc w:val="both"/>
        <w:rPr>
          <w:rFonts w:ascii="Verdana" w:hAnsi="Verdana" w:eastAsia="Times New Roman" w:cs="Arial"/>
          <w:color w:val="000000"/>
          <w:sz w:val="20"/>
          <w:szCs w:val="20"/>
          <w:lang w:eastAsia="en-GB"/>
        </w:rPr>
      </w:pPr>
      <w:r>
        <w:rPr>
          <w:rFonts w:eastAsia="Times New Roman" w:cs="Arial" w:ascii="Verdana" w:hAnsi="Verdana"/>
          <w:color w:val="000000"/>
          <w:sz w:val="20"/>
          <w:szCs w:val="20"/>
          <w:lang w:eastAsia="en-GB"/>
        </w:rPr>
        <w:t xml:space="preserve">Letter from the individual’s GP for their physical and psychological fitness to conduct operations as an armed maritime security operative; </w:t>
      </w:r>
    </w:p>
    <w:p>
      <w:pPr>
        <w:pStyle w:val="Normal"/>
        <w:numPr>
          <w:ilvl w:val="0"/>
          <w:numId w:val="4"/>
        </w:numPr>
        <w:tabs>
          <w:tab w:val="clear" w:pos="720"/>
        </w:tabs>
        <w:autoSpaceDE w:val="false"/>
        <w:spacing w:lineRule="auto" w:line="240" w:before="0" w:after="125"/>
        <w:ind w:hanging="284" w:start="1418" w:end="0"/>
        <w:jc w:val="both"/>
        <w:rPr>
          <w:rFonts w:ascii="Verdana" w:hAnsi="Verdana" w:eastAsia="Times New Roman" w:cs="Arial"/>
          <w:color w:val="000000"/>
          <w:sz w:val="20"/>
          <w:szCs w:val="20"/>
          <w:lang w:eastAsia="en-GB"/>
        </w:rPr>
      </w:pPr>
      <w:r>
        <w:rPr>
          <w:rFonts w:eastAsia="Times New Roman" w:cs="Arial" w:ascii="Verdana" w:hAnsi="Verdana"/>
          <w:color w:val="000000"/>
          <w:sz w:val="20"/>
          <w:szCs w:val="20"/>
          <w:lang w:eastAsia="en-GB"/>
        </w:rPr>
        <w:t xml:space="preserve">Personnel must be suitably qualified to operate in a marine environment. </w:t>
      </w:r>
    </w:p>
    <w:p>
      <w:pPr>
        <w:pStyle w:val="Normal"/>
        <w:autoSpaceDE w:val="false"/>
        <w:spacing w:lineRule="auto" w:line="240" w:before="0" w:after="125"/>
        <w:ind w:start="1440" w:end="0"/>
        <w:jc w:val="both"/>
        <w:rPr>
          <w:rFonts w:ascii="Arial" w:hAnsi="Arial" w:eastAsia="Times New Roman" w:cs="Arial"/>
          <w:color w:val="000000"/>
          <w:sz w:val="20"/>
          <w:szCs w:val="20"/>
          <w:lang w:eastAsia="en-GB"/>
        </w:rPr>
      </w:pPr>
      <w:r>
        <w:rPr>
          <w:rFonts w:eastAsia="Times New Roman" w:cs="Arial" w:ascii="Arial" w:hAnsi="Arial"/>
          <w:color w:val="000000"/>
          <w:sz w:val="20"/>
          <w:szCs w:val="20"/>
          <w:lang w:eastAsia="en-GB"/>
        </w:rPr>
      </w:r>
    </w:p>
    <w:p>
      <w:pPr>
        <w:pStyle w:val="Normal"/>
        <w:numPr>
          <w:ilvl w:val="0"/>
          <w:numId w:val="8"/>
        </w:numPr>
        <w:autoSpaceDE w:val="false"/>
        <w:spacing w:lineRule="auto" w:line="360" w:before="0" w:after="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t>Training</w:t>
      </w:r>
    </w:p>
    <w:p>
      <w:pPr>
        <w:pStyle w:val="Normal"/>
        <w:autoSpaceDE w:val="false"/>
        <w:spacing w:lineRule="auto" w:line="360" w:before="0" w:after="0"/>
        <w:ind w:start="1080" w:end="0"/>
        <w:jc w:val="both"/>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240" w:before="0" w:after="0"/>
        <w:ind w:start="1440" w:end="0"/>
        <w:jc w:val="both"/>
        <w:rPr>
          <w:rFonts w:ascii="Verdana" w:hAnsi="Verdana" w:cs="Verdana"/>
          <w:sz w:val="20"/>
          <w:szCs w:val="20"/>
        </w:rPr>
      </w:pPr>
      <w:r>
        <w:rPr>
          <w:rFonts w:cs="Verdana" w:ascii="Verdana" w:hAnsi="Verdana"/>
          <w:sz w:val="20"/>
          <w:szCs w:val="20"/>
        </w:rPr>
        <w:t xml:space="preserve">PMSC Personnel are required to have completed an SSO course and all 4 modules of STCW prior to deployment onboard a merchant vessel, part of which requires basic ship-board familiarisation. </w:t>
      </w:r>
    </w:p>
    <w:p>
      <w:pPr>
        <w:pStyle w:val="Normal"/>
        <w:autoSpaceDE w:val="false"/>
        <w:spacing w:lineRule="auto" w:line="240" w:before="0" w:after="0"/>
        <w:ind w:start="144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440" w:end="0"/>
        <w:jc w:val="both"/>
        <w:rPr>
          <w:rFonts w:ascii="Verdana" w:hAnsi="Verdana" w:cs="Verdana"/>
          <w:sz w:val="20"/>
          <w:szCs w:val="20"/>
        </w:rPr>
      </w:pPr>
      <w:r>
        <w:rPr>
          <w:rFonts w:cs="Verdana" w:ascii="Verdana" w:hAnsi="Verdana"/>
          <w:sz w:val="20"/>
          <w:szCs w:val="20"/>
        </w:rPr>
        <w:t xml:space="preserve">In addition, prior to their first deployment with PMSC all Personnel must have passed through PMSC  Recruiting and Training regime which contains further elements of, for example; anti piracy, and ship-board familiarisation. </w:t>
      </w:r>
    </w:p>
    <w:p>
      <w:pPr>
        <w:pStyle w:val="Normal"/>
        <w:autoSpaceDE w:val="false"/>
        <w:spacing w:lineRule="auto" w:line="240" w:before="0" w:after="0"/>
        <w:ind w:start="144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44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44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440" w:end="0"/>
        <w:jc w:val="both"/>
        <w:rPr>
          <w:rFonts w:ascii="Verdana" w:hAnsi="Verdana" w:eastAsia="Times New Roman" w:cs="Arial"/>
          <w:b/>
          <w:bCs/>
          <w:sz w:val="20"/>
          <w:szCs w:val="20"/>
          <w:lang w:eastAsia="en-GB"/>
        </w:rPr>
      </w:pPr>
      <w:r>
        <w:rPr>
          <w:rFonts w:cs="Verdana" w:ascii="Verdana" w:hAnsi="Verdana"/>
          <w:sz w:val="20"/>
          <w:szCs w:val="20"/>
        </w:rPr>
        <w:t>PMSC consistently review training policy and continually develop lessons for incorporation into their recruiting, initial training and refresher training.</w:t>
      </w:r>
    </w:p>
    <w:p>
      <w:pPr>
        <w:pStyle w:val="Normal"/>
        <w:autoSpaceDE w:val="false"/>
        <w:spacing w:lineRule="auto" w:line="24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24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8"/>
        </w:numPr>
        <w:autoSpaceDE w:val="false"/>
        <w:spacing w:lineRule="auto" w:line="36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Flag state approval</w:t>
      </w:r>
    </w:p>
    <w:p>
      <w:pPr>
        <w:pStyle w:val="Normal"/>
        <w:autoSpaceDE w:val="false"/>
        <w:spacing w:lineRule="auto" w:line="360" w:before="0" w:after="0"/>
        <w:ind w:start="144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start="1080" w:end="0"/>
        <w:jc w:val="both"/>
        <w:rPr>
          <w:rFonts w:ascii="Verdana" w:hAnsi="Verdana" w:eastAsia="Times New Roman" w:cs="Arial"/>
          <w:color w:val="000000"/>
          <w:sz w:val="20"/>
          <w:szCs w:val="20"/>
          <w:lang w:eastAsia="en-GB"/>
        </w:rPr>
      </w:pPr>
      <w:r>
        <w:rPr>
          <w:rFonts w:cs="Verdana" w:ascii="Verdana" w:hAnsi="Verdana"/>
          <w:sz w:val="20"/>
          <w:szCs w:val="20"/>
        </w:rPr>
        <w:t>PMSC has received approval or conducted voyages from a variety of Flag States including</w:t>
      </w:r>
      <w:r>
        <w:rPr>
          <w:rFonts w:eastAsia="Times New Roman" w:cs="Arial" w:ascii="Verdana" w:hAnsi="Verdana"/>
          <w:b/>
          <w:bCs/>
          <w:sz w:val="20"/>
          <w:szCs w:val="20"/>
          <w:lang w:eastAsia="en-GB"/>
        </w:rPr>
        <w:t>;</w:t>
      </w:r>
    </w:p>
    <w:p>
      <w:pPr>
        <w:pStyle w:val="Normal"/>
        <w:numPr>
          <w:ilvl w:val="0"/>
          <w:numId w:val="12"/>
        </w:numPr>
        <w:tabs>
          <w:tab w:val="clear" w:pos="720"/>
        </w:tabs>
        <w:autoSpaceDE w:val="false"/>
        <w:spacing w:lineRule="auto" w:line="240" w:before="0" w:after="5"/>
        <w:ind w:hanging="0" w:start="1800" w:end="0"/>
        <w:jc w:val="both"/>
        <w:rPr>
          <w:rFonts w:ascii="Verdana" w:hAnsi="Verdana" w:eastAsia="Times New Roman" w:cs="Arial"/>
          <w:color w:val="000000"/>
          <w:sz w:val="20"/>
          <w:szCs w:val="20"/>
          <w:highlight w:val="yellow"/>
          <w:lang w:eastAsia="en-GB"/>
        </w:rPr>
      </w:pPr>
      <w:r>
        <w:rPr>
          <w:rFonts w:eastAsia="Times New Roman" w:cs="Arial" w:ascii="Verdana" w:hAnsi="Verdana"/>
          <w:color w:val="000000"/>
          <w:sz w:val="20"/>
          <w:szCs w:val="20"/>
          <w:lang w:eastAsia="en-GB"/>
        </w:rPr>
        <w:t xml:space="preserve">Panama, Liberia, Malta, Guinea-Bissau, Hong Kong, Marshall Islands, Bahamas, Singapore, Tuvalu, St Vincent &amp; Grenadines, Antigua &amp; Barbuda, Gibraltar, and others. Full flag state register maintained as SM/SEC/REG/001 with 37 flag states documented. </w:t>
      </w:r>
    </w:p>
    <w:p>
      <w:pPr>
        <w:pStyle w:val="Normal"/>
        <w:autoSpaceDE w:val="false"/>
        <w:spacing w:lineRule="auto" w:line="240" w:before="0" w:after="0"/>
        <w:ind w:start="720" w:end="0"/>
        <w:jc w:val="both"/>
        <w:rPr>
          <w:rFonts w:ascii="Arial" w:hAnsi="Arial" w:eastAsia="Times New Roman" w:cs="Arial"/>
          <w:color w:val="000000"/>
          <w:sz w:val="20"/>
          <w:szCs w:val="20"/>
          <w:highlight w:val="yellow"/>
          <w:lang w:eastAsia="en-GB"/>
        </w:rPr>
      </w:pPr>
      <w:r>
        <w:rPr>
          <w:rFonts w:eastAsia="Times New Roman" w:cs="Arial" w:ascii="Arial" w:hAnsi="Arial"/>
          <w:color w:val="000000"/>
          <w:sz w:val="20"/>
          <w:szCs w:val="20"/>
          <w:lang w:eastAsia="en-GB"/>
        </w:rPr>
      </w:r>
    </w:p>
    <w:p>
      <w:pPr>
        <w:pStyle w:val="Normal"/>
        <w:autoSpaceDE w:val="false"/>
        <w:spacing w:lineRule="auto" w:line="240" w:before="0" w:after="0"/>
        <w:ind w:start="720" w:end="0"/>
        <w:jc w:val="both"/>
        <w:rPr>
          <w:rFonts w:ascii="Arial" w:hAnsi="Arial" w:eastAsia="Times New Roman" w:cs="Arial"/>
          <w:color w:val="000000"/>
          <w:lang w:eastAsia="en-GB"/>
        </w:rPr>
      </w:pPr>
      <w:r>
        <w:rPr>
          <w:rFonts w:eastAsia="Times New Roman" w:cs="Arial" w:ascii="Arial" w:hAnsi="Arial"/>
          <w:color w:val="000000"/>
          <w:lang w:eastAsia="en-GB"/>
        </w:rPr>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 xml:space="preserve">PMSC has worked with a large number of Flag States to ensure compliance with their requirements on possession and transportation of weapons. </w:t>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080" w:end="0"/>
        <w:jc w:val="both"/>
        <w:rPr>
          <w:rFonts w:ascii="Verdana" w:hAnsi="Verdana" w:cs="Verdana"/>
          <w:sz w:val="20"/>
          <w:szCs w:val="20"/>
        </w:rPr>
      </w:pPr>
      <w:r>
        <w:rPr>
          <w:rFonts w:cs="Verdana" w:ascii="Verdana" w:hAnsi="Verdana"/>
          <w:sz w:val="20"/>
          <w:szCs w:val="20"/>
        </w:rPr>
        <w:t xml:space="preserve">This includes the completion of pre-embarkation questionnaires and drafted Flag’s Letter of No Objections providing details of the team. </w:t>
      </w:r>
    </w:p>
    <w:p>
      <w:pPr>
        <w:pStyle w:val="Normal"/>
        <w:autoSpaceDE w:val="false"/>
        <w:spacing w:lineRule="auto" w:line="360" w:before="0" w:after="0"/>
        <w:ind w:start="144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start="144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8"/>
        </w:numPr>
        <w:autoSpaceDE w:val="false"/>
        <w:spacing w:lineRule="auto" w:line="36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Insurance</w:t>
      </w:r>
    </w:p>
    <w:p>
      <w:pPr>
        <w:pStyle w:val="Normal"/>
        <w:autoSpaceDE w:val="false"/>
        <w:spacing w:lineRule="auto" w:line="240" w:before="0" w:after="0"/>
        <w:rPr>
          <w:rFonts w:ascii="Arial" w:hAnsi="Arial" w:eastAsia="Times New Roman" w:cs="Arial"/>
          <w:b/>
          <w:bCs/>
          <w:color w:val="000000"/>
          <w:sz w:val="24"/>
          <w:szCs w:val="24"/>
          <w:lang w:eastAsia="en-GB"/>
        </w:rPr>
      </w:pPr>
      <w:r>
        <w:rPr>
          <w:rFonts w:eastAsia="Times New Roman" w:cs="Arial" w:ascii="Arial" w:hAnsi="Arial"/>
          <w:b/>
          <w:bCs/>
          <w:color w:val="000000"/>
          <w:sz w:val="24"/>
          <w:szCs w:val="24"/>
          <w:lang w:eastAsia="en-GB"/>
        </w:rPr>
      </w:r>
    </w:p>
    <w:p>
      <w:pPr>
        <w:pStyle w:val="Normal"/>
        <w:autoSpaceDE w:val="false"/>
        <w:spacing w:lineRule="auto" w:line="240" w:before="0" w:after="0"/>
        <w:ind w:start="1080" w:end="0"/>
        <w:jc w:val="both"/>
        <w:rPr/>
      </w:pPr>
      <w:r>
        <w:rPr>
          <w:rFonts w:eastAsia="Times New Roman" w:cs="Arial" w:ascii="Verdana" w:hAnsi="Verdana"/>
          <w:bCs/>
          <w:color w:val="000000"/>
          <w:sz w:val="20"/>
          <w:szCs w:val="20"/>
          <w:lang w:eastAsia="en-GB"/>
        </w:rPr>
        <w:t>PMSC provides and maintains following insurances;</w:t>
      </w:r>
    </w:p>
    <w:p>
      <w:pPr>
        <w:pStyle w:val="Normal"/>
        <w:autoSpaceDE w:val="false"/>
        <w:spacing w:lineRule="auto" w:line="240" w:before="0" w:after="0"/>
        <w:ind w:start="1080" w:end="0"/>
        <w:jc w:val="both"/>
        <w:rPr>
          <w:rFonts w:ascii="Verdana" w:hAnsi="Verdana" w:eastAsia="Times New Roman" w:cs="Arial"/>
          <w:b/>
          <w:bCs/>
          <w:color w:val="000000"/>
          <w:sz w:val="20"/>
          <w:szCs w:val="20"/>
          <w:lang w:eastAsia="en-GB"/>
        </w:rPr>
      </w:pPr>
      <w:r>
        <w:rPr>
          <w:rFonts w:eastAsia="Times New Roman" w:cs="Arial" w:ascii="Verdana" w:hAnsi="Verdana"/>
          <w:b/>
          <w:bCs/>
          <w:color w:val="000000"/>
          <w:sz w:val="20"/>
          <w:szCs w:val="20"/>
          <w:lang w:eastAsia="en-GB"/>
        </w:rPr>
      </w:r>
    </w:p>
    <w:p>
      <w:pPr>
        <w:pStyle w:val="Normal"/>
        <w:numPr>
          <w:ilvl w:val="0"/>
          <w:numId w:val="7"/>
        </w:numPr>
        <w:autoSpaceDE w:val="false"/>
        <w:spacing w:lineRule="auto" w:line="240" w:before="0" w:after="125"/>
        <w:ind w:hanging="284" w:start="1418" w:end="0"/>
        <w:rPr>
          <w:rFonts w:ascii="Verdana" w:hAnsi="Verdana" w:eastAsia="Times New Roman" w:cs="Arial"/>
          <w:color w:val="000000"/>
          <w:sz w:val="20"/>
          <w:szCs w:val="20"/>
          <w:lang w:eastAsia="en-GB"/>
        </w:rPr>
      </w:pPr>
      <w:r>
        <w:rPr>
          <w:rFonts w:eastAsia="Times New Roman" w:cs="Arial" w:ascii="Verdana" w:hAnsi="Verdana"/>
          <w:color w:val="000000"/>
          <w:sz w:val="20"/>
          <w:szCs w:val="20"/>
          <w:lang w:eastAsia="en-GB"/>
        </w:rPr>
        <w:t xml:space="preserve">Personal Accident insurance to the event limit as per policy (see DD portal Section 9) </w:t>
      </w:r>
    </w:p>
    <w:p>
      <w:pPr>
        <w:pStyle w:val="Normal"/>
        <w:numPr>
          <w:ilvl w:val="1"/>
          <w:numId w:val="7"/>
        </w:numPr>
        <w:autoSpaceDE w:val="false"/>
        <w:spacing w:lineRule="auto" w:line="240" w:before="0" w:after="125"/>
        <w:ind w:hanging="284" w:start="1418" w:end="0"/>
        <w:rPr>
          <w:rFonts w:ascii="Verdana" w:hAnsi="Verdana" w:eastAsia="Times New Roman" w:cs="Arial"/>
          <w:color w:val="000000"/>
          <w:sz w:val="20"/>
          <w:szCs w:val="20"/>
          <w:lang w:eastAsia="en-GB"/>
        </w:rPr>
      </w:pPr>
      <w:r>
        <w:rPr>
          <w:rFonts w:eastAsia="Times New Roman" w:cs="Arial" w:ascii="Verdana" w:hAnsi="Verdana"/>
          <w:color w:val="000000"/>
          <w:sz w:val="20"/>
          <w:szCs w:val="20"/>
          <w:lang w:eastAsia="en-GB"/>
        </w:rPr>
        <w:t>Professional Liability, General Liability and Employers Reinsurance –  USD $10 000, 000 – in the aggregate</w:t>
      </w:r>
    </w:p>
    <w:p>
      <w:pPr>
        <w:pStyle w:val="Normal"/>
        <w:autoSpaceDE w:val="false"/>
        <w:spacing w:lineRule="auto" w:line="360" w:before="0" w:after="0"/>
        <w:ind w:start="1440" w:end="0"/>
        <w:rPr>
          <w:rFonts w:ascii="Verdana" w:hAnsi="Verdana" w:eastAsia="Times New Roman" w:cs="Arial"/>
          <w:b/>
          <w:bCs/>
          <w:color w:val="000000"/>
          <w:sz w:val="20"/>
          <w:szCs w:val="20"/>
          <w:lang w:eastAsia="en-GB"/>
        </w:rPr>
      </w:pPr>
      <w:r>
        <w:rPr>
          <w:rFonts w:eastAsia="Times New Roman" w:cs="Arial" w:ascii="Verdana" w:hAnsi="Verdana"/>
          <w:b/>
          <w:bCs/>
          <w:color w:val="000000"/>
          <w:sz w:val="20"/>
          <w:szCs w:val="20"/>
          <w:lang w:eastAsia="en-GB"/>
        </w:rPr>
      </w:r>
    </w:p>
    <w:p>
      <w:pPr>
        <w:pStyle w:val="Normal"/>
        <w:numPr>
          <w:ilvl w:val="0"/>
          <w:numId w:val="8"/>
        </w:numPr>
        <w:autoSpaceDE w:val="false"/>
        <w:spacing w:lineRule="auto" w:line="36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Contractual agreement</w:t>
      </w:r>
    </w:p>
    <w:p>
      <w:pPr>
        <w:pStyle w:val="Normal"/>
        <w:autoSpaceDE w:val="false"/>
        <w:spacing w:lineRule="auto" w:line="36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240" w:before="0" w:after="0"/>
        <w:ind w:start="1080" w:end="0"/>
        <w:rPr>
          <w:rFonts w:ascii="Verdana" w:hAnsi="Verdana" w:cs="Verdana"/>
          <w:sz w:val="20"/>
          <w:szCs w:val="20"/>
        </w:rPr>
      </w:pPr>
      <w:r>
        <w:rPr>
          <w:rFonts w:cs="Verdana" w:ascii="Verdana" w:hAnsi="Verdana"/>
          <w:sz w:val="20"/>
          <w:szCs w:val="20"/>
        </w:rPr>
        <w:t>PMSC</w:t>
      </w:r>
      <w:r>
        <w:rPr>
          <w:rFonts w:cs="Lucida Sans Unicode" w:ascii="Verdana" w:hAnsi="Verdana"/>
          <w:sz w:val="20"/>
          <w:szCs w:val="20"/>
        </w:rPr>
        <w:t xml:space="preserve"> is using the </w:t>
      </w:r>
      <w:r>
        <w:rPr>
          <w:rFonts w:cs="Verdana" w:ascii="Verdana" w:hAnsi="Verdana"/>
          <w:sz w:val="20"/>
          <w:szCs w:val="20"/>
        </w:rPr>
        <w:t>GUARDCON adjusted / unchanged escorting contract, marked up to show their amendments to the standard contract form.</w:t>
      </w:r>
      <w:r>
        <w:rPr>
          <w:rFonts w:cs="Verdana" w:ascii="Verdana" w:hAnsi="Verdana"/>
          <w:sz w:val="20"/>
          <w:szCs w:val="20"/>
        </w:rPr>
        <w:t xml:space="preserve"> </w:t>
      </w:r>
    </w:p>
    <w:p>
      <w:pPr>
        <w:pStyle w:val="Normal"/>
        <w:autoSpaceDE w:val="false"/>
        <w:spacing w:lineRule="auto" w:line="240" w:before="0" w:after="0"/>
        <w:ind w:start="1080" w:end="0"/>
        <w:rPr>
          <w:rFonts w:ascii="Verdana" w:hAnsi="Verdana" w:cs="Verdana"/>
          <w:sz w:val="20"/>
          <w:szCs w:val="20"/>
        </w:rPr>
      </w:pPr>
      <w:r>
        <w:rPr>
          <w:rFonts w:cs="Verdana" w:ascii="Verdana" w:hAnsi="Verdana"/>
          <w:sz w:val="20"/>
          <w:szCs w:val="20"/>
        </w:rPr>
      </w:r>
    </w:p>
    <w:p>
      <w:pPr>
        <w:pStyle w:val="Normal"/>
        <w:autoSpaceDE w:val="false"/>
        <w:spacing w:lineRule="auto" w:line="240" w:before="0" w:after="0"/>
        <w:ind w:start="1080" w:end="0"/>
        <w:rPr>
          <w:rFonts w:ascii="Verdana" w:hAnsi="Verdana" w:cs="Verdana"/>
          <w:sz w:val="20"/>
          <w:szCs w:val="20"/>
        </w:rPr>
        <w:sectPr>
          <w:headerReference w:type="default" r:id="rId12"/>
          <w:headerReference w:type="first" r:id="rId13"/>
          <w:footerReference w:type="default" r:id="rId14"/>
          <w:footerReference w:type="first" r:id="rId15"/>
          <w:type w:val="nextPage"/>
          <w:pgSz w:w="11906" w:h="16838"/>
          <w:pgMar w:left="1800" w:right="1800" w:gutter="0" w:header="720" w:top="1440" w:footer="720" w:bottom="1440"/>
          <w:pgNumType w:fmt="decimal"/>
          <w:formProt w:val="false"/>
          <w:textDirection w:val="lrTb"/>
          <w:docGrid w:type="default" w:linePitch="360" w:charSpace="0"/>
        </w:sectPr>
      </w:pPr>
      <w:r>
        <w:rPr>
          <w:rFonts w:cs="Verdana" w:ascii="Verdana" w:hAnsi="Verdana"/>
          <w:sz w:val="20"/>
          <w:szCs w:val="20"/>
        </w:rPr>
        <w:t>Any dispute/resolution shall be in London/UK under the English laws.</w:t>
      </w:r>
    </w:p>
    <w:p>
      <w:pPr>
        <w:pStyle w:val="Normal"/>
        <w:autoSpaceDE w:val="false"/>
        <w:spacing w:lineRule="auto" w:line="36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8"/>
        </w:numPr>
        <w:autoSpaceDE w:val="false"/>
        <w:spacing w:lineRule="auto" w:line="36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PMSC team size, composition and equipment</w:t>
      </w:r>
    </w:p>
    <w:p>
      <w:pPr>
        <w:pStyle w:val="Normal"/>
        <w:autoSpaceDE w:val="false"/>
        <w:spacing w:lineRule="auto" w:line="36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240" w:before="0" w:after="0"/>
        <w:ind w:start="1080" w:end="0"/>
        <w:rPr>
          <w:rFonts w:ascii="Verdana" w:hAnsi="Verdana" w:cs="Verdana"/>
          <w:sz w:val="20"/>
          <w:szCs w:val="20"/>
          <w:highlight w:val="yellow"/>
        </w:rPr>
      </w:pPr>
      <w:r>
        <w:rPr>
          <w:rFonts w:cs="Verdana" w:ascii="Verdana" w:hAnsi="Verdana"/>
          <w:sz w:val="20"/>
          <w:szCs w:val="20"/>
        </w:rPr>
        <w:t xml:space="preserve">Each escort boat has at least 3 armed team members. On some occasions, subject to Flag’s approvals, 2 armed team members may be utilized. </w:t>
      </w:r>
    </w:p>
    <w:p>
      <w:pPr>
        <w:pStyle w:val="Normal"/>
        <w:autoSpaceDE w:val="false"/>
        <w:spacing w:lineRule="auto" w:line="240" w:before="0" w:after="0"/>
        <w:ind w:start="1080" w:end="0"/>
        <w:rPr>
          <w:rFonts w:ascii="Verdana" w:hAnsi="Verdana" w:cs="Verdana"/>
          <w:sz w:val="20"/>
          <w:szCs w:val="20"/>
          <w:highlight w:val="yellow"/>
        </w:rPr>
      </w:pPr>
      <w:r>
        <w:rPr>
          <w:rFonts w:cs="Verdana" w:ascii="Verdana" w:hAnsi="Verdana"/>
          <w:sz w:val="20"/>
          <w:szCs w:val="20"/>
        </w:rPr>
      </w:r>
    </w:p>
    <w:p>
      <w:pPr>
        <w:pStyle w:val="Normal"/>
        <w:autoSpaceDE w:val="false"/>
        <w:spacing w:lineRule="auto" w:line="240" w:before="0" w:after="0"/>
        <w:ind w:start="1080" w:end="0"/>
        <w:rPr>
          <w:rFonts w:ascii="Verdana" w:hAnsi="Verdana" w:cs="Verdana"/>
          <w:sz w:val="20"/>
          <w:szCs w:val="20"/>
          <w:highlight w:val="yellow"/>
        </w:rPr>
      </w:pPr>
      <w:r>
        <w:rPr>
          <w:rFonts w:cs="Verdana" w:ascii="Verdana" w:hAnsi="Verdana"/>
          <w:sz w:val="20"/>
          <w:szCs w:val="20"/>
        </w:rPr>
        <w:t>All weapons and associated equipment is</w:t>
      </w:r>
      <w:r>
        <w:rPr>
          <w:rFonts w:cs="Verdana" w:ascii="Verdana" w:hAnsi="Verdana"/>
          <w:b/>
          <w:sz w:val="20"/>
          <w:szCs w:val="20"/>
        </w:rPr>
        <w:t xml:space="preserve"> leased or owned</w:t>
      </w:r>
      <w:r>
        <w:rPr>
          <w:rFonts w:cs="Verdana" w:ascii="Verdana" w:hAnsi="Verdana"/>
          <w:sz w:val="20"/>
          <w:szCs w:val="20"/>
        </w:rPr>
        <w:t xml:space="preserve"> by the PSC.</w:t>
      </w:r>
    </w:p>
    <w:p>
      <w:pPr>
        <w:pStyle w:val="Normal"/>
        <w:autoSpaceDE w:val="false"/>
        <w:spacing w:lineRule="auto" w:line="240" w:before="0" w:after="0"/>
        <w:ind w:start="1080" w:end="0"/>
        <w:rPr>
          <w:rFonts w:ascii="Verdana" w:hAnsi="Verdana" w:cs="Verdana"/>
          <w:sz w:val="20"/>
          <w:szCs w:val="20"/>
          <w:highlight w:val="yellow"/>
        </w:rPr>
      </w:pPr>
      <w:r>
        <w:rPr>
          <w:rFonts w:cs="Verdana" w:ascii="Verdana" w:hAnsi="Verdana"/>
          <w:sz w:val="20"/>
          <w:szCs w:val="20"/>
        </w:rPr>
      </w:r>
    </w:p>
    <w:p>
      <w:pPr>
        <w:pStyle w:val="Normal"/>
        <w:autoSpaceDE w:val="false"/>
        <w:spacing w:lineRule="auto" w:line="240" w:before="0" w:after="0"/>
        <w:ind w:start="1080" w:end="0"/>
        <w:rPr>
          <w:rFonts w:ascii="Verdana" w:hAnsi="Verdana" w:cs="Verdana"/>
          <w:b/>
          <w:sz w:val="20"/>
          <w:szCs w:val="20"/>
          <w:highlight w:val="yellow"/>
        </w:rPr>
      </w:pPr>
      <w:r>
        <w:rPr>
          <w:rFonts w:cs="Verdana" w:ascii="Verdana" w:hAnsi="Verdana"/>
          <w:b/>
          <w:sz w:val="20"/>
          <w:szCs w:val="20"/>
        </w:rPr>
      </w:r>
    </w:p>
    <w:p>
      <w:pPr>
        <w:pStyle w:val="Normal"/>
        <w:numPr>
          <w:ilvl w:val="0"/>
          <w:numId w:val="2"/>
        </w:numPr>
        <w:autoSpaceDE w:val="false"/>
        <w:spacing w:lineRule="auto" w:line="600" w:before="0" w:after="0"/>
        <w:rPr>
          <w:rFonts w:ascii="Verdana" w:hAnsi="Verdana" w:eastAsia="Times New Roman" w:cs="Arial"/>
          <w:b/>
          <w:bCs/>
          <w:sz w:val="20"/>
          <w:szCs w:val="20"/>
          <w:lang w:eastAsia="en-GB"/>
        </w:rPr>
      </w:pPr>
      <w:r>
        <w:rPr>
          <w:rFonts w:cs="Verdana" w:ascii="Verdana" w:hAnsi="Verdana"/>
          <w:b/>
          <w:sz w:val="20"/>
          <w:szCs w:val="20"/>
        </w:rPr>
        <w:t xml:space="preserve"> </w:t>
      </w:r>
      <w:r>
        <w:rPr>
          <w:rFonts w:eastAsia="Times New Roman" w:cs="Arial" w:ascii="Verdana" w:hAnsi="Verdana"/>
          <w:b/>
          <w:bCs/>
          <w:sz w:val="20"/>
          <w:szCs w:val="20"/>
          <w:lang w:eastAsia="en-GB"/>
        </w:rPr>
        <w:t>PMSC boarding areas/ports</w:t>
      </w:r>
    </w:p>
    <w:p>
      <w:pPr>
        <w:pStyle w:val="Normal"/>
        <w:autoSpaceDE w:val="false"/>
        <w:spacing w:lineRule="auto" w:line="600" w:before="0" w:after="0"/>
        <w:ind w:start="1080" w:end="0"/>
        <w:rPr/>
      </w:pPr>
      <w:r>
        <w:rPr>
          <w:rFonts w:eastAsia="Times New Roman" w:cs="Arial" w:ascii="Verdana" w:hAnsi="Verdana"/>
          <w:bCs/>
          <w:sz w:val="20"/>
          <w:szCs w:val="20"/>
          <w:lang w:eastAsia="en-GB"/>
        </w:rPr>
        <w:t>PMSC can board the ship and exchange the team:</w:t>
      </w:r>
    </w:p>
    <w:p>
      <w:pPr>
        <w:pStyle w:val="Normal"/>
        <w:autoSpaceDE w:val="false"/>
        <w:spacing w:lineRule="auto" w:line="60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t>Unarmed only:</w:t>
      </w:r>
    </w:p>
    <w:p>
      <w:pPr>
        <w:pStyle w:val="Normal"/>
        <w:numPr>
          <w:ilvl w:val="0"/>
          <w:numId w:val="7"/>
        </w:numPr>
        <w:autoSpaceDE w:val="false"/>
        <w:spacing w:before="0" w:after="0"/>
        <w:rPr>
          <w:rFonts w:ascii="Verdana" w:hAnsi="Verdana" w:eastAsia="Times New Roman" w:cs="Arial"/>
          <w:bCs/>
          <w:sz w:val="20"/>
          <w:szCs w:val="20"/>
          <w:lang w:eastAsia="en-GB"/>
        </w:rPr>
      </w:pPr>
      <w:r>
        <w:rPr>
          <w:rFonts w:eastAsia="Times New Roman" w:cs="Arial" w:ascii="Verdana" w:hAnsi="Verdana"/>
          <w:bCs/>
          <w:sz w:val="20"/>
          <w:szCs w:val="20"/>
          <w:lang w:eastAsia="en-GB"/>
        </w:rPr>
        <w:t>Suez, Suez Canal, Port Said;</w:t>
      </w:r>
    </w:p>
    <w:p>
      <w:pPr>
        <w:pStyle w:val="Normal"/>
        <w:numPr>
          <w:ilvl w:val="0"/>
          <w:numId w:val="7"/>
        </w:numPr>
        <w:autoSpaceDE w:val="false"/>
        <w:spacing w:before="0" w:after="0"/>
        <w:rPr>
          <w:rFonts w:ascii="Verdana" w:hAnsi="Verdana" w:eastAsia="Times New Roman" w:cs="Arial"/>
          <w:bCs/>
          <w:sz w:val="20"/>
          <w:szCs w:val="20"/>
          <w:lang w:eastAsia="en-GB"/>
        </w:rPr>
      </w:pPr>
      <w:r>
        <w:rPr>
          <w:rFonts w:eastAsia="Times New Roman" w:cs="Arial" w:ascii="Verdana" w:hAnsi="Verdana"/>
          <w:bCs/>
          <w:sz w:val="20"/>
          <w:szCs w:val="20"/>
          <w:lang w:eastAsia="en-GB"/>
        </w:rPr>
        <w:t xml:space="preserve">Kenya / Mombasa. </w:t>
      </w:r>
    </w:p>
    <w:p>
      <w:pPr>
        <w:pStyle w:val="Normal"/>
        <w:autoSpaceDE w:val="false"/>
        <w:spacing w:before="0" w:after="0"/>
        <w:ind w:start="2608" w:end="0"/>
        <w:rPr>
          <w:rFonts w:ascii="Verdana" w:hAnsi="Verdana" w:eastAsia="Times New Roman" w:cs="Arial"/>
          <w:bCs/>
          <w:sz w:val="20"/>
          <w:szCs w:val="20"/>
          <w:lang w:eastAsia="en-GB"/>
        </w:rPr>
      </w:pPr>
      <w:r>
        <w:rPr>
          <w:rFonts w:eastAsia="Times New Roman" w:cs="Arial" w:ascii="Verdana" w:hAnsi="Verdana"/>
          <w:bCs/>
          <w:sz w:val="20"/>
          <w:szCs w:val="20"/>
          <w:lang w:eastAsia="en-GB"/>
        </w:rPr>
      </w:r>
    </w:p>
    <w:p>
      <w:pPr>
        <w:pStyle w:val="Normal"/>
        <w:autoSpaceDE w:val="false"/>
        <w:spacing w:before="0" w:after="0"/>
        <w:ind w:firstLine="720" w:start="36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t>Armed or unarmed:</w:t>
      </w:r>
    </w:p>
    <w:p>
      <w:pPr>
        <w:pStyle w:val="Normal"/>
        <w:autoSpaceDE w:val="false"/>
        <w:spacing w:lineRule="auto" w:line="240" w:before="0" w:after="0"/>
        <w:ind w:firstLine="720" w:start="36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7"/>
        </w:numPr>
        <w:autoSpaceDE w:val="false"/>
        <w:spacing w:lineRule="auto" w:line="240" w:before="0" w:after="0"/>
        <w:rPr>
          <w:rFonts w:ascii="Verdana" w:hAnsi="Verdana" w:eastAsia="Times New Roman" w:cs="Arial"/>
          <w:bCs/>
          <w:sz w:val="20"/>
          <w:szCs w:val="20"/>
          <w:lang w:eastAsia="en-GB"/>
        </w:rPr>
      </w:pPr>
      <w:r>
        <w:rPr>
          <w:rFonts w:eastAsia="Times New Roman" w:cs="Arial" w:ascii="Verdana" w:hAnsi="Verdana"/>
          <w:bCs/>
          <w:sz w:val="20"/>
          <w:szCs w:val="20"/>
          <w:lang w:eastAsia="en-GB"/>
        </w:rPr>
        <w:t>Red Sea / Floating Platform;</w:t>
      </w:r>
    </w:p>
    <w:p>
      <w:pPr>
        <w:pStyle w:val="Normal"/>
        <w:numPr>
          <w:ilvl w:val="0"/>
          <w:numId w:val="7"/>
        </w:numPr>
        <w:autoSpaceDE w:val="false"/>
        <w:spacing w:lineRule="auto" w:line="240" w:before="0" w:after="0"/>
        <w:rPr>
          <w:rFonts w:ascii="Verdana" w:hAnsi="Verdana" w:eastAsia="Times New Roman" w:cs="Arial"/>
          <w:bCs/>
          <w:sz w:val="20"/>
          <w:szCs w:val="20"/>
          <w:lang w:eastAsia="en-GB"/>
        </w:rPr>
      </w:pPr>
      <w:r>
        <w:rPr>
          <w:rFonts w:eastAsia="Times New Roman" w:cs="Arial" w:ascii="Verdana" w:hAnsi="Verdana"/>
          <w:bCs/>
          <w:sz w:val="20"/>
          <w:szCs w:val="20"/>
          <w:lang w:eastAsia="en-GB"/>
        </w:rPr>
        <w:t>Port of Muscat;</w:t>
      </w:r>
    </w:p>
    <w:p>
      <w:pPr>
        <w:pStyle w:val="Normal"/>
        <w:numPr>
          <w:ilvl w:val="0"/>
          <w:numId w:val="7"/>
        </w:numPr>
        <w:autoSpaceDE w:val="false"/>
        <w:spacing w:lineRule="auto" w:line="240" w:before="0" w:after="0"/>
        <w:rPr>
          <w:rFonts w:ascii="Verdana" w:hAnsi="Verdana" w:eastAsia="Times New Roman" w:cs="Arial"/>
          <w:bCs/>
          <w:sz w:val="20"/>
          <w:szCs w:val="20"/>
          <w:lang w:eastAsia="en-GB"/>
        </w:rPr>
      </w:pPr>
      <w:r>
        <w:rPr>
          <w:rFonts w:eastAsia="Times New Roman" w:cs="Arial" w:ascii="Verdana" w:hAnsi="Verdana"/>
          <w:bCs/>
          <w:sz w:val="20"/>
          <w:szCs w:val="20"/>
          <w:lang w:eastAsia="en-GB"/>
        </w:rPr>
        <w:t>Off Shore Galle;</w:t>
      </w:r>
    </w:p>
    <w:p>
      <w:pPr>
        <w:pStyle w:val="Normal"/>
        <w:numPr>
          <w:ilvl w:val="0"/>
          <w:numId w:val="7"/>
        </w:numPr>
        <w:autoSpaceDE w:val="false"/>
        <w:spacing w:lineRule="auto" w:line="240" w:before="0" w:after="0"/>
        <w:rPr>
          <w:rFonts w:ascii="Verdana" w:hAnsi="Verdana" w:eastAsia="Times New Roman" w:cs="Arial"/>
          <w:bCs/>
          <w:sz w:val="20"/>
          <w:szCs w:val="20"/>
          <w:lang w:eastAsia="en-GB"/>
        </w:rPr>
      </w:pPr>
      <w:r>
        <w:rPr>
          <w:rFonts w:eastAsia="Times New Roman" w:cs="Arial" w:ascii="Verdana" w:hAnsi="Verdana"/>
          <w:bCs/>
          <w:sz w:val="20"/>
          <w:szCs w:val="20"/>
          <w:lang w:eastAsia="en-GB"/>
        </w:rPr>
        <w:t>Off Shore Fujairah / Floating Platform</w:t>
      </w:r>
    </w:p>
    <w:p>
      <w:pPr>
        <w:pStyle w:val="Normal"/>
        <w:numPr>
          <w:ilvl w:val="0"/>
          <w:numId w:val="7"/>
        </w:numPr>
        <w:autoSpaceDE w:val="false"/>
        <w:spacing w:lineRule="auto" w:line="600" w:before="0" w:after="0"/>
        <w:rPr>
          <w:rFonts w:ascii="Verdana" w:hAnsi="Verdana" w:eastAsia="Times New Roman" w:cs="Arial"/>
          <w:bCs/>
          <w:sz w:val="20"/>
          <w:szCs w:val="20"/>
          <w:lang w:eastAsia="en-GB"/>
        </w:rPr>
      </w:pPr>
      <w:r>
        <w:rPr>
          <w:rFonts w:eastAsia="Times New Roman" w:cs="Arial" w:ascii="Verdana" w:hAnsi="Verdana"/>
          <w:bCs/>
          <w:sz w:val="20"/>
          <w:szCs w:val="20"/>
          <w:lang w:eastAsia="en-GB"/>
        </w:rPr>
        <w:t>South Africa   / Durban  and Port Elisabeth</w:t>
      </w:r>
    </w:p>
    <w:p>
      <w:pPr>
        <w:pStyle w:val="Normal"/>
        <w:autoSpaceDE w:val="false"/>
        <w:spacing w:lineRule="auto" w:line="36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t>Note:</w:t>
      </w:r>
    </w:p>
    <w:p>
      <w:pPr>
        <w:pStyle w:val="Normal"/>
        <w:autoSpaceDE w:val="false"/>
        <w:spacing w:lineRule="auto" w:line="36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6"/>
        </w:numPr>
        <w:autoSpaceDE w:val="false"/>
        <w:spacing w:lineRule="auto" w:line="36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India:</w:t>
      </w:r>
    </w:p>
    <w:p>
      <w:pPr>
        <w:pStyle w:val="Normal"/>
        <w:autoSpaceDE w:val="false"/>
        <w:spacing w:lineRule="auto" w:line="240" w:before="0" w:after="0"/>
        <w:ind w:start="1440" w:end="0"/>
        <w:rPr>
          <w:rFonts w:ascii="Verdana" w:hAnsi="Verdana" w:eastAsia="Times New Roman" w:cs="Arial"/>
          <w:b/>
          <w:bCs/>
          <w:sz w:val="20"/>
          <w:szCs w:val="20"/>
          <w:lang w:eastAsia="en-GB"/>
        </w:rPr>
      </w:pPr>
      <w:r>
        <w:rPr>
          <w:rFonts w:eastAsia="Times New Roman" w:cs="Arial" w:ascii="Verdana" w:hAnsi="Verdana"/>
          <w:bCs/>
          <w:sz w:val="20"/>
          <w:szCs w:val="20"/>
          <w:lang w:eastAsia="en-GB"/>
        </w:rPr>
        <w:t xml:space="preserve">PSC cannot embark or disembark the armed guards at any Indian ports.  </w:t>
      </w:r>
      <w:r>
        <w:rPr>
          <w:rFonts w:eastAsia="Times New Roman" w:cs="Arial" w:ascii="Verdana" w:hAnsi="Verdana"/>
          <w:bCs/>
          <w:sz w:val="20"/>
          <w:szCs w:val="20"/>
          <w:lang w:eastAsia="en-GB"/>
        </w:rPr>
        <w:t>On occasions unarmed security team member may be signed off at the Indian Port, if commercial sound for the manager/owner and subject to Flag’s state regulation i.e. having a Custodian for the extra weapons.</w:t>
      </w:r>
    </w:p>
    <w:p>
      <w:pPr>
        <w:pStyle w:val="Normal"/>
        <w:autoSpaceDE w:val="false"/>
        <w:spacing w:lineRule="auto" w:line="36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6"/>
        </w:numPr>
        <w:autoSpaceDE w:val="false"/>
        <w:spacing w:lineRule="auto" w:line="360" w:before="0" w:after="0"/>
        <w:rPr>
          <w:rFonts w:ascii="Verdana" w:hAnsi="Verdana" w:eastAsia="Times New Roman" w:cs="Arial"/>
          <w:b/>
          <w:bCs/>
          <w:sz w:val="20"/>
          <w:szCs w:val="20"/>
          <w:lang w:eastAsia="en-GB"/>
        </w:rPr>
      </w:pPr>
      <w:r>
        <w:rPr>
          <w:rFonts w:eastAsia="Times New Roman" w:cs="Arial" w:ascii="Verdana" w:hAnsi="Verdana"/>
          <w:b/>
          <w:bCs/>
          <w:sz w:val="20"/>
          <w:szCs w:val="20"/>
          <w:lang w:eastAsia="en-GB"/>
        </w:rPr>
        <w:t>South Africa</w:t>
      </w:r>
    </w:p>
    <w:p>
      <w:pPr>
        <w:pStyle w:val="ListParagraph"/>
        <w:ind w:start="1440" w:end="0"/>
        <w:rPr>
          <w:rFonts w:ascii="Verdana" w:hAnsi="Verdana" w:eastAsia="Times New Roman" w:cs="Arial"/>
          <w:bCs/>
          <w:sz w:val="20"/>
          <w:szCs w:val="20"/>
          <w:lang w:eastAsia="en-GB"/>
        </w:rPr>
      </w:pPr>
      <w:r>
        <w:rPr>
          <w:rFonts w:eastAsia="Times New Roman" w:cs="Arial" w:ascii="Verdana" w:hAnsi="Verdana"/>
          <w:bCs/>
          <w:sz w:val="20"/>
          <w:szCs w:val="20"/>
          <w:lang w:eastAsia="en-GB"/>
        </w:rPr>
        <w:t>Ships embracing weapons within SA ports must have on board special Weapon Locker Grade Class XX .</w:t>
      </w:r>
      <w:r>
        <w:rPr>
          <w:rFonts w:eastAsia="Times New Roman" w:cs="Arial" w:ascii="Verdana" w:hAnsi="Verdana"/>
          <w:bCs/>
          <w:sz w:val="20"/>
          <w:szCs w:val="20"/>
          <w:lang w:eastAsia="en-GB"/>
        </w:rPr>
        <w:t xml:space="preserve">  </w:t>
      </w:r>
    </w:p>
    <w:p>
      <w:pPr>
        <w:pStyle w:val="Normal"/>
        <w:autoSpaceDE w:val="false"/>
        <w:spacing w:lineRule="auto" w:line="360" w:before="0" w:after="0"/>
        <w:ind w:start="144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start="144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start="144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start="144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360" w:before="0" w:after="0"/>
        <w:ind w:start="144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8"/>
        </w:numPr>
        <w:autoSpaceDE w:val="false"/>
        <w:spacing w:lineRule="auto" w:line="360" w:before="0" w:after="0"/>
        <w:rPr>
          <w:rFonts w:ascii="Verdana" w:hAnsi="Verdana" w:eastAsia="Times New Roman" w:cs="Arial"/>
          <w:b/>
          <w:bCs/>
          <w:sz w:val="20"/>
          <w:szCs w:val="20"/>
          <w:lang w:eastAsia="en-GB"/>
        </w:rPr>
      </w:pPr>
      <w:r>
        <w:rPr>
          <w:rFonts w:cs="Verdana" w:ascii="Verdana" w:hAnsi="Verdana"/>
          <w:b/>
          <w:sz w:val="20"/>
          <w:szCs w:val="20"/>
        </w:rPr>
        <w:t>P &amp; I Club</w:t>
      </w:r>
    </w:p>
    <w:p>
      <w:pPr>
        <w:pStyle w:val="Normal"/>
        <w:autoSpaceDE w:val="false"/>
        <w:spacing w:lineRule="auto" w:line="360" w:before="0" w:after="0"/>
        <w:rPr>
          <w:rFonts w:ascii="Verdana" w:hAnsi="Verdana" w:eastAsia="Times New Roman" w:cs="Verdana"/>
          <w:b/>
          <w:bCs/>
          <w:sz w:val="20"/>
          <w:szCs w:val="20"/>
          <w:lang w:eastAsia="en-GB"/>
        </w:rPr>
      </w:pPr>
      <w:r>
        <w:rPr>
          <w:rFonts w:eastAsia="Times New Roman" w:cs="Verdana" w:ascii="Verdana" w:hAnsi="Verdana"/>
          <w:b/>
          <w:bCs/>
          <w:sz w:val="20"/>
          <w:szCs w:val="20"/>
          <w:lang w:eastAsia="en-GB"/>
        </w:rPr>
      </w:r>
    </w:p>
    <w:p>
      <w:pPr>
        <w:pStyle w:val="Normal"/>
        <w:autoSpaceDE w:val="false"/>
        <w:spacing w:lineRule="auto" w:line="240" w:before="0" w:after="0"/>
        <w:ind w:start="1080" w:end="0"/>
        <w:jc w:val="both"/>
        <w:rPr>
          <w:rFonts w:ascii="Verdana" w:hAnsi="Verdana" w:eastAsia="Times New Roman" w:cs="Arial"/>
          <w:bCs/>
          <w:sz w:val="20"/>
          <w:szCs w:val="20"/>
          <w:lang w:eastAsia="en-GB"/>
        </w:rPr>
      </w:pPr>
      <w:r>
        <w:rPr>
          <w:rFonts w:cs="Verdana" w:ascii="Verdana" w:hAnsi="Verdana"/>
          <w:sz w:val="20"/>
          <w:szCs w:val="20"/>
        </w:rPr>
        <w:t xml:space="preserve">Selected P &amp; I Clubs fully approve BIMCO contract for the West Indian Ocean Operation (WIO). On additional demand ship’s designated CSO will approach the club for the approval and the answer will be submitted to the PMSC.  </w:t>
      </w:r>
    </w:p>
    <w:p>
      <w:pPr>
        <w:pStyle w:val="Normal"/>
        <w:autoSpaceDE w:val="false"/>
        <w:spacing w:lineRule="auto" w:line="24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autoSpaceDE w:val="false"/>
        <w:spacing w:lineRule="auto" w:line="240" w:before="0" w:after="0"/>
        <w:ind w:start="1080" w:end="0"/>
        <w:rPr>
          <w:rFonts w:ascii="Verdana" w:hAnsi="Verdana" w:eastAsia="Times New Roman" w:cs="Arial"/>
          <w:b/>
          <w:bCs/>
          <w:sz w:val="20"/>
          <w:szCs w:val="20"/>
          <w:lang w:eastAsia="en-GB"/>
        </w:rPr>
      </w:pPr>
      <w:r>
        <w:rPr>
          <w:rFonts w:eastAsia="Times New Roman" w:cs="Arial" w:ascii="Verdana" w:hAnsi="Verdana"/>
          <w:b/>
          <w:bCs/>
          <w:sz w:val="20"/>
          <w:szCs w:val="20"/>
          <w:lang w:eastAsia="en-GB"/>
        </w:rPr>
      </w:r>
    </w:p>
    <w:p>
      <w:pPr>
        <w:pStyle w:val="Normal"/>
        <w:numPr>
          <w:ilvl w:val="0"/>
          <w:numId w:val="8"/>
        </w:numPr>
        <w:autoSpaceDE w:val="false"/>
        <w:spacing w:lineRule="auto" w:line="360" w:before="0" w:after="0"/>
        <w:rPr>
          <w:rFonts w:ascii="Verdana" w:hAnsi="Verdana" w:cs="Arial"/>
          <w:b/>
          <w:sz w:val="20"/>
          <w:szCs w:val="20"/>
          <w:lang w:val="en-US"/>
        </w:rPr>
      </w:pPr>
      <w:r>
        <w:rPr>
          <w:rFonts w:cs="Arial" w:ascii="Verdana" w:hAnsi="Verdana"/>
          <w:b/>
          <w:sz w:val="20"/>
          <w:szCs w:val="20"/>
          <w:lang w:val="en-US"/>
        </w:rPr>
        <w:t xml:space="preserve"> </w:t>
      </w:r>
      <w:r>
        <w:rPr>
          <w:rFonts w:cs="Arial" w:ascii="Verdana" w:hAnsi="Verdana"/>
          <w:b/>
          <w:sz w:val="20"/>
          <w:szCs w:val="20"/>
          <w:lang w:val="en-US"/>
        </w:rPr>
        <w:t xml:space="preserve">Conclusion </w:t>
      </w:r>
    </w:p>
    <w:p>
      <w:pPr>
        <w:pStyle w:val="Normal"/>
        <w:autoSpaceDE w:val="false"/>
        <w:spacing w:lineRule="auto" w:line="240" w:before="0" w:after="0"/>
        <w:rPr>
          <w:rFonts w:ascii="Verdana" w:hAnsi="Verdana" w:cs="Arial"/>
          <w:b/>
          <w:sz w:val="20"/>
          <w:szCs w:val="20"/>
          <w:lang w:val="en-US"/>
        </w:rPr>
      </w:pPr>
      <w:r>
        <w:rPr>
          <w:rFonts w:eastAsia="Times New Roman" w:cs="Arial" w:ascii="Verdana" w:hAnsi="Verdana"/>
          <w:b/>
          <w:bCs/>
          <w:sz w:val="20"/>
          <w:szCs w:val="20"/>
          <w:lang w:eastAsia="en-GB"/>
        </w:rPr>
        <w:tab/>
      </w:r>
      <w:bookmarkEnd w:id="0"/>
      <w:bookmarkEnd w:id="1"/>
    </w:p>
    <w:p>
      <w:pPr>
        <w:pStyle w:val="Normal"/>
        <w:autoSpaceDE w:val="false"/>
        <w:spacing w:lineRule="auto" w:line="240" w:before="0" w:after="0"/>
        <w:ind w:start="1080" w:end="0"/>
        <w:jc w:val="both"/>
        <w:rPr/>
      </w:pPr>
      <w:r>
        <w:rPr>
          <w:rFonts w:cs="Verdana" w:ascii="Verdana" w:hAnsi="Verdana"/>
          <w:sz w:val="20"/>
          <w:szCs w:val="24"/>
        </w:rPr>
        <w:t xml:space="preserve">The table top audit was </w:t>
      </w:r>
      <w:r>
        <w:rPr>
          <w:rFonts w:cs="Verdana" w:ascii="Verdana" w:hAnsi="Verdana"/>
          <w:color w:val="111111"/>
          <w:sz w:val="20"/>
          <w:szCs w:val="24"/>
          <w:shd w:fill="FFFFFF" w:val="clear"/>
        </w:rPr>
        <w:t>attempted to address the most critical requirements </w:t>
      </w:r>
      <w:r>
        <w:rPr>
          <w:rFonts w:cs="Verdana" w:ascii="Verdana" w:hAnsi="Verdana"/>
          <w:sz w:val="20"/>
          <w:szCs w:val="24"/>
        </w:rPr>
        <w:t xml:space="preserve">  in order to check validity of applicable Certificates and Licensees presently available, as well as SOP and other relevant minimum procedures. </w:t>
      </w:r>
    </w:p>
    <w:p>
      <w:pPr>
        <w:pStyle w:val="Normal"/>
        <w:autoSpaceDE w:val="false"/>
        <w:spacing w:lineRule="auto" w:line="240" w:before="0" w:after="0"/>
        <w:ind w:start="1080" w:end="0"/>
        <w:jc w:val="both"/>
        <w:rPr>
          <w:rFonts w:ascii="Verdana" w:hAnsi="Verdana" w:cs="Verdana"/>
          <w:sz w:val="20"/>
          <w:szCs w:val="24"/>
        </w:rPr>
      </w:pPr>
      <w:r>
        <w:rPr>
          <w:rFonts w:cs="Verdana" w:ascii="Verdana" w:hAnsi="Verdana"/>
          <w:sz w:val="20"/>
          <w:szCs w:val="24"/>
        </w:rPr>
      </w:r>
    </w:p>
    <w:p>
      <w:pPr>
        <w:pStyle w:val="Normal"/>
        <w:autoSpaceDE w:val="false"/>
        <w:spacing w:lineRule="auto" w:line="240" w:before="0" w:after="0"/>
        <w:ind w:start="1080" w:end="0"/>
        <w:jc w:val="both"/>
        <w:rPr/>
      </w:pPr>
      <w:r>
        <w:rPr>
          <w:rFonts w:cs="Verdana" w:ascii="Verdana" w:hAnsi="Verdana"/>
          <w:sz w:val="20"/>
          <w:szCs w:val="24"/>
        </w:rPr>
        <w:t>Additionally due diligence was conducted to confirm insurance validity during the operation and remove any other legal limitations to the commercial escorting deployment within WIO.</w:t>
      </w:r>
    </w:p>
    <w:p>
      <w:pPr>
        <w:pStyle w:val="Heading1"/>
        <w:ind w:hanging="0" w:start="0"/>
        <w:jc w:val="both"/>
        <w:rPr>
          <w:rFonts w:ascii="Verdana" w:hAnsi="Verdana" w:cs="Arial"/>
          <w:sz w:val="24"/>
          <w:szCs w:val="24"/>
        </w:rPr>
      </w:pPr>
      <w:r>
        <w:rPr>
          <w:rFonts w:cs="Arial" w:ascii="Verdana" w:hAnsi="Verdana"/>
          <w:sz w:val="24"/>
          <w:szCs w:val="24"/>
        </w:rPr>
      </w:r>
    </w:p>
    <w:p>
      <w:pPr>
        <w:pStyle w:val="Heading1"/>
        <w:spacing w:lineRule="auto" w:line="240" w:before="0" w:after="0"/>
        <w:ind w:hanging="0" w:start="993" w:end="0"/>
        <w:jc w:val="both"/>
        <w:rPr/>
      </w:pPr>
      <w:r>
        <w:rPr>
          <w:rFonts w:cs="Arial"/>
          <w:sz w:val="24"/>
          <w:szCs w:val="24"/>
        </w:rPr>
        <w:t>Signature (Auditor):</w:t>
        <w:tab/>
        <w:tab/>
        <w:tab/>
        <w:tab/>
        <w:t xml:space="preserve">Signature </w:t>
      </w:r>
    </w:p>
    <w:p>
      <w:pPr>
        <w:pStyle w:val="Heading1"/>
        <w:spacing w:lineRule="auto" w:line="240" w:before="0" w:after="0"/>
        <w:ind w:firstLine="720" w:start="5040" w:end="0"/>
        <w:jc w:val="both"/>
        <w:rPr>
          <w:rFonts w:cs="Arial"/>
          <w:sz w:val="24"/>
          <w:szCs w:val="24"/>
        </w:rPr>
      </w:pPr>
      <w:r>
        <w:rPr>
          <w:rFonts w:cs="Arial"/>
          <w:sz w:val="24"/>
          <w:szCs w:val="24"/>
        </w:rPr>
        <w:t>(PMSC Senior Rep.)</w:t>
      </w:r>
    </w:p>
    <w:p>
      <w:pPr>
        <w:pStyle w:val="Heading1"/>
        <w:spacing w:lineRule="auto" w:line="240"/>
        <w:ind w:hanging="0" w:start="0"/>
        <w:jc w:val="both"/>
        <w:rPr>
          <w:rFonts w:cs="Arial"/>
          <w:sz w:val="24"/>
          <w:szCs w:val="24"/>
        </w:rPr>
      </w:pPr>
      <w:r>
        <w:rPr>
          <w:rFonts w:cs="Arial"/>
          <w:sz w:val="24"/>
          <w:szCs w:val="24"/>
        </w:rPr>
        <w:tab/>
        <w:tab/>
      </w:r>
      <w:r>
        <mc:AlternateContent>
          <mc:Choice Requires="wps">
            <w:drawing>
              <wp:anchor distT="0" distB="0" distL="114935" distR="114935" simplePos="0" relativeHeight="5" behindDoc="0" locked="0" layoutInCell="1" allowOverlap="1">
                <wp:simplePos x="0" y="0"/>
                <wp:positionH relativeFrom="column">
                  <wp:posOffset>620395</wp:posOffset>
                </wp:positionH>
                <wp:positionV relativeFrom="paragraph">
                  <wp:posOffset>93345</wp:posOffset>
                </wp:positionV>
                <wp:extent cx="1480185" cy="1162685"/>
                <wp:effectExtent l="0" t="0" r="0" b="0"/>
                <wp:wrapNone/>
                <wp:docPr id="13" name="Frame1"/>
                <a:graphic xmlns:a="http://schemas.openxmlformats.org/drawingml/2006/main">
                  <a:graphicData uri="http://schemas.microsoft.com/office/word/2010/wordprocessingShape">
                    <wps:wsp>
                      <wps:cNvSpPr txBox="1"/>
                      <wps:spPr>
                        <a:xfrm>
                          <a:off x="0" y="0"/>
                          <a:ext cx="1480185" cy="1162685"/>
                        </a:xfrm>
                        <a:prstGeom prst="rect"/>
                        <a:solidFill>
                          <a:srgbClr val="FFFFFF"/>
                        </a:solidFill>
                        <a:ln w="9525">
                          <a:solidFill>
                            <a:srgbClr val="000000"/>
                          </a:solidFill>
                        </a:ln>
                      </wps:spPr>
                      <wps:txbx>
                        <w:txbxContent>
                          <w:p>
                            <w:pPr>
                              <w:pStyle w:val="Normal"/>
                              <w:spacing w:before="0" w:after="200"/>
                              <w:rPr>
                                <w:sz w:val="16"/>
                                <w:lang w:val="en-US"/>
                              </w:rPr>
                            </w:pPr>
                            <w:r>
                              <w:rPr>
                                <w:sz w:val="16"/>
                                <w:lang w:val="en-US"/>
                              </w:rPr>
                              <w:t>Signature</w:t>
                            </w:r>
                          </w:p>
                        </w:txbxContent>
                      </wps:txbx>
                      <wps:bodyPr anchor="t" lIns="91440" tIns="45720" rIns="91440" bIns="45720">
                        <a:noAutofit/>
                      </wps:bodyPr>
                    </wps:wsp>
                  </a:graphicData>
                </a:graphic>
              </wp:anchor>
            </w:drawing>
          </mc:Choice>
          <mc:Fallback>
            <w:pict>
              <v:rect fillcolor="#FFFFFF" strokecolor="#000000" strokeweight="0pt" style="position:absolute;rotation:-0;width:116.55pt;height:91.55pt;mso-wrap-distance-left:9.05pt;mso-wrap-distance-right:9.05pt;mso-wrap-distance-top:0pt;mso-wrap-distance-bottom:0pt;margin-top:7.35pt;mso-position-vertical-relative:text;margin-left:48.85pt;mso-position-horizontal-relative:text">
                <v:textbox>
                  <w:txbxContent>
                    <w:p>
                      <w:pPr>
                        <w:pStyle w:val="Normal"/>
                        <w:spacing w:before="0" w:after="200"/>
                        <w:rPr>
                          <w:sz w:val="16"/>
                          <w:lang w:val="en-US"/>
                        </w:rPr>
                      </w:pPr>
                      <w:r>
                        <w:rPr>
                          <w:sz w:val="16"/>
                          <w:lang w:val="en-US"/>
                        </w:rPr>
                        <w:t>Signature</w:t>
                      </w:r>
                    </w:p>
                  </w:txbxContent>
                </v:textbox>
                <w10:wrap type="none"/>
              </v:rect>
            </w:pict>
          </mc:Fallback>
        </mc:AlternateContent>
      </w:r>
      <w:r>
        <mc:AlternateContent>
          <mc:Choice Requires="wps">
            <w:drawing>
              <wp:anchor distT="0" distB="0" distL="114935" distR="114935" simplePos="0" relativeHeight="6" behindDoc="0" locked="0" layoutInCell="1" allowOverlap="1">
                <wp:simplePos x="0" y="0"/>
                <wp:positionH relativeFrom="column">
                  <wp:posOffset>3660140</wp:posOffset>
                </wp:positionH>
                <wp:positionV relativeFrom="paragraph">
                  <wp:posOffset>93345</wp:posOffset>
                </wp:positionV>
                <wp:extent cx="1471930" cy="1162685"/>
                <wp:effectExtent l="0" t="0" r="0" b="0"/>
                <wp:wrapNone/>
                <wp:docPr id="14" name="Frame2"/>
                <a:graphic xmlns:a="http://schemas.openxmlformats.org/drawingml/2006/main">
                  <a:graphicData uri="http://schemas.microsoft.com/office/word/2010/wordprocessingShape">
                    <wps:wsp>
                      <wps:cNvSpPr txBox="1"/>
                      <wps:spPr>
                        <a:xfrm>
                          <a:off x="0" y="0"/>
                          <a:ext cx="1471930" cy="1162685"/>
                        </a:xfrm>
                        <a:prstGeom prst="rect"/>
                        <a:solidFill>
                          <a:srgbClr val="FFFFFF"/>
                        </a:solidFill>
                        <a:ln w="9525">
                          <a:solidFill>
                            <a:srgbClr val="000000"/>
                          </a:solidFill>
                        </a:ln>
                      </wps:spPr>
                      <wps:txbx>
                        <w:txbxContent>
                          <w:p>
                            <w:pPr>
                              <w:pStyle w:val="Normal"/>
                              <w:rPr>
                                <w:sz w:val="16"/>
                                <w:lang w:val="en-US"/>
                              </w:rPr>
                            </w:pPr>
                            <w:r>
                              <w:rPr>
                                <w:sz w:val="16"/>
                                <w:lang w:val="en-US"/>
                              </w:rPr>
                              <w:t>Signature</w:t>
                            </w:r>
                          </w:p>
                          <w:p>
                            <w:r>
                              <w:drawing>
                                <wp:inline distT="0" distB="0" distL="0" distR="0">
                                  <wp:extent cx="1097280" cy="275844"/>
                                  <wp:docPr id="100" name="Signature Image"/>
                                  <a:graphic>
                                    <a:graphicData uri="http://schemas.openxmlformats.org/drawingml/2006/picture">
                                      <pic:pic>
                                        <pic:nvPicPr>
                                          <pic:cNvPr id="100" name="signature.jpg"/>
                                          <pic:cNvPicPr/>
                                        </pic:nvPicPr>
                                        <pic:blipFill>
                                          <a:blip r:embed="rId24"/>
                                          <a:stretch>
                                            <a:fillRect/>
                                          </a:stretch>
                                        </pic:blipFill>
                                        <pic:spPr>
                                          <a:xfrm>
                                            <a:off x="0" y="0"/>
                                            <a:ext cx="1097280" cy="275844"/>
                                          </a:xfrm>
                                          <a:prstGeom prst="rect"/>
                                        </pic:spPr>
                                      </pic:pic>
                                    </a:graphicData>
                                  </a:graphic>
                                </wp:inline>
                              </w:drawing>
                            </w:r>
                          </w:p>
                          <w:p>
                            <w:pPr>
                              <w:pStyle w:val="Normal"/>
                              <w:spacing w:before="0" w:after="200"/>
                              <w:rPr>
                                <w:sz w:val="16"/>
                                <w:lang w:val="en-US"/>
                              </w:rPr>
                            </w:pPr>
                            <w:r>
                              <w:rPr>
                                <w:sz w:val="16"/>
                                <w:lang w:val="en-US"/>
                              </w:rPr>
                            </w:r>
                          </w:p>
                        </w:txbxContent>
                      </wps:txbx>
                      <wps:bodyPr anchor="t" lIns="91440" tIns="45720" rIns="91440" bIns="45720">
                        <a:noAutofit/>
                      </wps:bodyPr>
                    </wps:wsp>
                  </a:graphicData>
                </a:graphic>
              </wp:anchor>
            </w:drawing>
          </mc:Choice>
          <mc:Fallback>
            <w:pict>
              <v:rect fillcolor="#FFFFFF" strokecolor="#000000" strokeweight="0pt" style="position:absolute;rotation:-0;width:115.9pt;height:91.55pt;mso-wrap-distance-left:9.05pt;mso-wrap-distance-right:9.05pt;mso-wrap-distance-top:0pt;mso-wrap-distance-bottom:0pt;margin-top:7.35pt;mso-position-vertical-relative:text;margin-left:288.2pt;mso-position-horizontal-relative:text">
                <v:textbox>
                  <w:txbxContent>
                    <w:p>
                      <w:pPr>
                        <w:pStyle w:val="Normal"/>
                        <w:rPr>
                          <w:sz w:val="16"/>
                          <w:lang w:val="en-US"/>
                        </w:rPr>
                      </w:pPr>
                      <w:r>
                        <w:rPr>
                          <w:sz w:val="16"/>
                          <w:lang w:val="en-US"/>
                        </w:rPr>
                        <w:t>Signature</w:t>
                      </w:r>
                    </w:p>
                    <w:p>
                      <w:pPr>
                        <w:pStyle w:val="Normal"/>
                        <w:spacing w:before="0" w:after="200"/>
                        <w:rPr>
                          <w:sz w:val="16"/>
                          <w:lang w:val="en-US"/>
                        </w:rPr>
                      </w:pPr>
                      <w:r>
                        <w:rPr>
                          <w:sz w:val="16"/>
                          <w:lang w:val="en-US"/>
                        </w:rPr>
                      </w:r>
                    </w:p>
                  </w:txbxContent>
                </v:textbox>
                <w10:wrap type="none"/>
              </v:rect>
            </w:pict>
          </mc:Fallback>
        </mc:AlternateContent>
      </w:r>
    </w:p>
    <w:p>
      <w:pPr>
        <w:pStyle w:val="Heading1"/>
        <w:spacing w:lineRule="auto" w:line="240"/>
        <w:ind w:hanging="0" w:start="0"/>
        <w:jc w:val="both"/>
        <w:rPr>
          <w:rFonts w:cs="Arial"/>
          <w:sz w:val="24"/>
          <w:szCs w:val="24"/>
        </w:rPr>
      </w:pPr>
      <w:r>
        <w:rPr>
          <w:rFonts w:cs="Arial"/>
          <w:sz w:val="24"/>
          <w:szCs w:val="24"/>
        </w:rPr>
        <w:tab/>
        <w:tab/>
      </w:r>
    </w:p>
    <w:p>
      <w:pPr>
        <w:pStyle w:val="Heading1"/>
        <w:spacing w:lineRule="auto" w:line="240"/>
        <w:ind w:hanging="0" w:start="0"/>
        <w:jc w:val="both"/>
        <w:rPr>
          <w:rFonts w:cs="Arial"/>
          <w:sz w:val="24"/>
          <w:szCs w:val="24"/>
        </w:rPr>
      </w:pPr>
      <w:r>
        <w:rPr>
          <w:rFonts w:cs="Arial"/>
          <w:sz w:val="24"/>
          <w:szCs w:val="24"/>
        </w:rPr>
      </w:r>
    </w:p>
    <w:p>
      <w:pPr>
        <w:pStyle w:val="Heading1"/>
        <w:ind w:hanging="0" w:start="993" w:end="0"/>
        <w:jc w:val="both"/>
        <w:rPr>
          <w:rFonts w:cs="Arial"/>
          <w:b w:val="false"/>
          <w:sz w:val="16"/>
          <w:szCs w:val="16"/>
        </w:rPr>
      </w:pPr>
      <w:r>
        <w:rPr>
          <w:rFonts w:cs="Arial"/>
          <w:b w:val="false"/>
          <w:sz w:val="16"/>
          <w:szCs w:val="16"/>
        </w:rPr>
        <w:tab/>
        <w:tab/>
        <w:tab/>
        <w:tab/>
        <w:tab/>
      </w:r>
    </w:p>
    <w:p>
      <w:pPr>
        <w:pStyle w:val="Heading1"/>
        <w:ind w:hanging="426" w:start="993" w:end="0"/>
        <w:jc w:val="both"/>
        <w:rPr>
          <w:rFonts w:cs="Arial"/>
          <w:sz w:val="24"/>
          <w:szCs w:val="24"/>
        </w:rPr>
      </w:pPr>
      <w:r>
        <w:rPr>
          <w:rFonts w:cs="Arial"/>
          <w:sz w:val="24"/>
          <w:szCs w:val="24"/>
        </w:rPr>
        <w:tab/>
        <w:t>Capt. Daniel Musafia</w:t>
        <w:tab/>
        <w:tab/>
        <w:tab/>
        <w:tab/>
      </w:r>
      <w:r>
        <w:rPr>
          <w:rFonts w:cs="Arial"/>
          <w:sz w:val="24"/>
          <w:szCs w:val="24"/>
        </w:rPr>
        <w:t>Mr. Darren Watts</w:t>
      </w:r>
    </w:p>
    <w:p>
      <w:pPr>
        <w:pStyle w:val="Heading1"/>
        <w:ind w:firstLine="720" w:start="273" w:end="0"/>
        <w:jc w:val="both"/>
        <w:rPr>
          <w:rFonts w:cs="Arial"/>
          <w:sz w:val="24"/>
          <w:szCs w:val="24"/>
        </w:rPr>
      </w:pPr>
      <w:r>
        <w:rPr>
          <w:rFonts w:cs="Arial"/>
          <w:sz w:val="24"/>
          <w:szCs w:val="24"/>
        </w:rPr>
        <w:t>Date: 03/04/2026</w:t>
      </w:r>
      <w:r>
        <w:rPr>
          <w:rFonts w:cs="Arial"/>
          <w:sz w:val="24"/>
          <w:szCs w:val="24"/>
        </w:rPr>
        <w:tab/>
        <w:tab/>
        <w:tab/>
        <w:tab/>
        <w:tab/>
      </w:r>
      <w:r>
        <w:rPr>
          <w:rFonts w:cs="Arial"/>
          <w:sz w:val="24"/>
          <w:szCs w:val="24"/>
        </w:rPr>
        <w:t>Date: 03/04/2026</w:t>
      </w:r>
    </w:p>
    <w:p>
      <w:pPr>
        <w:pStyle w:val="Heading1"/>
        <w:ind w:firstLine="720" w:start="720" w:end="0"/>
        <w:jc w:val="both"/>
        <w:rPr>
          <w:rFonts w:cs="Arial"/>
          <w:sz w:val="24"/>
          <w:szCs w:val="24"/>
        </w:rPr>
      </w:pPr>
      <w:r>
        <w:rPr>
          <w:rFonts w:cs="Arial"/>
          <w:sz w:val="24"/>
          <w:szCs w:val="24"/>
        </w:rPr>
      </w:r>
    </w:p>
    <w:p>
      <w:pPr>
        <w:pStyle w:val="Heading1"/>
        <w:ind w:hanging="0" w:start="0"/>
        <w:jc w:val="both"/>
        <w:rPr>
          <w:rFonts w:cs="Arial"/>
          <w:b w:val="false"/>
          <w:color w:val="000080"/>
          <w:sz w:val="24"/>
          <w:szCs w:val="24"/>
        </w:rPr>
      </w:pPr>
      <w:r>
        <w:rPr>
          <w:rFonts w:cs="Arial"/>
          <w:b w:val="false"/>
          <w:color w:val="000080"/>
          <w:sz w:val="24"/>
          <w:szCs w:val="24"/>
        </w:rPr>
      </w:r>
    </w:p>
    <w:p>
      <w:pPr>
        <w:pStyle w:val="Heading1"/>
        <w:spacing w:before="280" w:after="280"/>
        <w:ind w:hanging="0" w:start="0"/>
        <w:jc w:val="both"/>
        <w:rPr>
          <w:rFonts w:cs="Arial"/>
          <w:b w:val="false"/>
          <w:color w:val="000080"/>
          <w:sz w:val="24"/>
          <w:szCs w:val="24"/>
        </w:rPr>
      </w:pPr>
      <w:r>
        <w:rPr>
          <w:rFonts w:cs="Arial"/>
          <w:b w:val="false"/>
          <w:color w:val="000080"/>
          <w:sz w:val="24"/>
          <w:szCs w:val="24"/>
        </w:rPr>
      </w:r>
    </w:p>
    <w:sectPr>
      <w:headerReference w:type="default" r:id="rId16"/>
      <w:headerReference w:type="first" r:id="rId17"/>
      <w:footerReference w:type="default" r:id="rId18"/>
      <w:footerReference w:type="first" r:id="rId19"/>
      <w:type w:val="nextPage"/>
      <w:pgSz w:w="11906" w:h="16838"/>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Verdana">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start"/>
      <w:tblInd w:w="0" w:type="dxa"/>
      <w:tblLayout w:type="fixed"/>
      <w:tblCellMar>
        <w:top w:w="0" w:type="dxa"/>
        <w:start w:w="108" w:type="dxa"/>
        <w:bottom w:w="0" w:type="dxa"/>
        <w:end w:w="108" w:type="dxa"/>
      </w:tblCellMar>
    </w:tblPr>
    <w:tblGrid>
      <w:gridCol w:w="2732"/>
      <w:gridCol w:w="2900"/>
      <w:gridCol w:w="3407"/>
    </w:tblGrid>
    <w:tr>
      <w:trPr>
        <w:trHeight w:val="490" w:hRule="atLeast"/>
      </w:trPr>
      <w:tc>
        <w:tcPr>
          <w:tcW w:w="2732" w:type="dxa"/>
          <w:tcBorders/>
        </w:tcPr>
        <w:p>
          <w:pPr>
            <w:pStyle w:val="Header"/>
            <w:spacing w:lineRule="auto" w:line="240"/>
            <w:jc w:val="both"/>
            <w:rPr>
              <w:rFonts w:ascii="Verdana" w:hAnsi="Verdana" w:cs="Verdana"/>
              <w:sz w:val="20"/>
              <w:szCs w:val="20"/>
            </w:rPr>
          </w:pPr>
          <w:r>
            <w:rPr>
              <w:rFonts w:cs="Verdana" w:ascii="Verdana" w:hAnsi="Verdana"/>
              <w:sz w:val="20"/>
              <w:szCs w:val="20"/>
            </w:rPr>
            <w:t>Audit Report</w:t>
          </w:r>
        </w:p>
        <w:p>
          <w:pPr>
            <w:pStyle w:val="Header"/>
            <w:spacing w:lineRule="auto" w:line="240" w:before="0" w:after="200"/>
            <w:jc w:val="both"/>
            <w:rPr>
              <w:rFonts w:ascii="Verdana" w:hAnsi="Verdana" w:cs="Verdana"/>
              <w:sz w:val="20"/>
              <w:szCs w:val="20"/>
            </w:rPr>
          </w:pPr>
          <w:r>
            <w:rPr>
              <w:rFonts w:cs="Verdana" w:ascii="Verdana" w:hAnsi="Verdana"/>
              <w:sz w:val="20"/>
              <w:szCs w:val="20"/>
            </w:rPr>
            <w:t>Table Top</w:t>
          </w:r>
        </w:p>
      </w:tc>
      <w:tc>
        <w:tcPr>
          <w:tcW w:w="2900" w:type="dxa"/>
          <w:tcBorders/>
        </w:tcPr>
        <w:p>
          <w:pPr>
            <w:pStyle w:val="Header"/>
            <w:spacing w:lineRule="auto" w:line="240" w:before="0" w:after="200"/>
            <w:rPr>
              <w:rFonts w:ascii="Verdana" w:hAnsi="Verdana" w:cs="Verdana"/>
              <w:sz w:val="20"/>
              <w:szCs w:val="20"/>
            </w:rPr>
          </w:pPr>
          <w:r>
            <w:rPr>
              <w:rFonts w:cs="Verdana" w:ascii="Verdana" w:hAnsi="Verdana"/>
              <w:sz w:val="20"/>
            </w:rPr>
            <w:t>30/01/2019 -  Version 1</w:t>
          </w:r>
        </w:p>
      </w:tc>
      <w:tc>
        <w:tcPr>
          <w:tcW w:w="3407" w:type="dxa"/>
          <w:tcBorders/>
        </w:tcPr>
        <w:p>
          <w:pPr>
            <w:pStyle w:val="Header"/>
            <w:spacing w:lineRule="auto" w:line="240" w:before="0" w:after="200"/>
            <w:jc w:val="end"/>
            <w:rPr>
              <w:rFonts w:ascii="Verdana" w:hAnsi="Verdana" w:cs="Verdana"/>
              <w:sz w:val="20"/>
              <w:szCs w:val="20"/>
            </w:rPr>
          </w:pPr>
          <w:r>
            <w:rPr>
              <w:rFonts w:cs="Verdana" w:ascii="Verdana" w:hAnsi="Verdana"/>
              <w:sz w:val="20"/>
              <w:szCs w:val="20"/>
            </w:rPr>
            <w:t xml:space="preserve">Page </w:t>
          </w:r>
          <w:r>
            <w:rPr>
              <w:rFonts w:cs="Verdana" w:ascii="Verdana" w:hAnsi="Verdana"/>
              <w:sz w:val="20"/>
              <w:szCs w:val="20"/>
            </w:rPr>
            <w:fldChar w:fldCharType="begin"/>
          </w:r>
          <w:r>
            <w:rPr>
              <w:rFonts w:cs="Verdana" w:ascii="Verdana" w:hAnsi="Verdana"/>
              <w:sz w:val="20"/>
              <w:szCs w:val="20"/>
            </w:rPr>
            <w:instrText xml:space="preserve"> PAGE </w:instrText>
          </w:r>
          <w:r>
            <w:rPr>
              <w:rFonts w:cs="Verdana" w:ascii="Verdana" w:hAnsi="Verdana"/>
              <w:sz w:val="20"/>
              <w:szCs w:val="20"/>
            </w:rPr>
            <w:fldChar w:fldCharType="separate"/>
          </w:r>
          <w:r>
            <w:rPr>
              <w:rFonts w:cs="Verdana" w:ascii="Verdana" w:hAnsi="Verdana"/>
              <w:sz w:val="20"/>
              <w:szCs w:val="20"/>
            </w:rPr>
            <w:t>1</w:t>
          </w:r>
          <w:r>
            <w:rPr>
              <w:rFonts w:cs="Verdana" w:ascii="Verdana" w:hAnsi="Verdana"/>
              <w:sz w:val="20"/>
              <w:szCs w:val="20"/>
            </w:rPr>
            <w:fldChar w:fldCharType="end"/>
          </w:r>
          <w:r>
            <w:rPr>
              <w:rFonts w:cs="Verdana" w:ascii="Verdana" w:hAnsi="Verdana"/>
              <w:sz w:val="20"/>
              <w:szCs w:val="20"/>
            </w:rPr>
            <w:t xml:space="preserve"> of  </w:t>
          </w:r>
          <w:r>
            <w:rPr>
              <w:rFonts w:cs="Verdana" w:ascii="Verdana" w:hAnsi="Verdana"/>
              <w:sz w:val="20"/>
              <w:szCs w:val="20"/>
            </w:rPr>
            <w:fldChar w:fldCharType="begin"/>
          </w:r>
          <w:r>
            <w:rPr>
              <w:rFonts w:cs="Verdana" w:ascii="Verdana" w:hAnsi="Verdana"/>
              <w:sz w:val="20"/>
              <w:szCs w:val="20"/>
            </w:rPr>
            <w:instrText xml:space="preserve"> NUMPAGES \* ARABIC </w:instrText>
          </w:r>
          <w:r>
            <w:rPr>
              <w:rFonts w:cs="Verdana" w:ascii="Verdana" w:hAnsi="Verdana"/>
              <w:sz w:val="20"/>
              <w:szCs w:val="20"/>
            </w:rPr>
            <w:fldChar w:fldCharType="separate"/>
          </w:r>
          <w:r>
            <w:rPr>
              <w:rFonts w:cs="Verdana" w:ascii="Verdana" w:hAnsi="Verdana"/>
              <w:sz w:val="20"/>
              <w:szCs w:val="20"/>
            </w:rPr>
            <w:t>10</w:t>
          </w:r>
          <w:r>
            <w:rPr>
              <w:rFonts w:cs="Verdana" w:ascii="Verdana" w:hAnsi="Verdana"/>
              <w:sz w:val="20"/>
              <w:szCs w:val="20"/>
            </w:rPr>
            <w:fldChar w:fldCharType="end"/>
          </w:r>
        </w:p>
      </w:tc>
    </w:tr>
  </w:tbl>
  <w:p>
    <w:pPr>
      <w:pStyle w:val="Footer"/>
      <w:spacing w:before="0" w:after="200"/>
      <w:rPr/>
    </w:pPr>
    <w:r>
      <w:rPr/>
      <w:tab/>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start"/>
      <w:tblInd w:w="0" w:type="dxa"/>
      <w:tblLayout w:type="fixed"/>
      <w:tblCellMar>
        <w:top w:w="0" w:type="dxa"/>
        <w:start w:w="108" w:type="dxa"/>
        <w:bottom w:w="0" w:type="dxa"/>
        <w:end w:w="108" w:type="dxa"/>
      </w:tblCellMar>
    </w:tblPr>
    <w:tblGrid>
      <w:gridCol w:w="2732"/>
      <w:gridCol w:w="2900"/>
      <w:gridCol w:w="3407"/>
    </w:tblGrid>
    <w:tr>
      <w:trPr>
        <w:trHeight w:val="490" w:hRule="atLeast"/>
      </w:trPr>
      <w:tc>
        <w:tcPr>
          <w:tcW w:w="2732" w:type="dxa"/>
          <w:tcBorders/>
        </w:tcPr>
        <w:p>
          <w:pPr>
            <w:pStyle w:val="Header"/>
            <w:spacing w:lineRule="auto" w:line="240"/>
            <w:jc w:val="both"/>
            <w:rPr>
              <w:rFonts w:ascii="Verdana" w:hAnsi="Verdana" w:cs="Verdana"/>
              <w:sz w:val="20"/>
              <w:szCs w:val="20"/>
            </w:rPr>
          </w:pPr>
          <w:r>
            <w:rPr>
              <w:rFonts w:cs="Verdana" w:ascii="Verdana" w:hAnsi="Verdana"/>
              <w:sz w:val="20"/>
              <w:szCs w:val="20"/>
            </w:rPr>
            <w:t>Audit Report</w:t>
          </w:r>
        </w:p>
        <w:p>
          <w:pPr>
            <w:pStyle w:val="Header"/>
            <w:spacing w:lineRule="auto" w:line="240" w:before="0" w:after="200"/>
            <w:jc w:val="both"/>
            <w:rPr>
              <w:rFonts w:ascii="Verdana" w:hAnsi="Verdana" w:cs="Verdana"/>
              <w:sz w:val="20"/>
              <w:szCs w:val="20"/>
            </w:rPr>
          </w:pPr>
          <w:r>
            <w:rPr>
              <w:rFonts w:cs="Verdana" w:ascii="Verdana" w:hAnsi="Verdana"/>
              <w:sz w:val="20"/>
              <w:szCs w:val="20"/>
            </w:rPr>
            <w:t>Table Top</w:t>
          </w:r>
        </w:p>
      </w:tc>
      <w:tc>
        <w:tcPr>
          <w:tcW w:w="2900" w:type="dxa"/>
          <w:tcBorders/>
        </w:tcPr>
        <w:p>
          <w:pPr>
            <w:pStyle w:val="Header"/>
            <w:spacing w:lineRule="auto" w:line="240" w:before="0" w:after="200"/>
            <w:rPr>
              <w:rFonts w:ascii="Verdana" w:hAnsi="Verdana" w:cs="Verdana"/>
              <w:sz w:val="20"/>
            </w:rPr>
          </w:pPr>
          <w:r>
            <w:rPr>
              <w:rFonts w:cs="Verdana" w:ascii="Verdana" w:hAnsi="Verdana"/>
              <w:sz w:val="20"/>
            </w:rPr>
            <w:t>30/01/2019 -  Version 1</w:t>
          </w:r>
        </w:p>
      </w:tc>
      <w:tc>
        <w:tcPr>
          <w:tcW w:w="3407" w:type="dxa"/>
          <w:tcBorders/>
        </w:tcPr>
        <w:p>
          <w:pPr>
            <w:pStyle w:val="Header"/>
            <w:spacing w:lineRule="auto" w:line="240" w:before="0" w:after="200"/>
            <w:jc w:val="end"/>
            <w:rPr/>
          </w:pPr>
          <w:r>
            <w:rPr>
              <w:rFonts w:cs="Verdana" w:ascii="Verdana" w:hAnsi="Verdana"/>
              <w:sz w:val="20"/>
              <w:szCs w:val="20"/>
            </w:rPr>
            <w:t xml:space="preserve">Page </w:t>
          </w:r>
          <w:r>
            <w:rPr>
              <w:rFonts w:cs="Verdana" w:ascii="Verdana" w:hAnsi="Verdana"/>
              <w:sz w:val="20"/>
              <w:szCs w:val="20"/>
            </w:rPr>
            <w:fldChar w:fldCharType="begin"/>
          </w:r>
          <w:r>
            <w:rPr>
              <w:rFonts w:cs="Verdana" w:ascii="Verdana" w:hAnsi="Verdana"/>
              <w:sz w:val="20"/>
              <w:szCs w:val="20"/>
            </w:rPr>
            <w:instrText xml:space="preserve"> PAGE </w:instrText>
          </w:r>
          <w:r>
            <w:rPr>
              <w:rFonts w:cs="Verdana" w:ascii="Verdana" w:hAnsi="Verdana"/>
              <w:sz w:val="20"/>
              <w:szCs w:val="20"/>
            </w:rPr>
            <w:fldChar w:fldCharType="separate"/>
          </w:r>
          <w:r>
            <w:rPr>
              <w:rFonts w:cs="Verdana" w:ascii="Verdana" w:hAnsi="Verdana"/>
              <w:sz w:val="20"/>
              <w:szCs w:val="20"/>
            </w:rPr>
            <w:t>2</w:t>
          </w:r>
          <w:r>
            <w:rPr>
              <w:rFonts w:cs="Verdana" w:ascii="Verdana" w:hAnsi="Verdana"/>
              <w:sz w:val="20"/>
              <w:szCs w:val="20"/>
            </w:rPr>
            <w:fldChar w:fldCharType="end"/>
          </w:r>
          <w:r>
            <w:rPr>
              <w:rFonts w:cs="Verdana" w:ascii="Verdana" w:hAnsi="Verdana"/>
              <w:sz w:val="20"/>
              <w:szCs w:val="20"/>
            </w:rPr>
            <w:t xml:space="preserve"> of  </w:t>
          </w:r>
          <w:r>
            <w:rPr>
              <w:rFonts w:cs="Verdana" w:ascii="Verdana" w:hAnsi="Verdana"/>
              <w:sz w:val="20"/>
              <w:szCs w:val="20"/>
            </w:rPr>
            <w:fldChar w:fldCharType="begin"/>
          </w:r>
          <w:r>
            <w:rPr>
              <w:rFonts w:cs="Verdana" w:ascii="Verdana" w:hAnsi="Verdana"/>
              <w:sz w:val="20"/>
              <w:szCs w:val="20"/>
            </w:rPr>
            <w:instrText xml:space="preserve"> NUMPAGES \* ARABIC </w:instrText>
          </w:r>
          <w:r>
            <w:rPr>
              <w:rFonts w:cs="Verdana" w:ascii="Verdana" w:hAnsi="Verdana"/>
              <w:sz w:val="20"/>
              <w:szCs w:val="20"/>
            </w:rPr>
            <w:fldChar w:fldCharType="separate"/>
          </w:r>
          <w:r>
            <w:rPr>
              <w:rFonts w:cs="Verdana" w:ascii="Verdana" w:hAnsi="Verdana"/>
              <w:sz w:val="20"/>
              <w:szCs w:val="20"/>
            </w:rPr>
            <w:t>10</w:t>
          </w:r>
          <w:r>
            <w:rPr>
              <w:rFonts w:cs="Verdana" w:ascii="Verdana" w:hAnsi="Verdana"/>
              <w:sz w:val="20"/>
              <w:szCs w:val="20"/>
            </w:rPr>
            <w:fldChar w:fldCharType="end"/>
          </w:r>
        </w:p>
      </w:tc>
    </w:tr>
  </w:tbl>
  <w:p>
    <w:pPr>
      <w:pStyle w:val="Footer"/>
      <w:spacing w:before="0" w:after="200"/>
      <w:rPr/>
    </w:pPr>
    <w:r>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start"/>
      <w:tblInd w:w="0" w:type="dxa"/>
      <w:tblLayout w:type="fixed"/>
      <w:tblCellMar>
        <w:top w:w="0" w:type="dxa"/>
        <w:start w:w="108" w:type="dxa"/>
        <w:bottom w:w="0" w:type="dxa"/>
        <w:end w:w="108" w:type="dxa"/>
      </w:tblCellMar>
    </w:tblPr>
    <w:tblGrid>
      <w:gridCol w:w="2732"/>
      <w:gridCol w:w="2900"/>
      <w:gridCol w:w="3407"/>
    </w:tblGrid>
    <w:tr>
      <w:trPr>
        <w:trHeight w:val="490" w:hRule="atLeast"/>
      </w:trPr>
      <w:tc>
        <w:tcPr>
          <w:tcW w:w="2732" w:type="dxa"/>
          <w:tcBorders/>
        </w:tcPr>
        <w:p>
          <w:pPr>
            <w:pStyle w:val="Header"/>
            <w:spacing w:lineRule="auto" w:line="240"/>
            <w:jc w:val="both"/>
            <w:rPr>
              <w:rFonts w:ascii="Verdana" w:hAnsi="Verdana" w:cs="Verdana"/>
              <w:sz w:val="20"/>
              <w:szCs w:val="20"/>
            </w:rPr>
          </w:pPr>
          <w:r>
            <w:rPr>
              <w:rFonts w:cs="Verdana" w:ascii="Verdana" w:hAnsi="Verdana"/>
              <w:sz w:val="20"/>
              <w:szCs w:val="20"/>
            </w:rPr>
            <w:t>Audit Report</w:t>
          </w:r>
        </w:p>
        <w:p>
          <w:pPr>
            <w:pStyle w:val="Header"/>
            <w:spacing w:lineRule="auto" w:line="240" w:before="0" w:after="200"/>
            <w:jc w:val="both"/>
            <w:rPr>
              <w:rFonts w:ascii="Verdana" w:hAnsi="Verdana" w:cs="Verdana"/>
              <w:sz w:val="20"/>
              <w:szCs w:val="20"/>
            </w:rPr>
          </w:pPr>
          <w:r>
            <w:rPr>
              <w:rFonts w:cs="Verdana" w:ascii="Verdana" w:hAnsi="Verdana"/>
              <w:sz w:val="20"/>
              <w:szCs w:val="20"/>
            </w:rPr>
            <w:t>Table Top</w:t>
          </w:r>
        </w:p>
      </w:tc>
      <w:tc>
        <w:tcPr>
          <w:tcW w:w="2900" w:type="dxa"/>
          <w:tcBorders/>
        </w:tcPr>
        <w:p>
          <w:pPr>
            <w:pStyle w:val="Header"/>
            <w:spacing w:lineRule="auto" w:line="240" w:before="0" w:after="200"/>
            <w:rPr>
              <w:rFonts w:ascii="Verdana" w:hAnsi="Verdana" w:cs="Verdana"/>
              <w:sz w:val="20"/>
            </w:rPr>
          </w:pPr>
          <w:r>
            <w:rPr>
              <w:rFonts w:cs="Verdana" w:ascii="Verdana" w:hAnsi="Verdana"/>
              <w:sz w:val="20"/>
            </w:rPr>
            <w:t>30/01/2019 -  Version 1</w:t>
          </w:r>
        </w:p>
      </w:tc>
      <w:tc>
        <w:tcPr>
          <w:tcW w:w="3407" w:type="dxa"/>
          <w:tcBorders/>
        </w:tcPr>
        <w:p>
          <w:pPr>
            <w:pStyle w:val="Header"/>
            <w:spacing w:lineRule="auto" w:line="240" w:before="0" w:after="200"/>
            <w:jc w:val="end"/>
            <w:rPr/>
          </w:pPr>
          <w:r>
            <w:rPr>
              <w:rFonts w:cs="Verdana" w:ascii="Verdana" w:hAnsi="Verdana"/>
              <w:sz w:val="20"/>
              <w:szCs w:val="20"/>
            </w:rPr>
            <w:t xml:space="preserve">Page </w:t>
          </w:r>
          <w:r>
            <w:rPr>
              <w:rFonts w:cs="Verdana" w:ascii="Verdana" w:hAnsi="Verdana"/>
              <w:sz w:val="20"/>
              <w:szCs w:val="20"/>
            </w:rPr>
            <w:fldChar w:fldCharType="begin"/>
          </w:r>
          <w:r>
            <w:rPr>
              <w:rFonts w:cs="Verdana" w:ascii="Verdana" w:hAnsi="Verdana"/>
              <w:sz w:val="20"/>
              <w:szCs w:val="20"/>
            </w:rPr>
            <w:instrText xml:space="preserve"> PAGE </w:instrText>
          </w:r>
          <w:r>
            <w:rPr>
              <w:rFonts w:cs="Verdana" w:ascii="Verdana" w:hAnsi="Verdana"/>
              <w:sz w:val="20"/>
              <w:szCs w:val="20"/>
            </w:rPr>
            <w:fldChar w:fldCharType="separate"/>
          </w:r>
          <w:r>
            <w:rPr>
              <w:rFonts w:cs="Verdana" w:ascii="Verdana" w:hAnsi="Verdana"/>
              <w:sz w:val="20"/>
              <w:szCs w:val="20"/>
            </w:rPr>
            <w:t>3</w:t>
          </w:r>
          <w:r>
            <w:rPr>
              <w:rFonts w:cs="Verdana" w:ascii="Verdana" w:hAnsi="Verdana"/>
              <w:sz w:val="20"/>
              <w:szCs w:val="20"/>
            </w:rPr>
            <w:fldChar w:fldCharType="end"/>
          </w:r>
          <w:r>
            <w:rPr>
              <w:rFonts w:cs="Verdana" w:ascii="Verdana" w:hAnsi="Verdana"/>
              <w:sz w:val="20"/>
              <w:szCs w:val="20"/>
            </w:rPr>
            <w:t xml:space="preserve"> of  </w:t>
          </w:r>
          <w:r>
            <w:rPr>
              <w:rFonts w:cs="Verdana" w:ascii="Verdana" w:hAnsi="Verdana"/>
              <w:sz w:val="20"/>
              <w:szCs w:val="20"/>
            </w:rPr>
            <w:fldChar w:fldCharType="begin"/>
          </w:r>
          <w:r>
            <w:rPr>
              <w:rFonts w:cs="Verdana" w:ascii="Verdana" w:hAnsi="Verdana"/>
              <w:sz w:val="20"/>
              <w:szCs w:val="20"/>
            </w:rPr>
            <w:instrText xml:space="preserve"> NUMPAGES \* ARABIC </w:instrText>
          </w:r>
          <w:r>
            <w:rPr>
              <w:rFonts w:cs="Verdana" w:ascii="Verdana" w:hAnsi="Verdana"/>
              <w:sz w:val="20"/>
              <w:szCs w:val="20"/>
            </w:rPr>
            <w:fldChar w:fldCharType="separate"/>
          </w:r>
          <w:r>
            <w:rPr>
              <w:rFonts w:cs="Verdana" w:ascii="Verdana" w:hAnsi="Verdana"/>
              <w:sz w:val="20"/>
              <w:szCs w:val="20"/>
            </w:rPr>
            <w:t>10</w:t>
          </w:r>
          <w:r>
            <w:rPr>
              <w:rFonts w:cs="Verdana" w:ascii="Verdana" w:hAnsi="Verdana"/>
              <w:sz w:val="20"/>
              <w:szCs w:val="20"/>
            </w:rPr>
            <w:fldChar w:fldCharType="end"/>
          </w:r>
        </w:p>
      </w:tc>
    </w:tr>
  </w:tbl>
  <w:p>
    <w:pPr>
      <w:pStyle w:val="Footer"/>
      <w:spacing w:before="0" w:after="200"/>
      <w:rPr/>
    </w:pPr>
    <w:r>
      <w:rPr/>
      <w:tab/>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start"/>
      <w:tblInd w:w="0" w:type="dxa"/>
      <w:tblLayout w:type="fixed"/>
      <w:tblCellMar>
        <w:top w:w="0" w:type="dxa"/>
        <w:start w:w="108" w:type="dxa"/>
        <w:bottom w:w="0" w:type="dxa"/>
        <w:end w:w="108" w:type="dxa"/>
      </w:tblCellMar>
    </w:tblPr>
    <w:tblGrid>
      <w:gridCol w:w="2732"/>
      <w:gridCol w:w="2900"/>
      <w:gridCol w:w="3407"/>
    </w:tblGrid>
    <w:tr>
      <w:trPr>
        <w:trHeight w:val="490" w:hRule="atLeast"/>
      </w:trPr>
      <w:tc>
        <w:tcPr>
          <w:tcW w:w="2732" w:type="dxa"/>
          <w:tcBorders/>
        </w:tcPr>
        <w:p>
          <w:pPr>
            <w:pStyle w:val="Header"/>
            <w:spacing w:lineRule="auto" w:line="240"/>
            <w:jc w:val="both"/>
            <w:rPr>
              <w:rFonts w:ascii="Verdana" w:hAnsi="Verdana" w:cs="Verdana"/>
              <w:sz w:val="20"/>
              <w:szCs w:val="20"/>
            </w:rPr>
          </w:pPr>
          <w:r>
            <w:rPr>
              <w:rFonts w:cs="Verdana" w:ascii="Verdana" w:hAnsi="Verdana"/>
              <w:sz w:val="20"/>
              <w:szCs w:val="20"/>
            </w:rPr>
            <w:t>Audit Report</w:t>
          </w:r>
        </w:p>
        <w:p>
          <w:pPr>
            <w:pStyle w:val="Header"/>
            <w:spacing w:lineRule="auto" w:line="240" w:before="0" w:after="200"/>
            <w:jc w:val="both"/>
            <w:rPr>
              <w:rFonts w:ascii="Verdana" w:hAnsi="Verdana" w:cs="Verdana"/>
              <w:sz w:val="20"/>
              <w:szCs w:val="20"/>
            </w:rPr>
          </w:pPr>
          <w:r>
            <w:rPr>
              <w:rFonts w:cs="Verdana" w:ascii="Verdana" w:hAnsi="Verdana"/>
              <w:sz w:val="20"/>
              <w:szCs w:val="20"/>
            </w:rPr>
            <w:t>Table Top</w:t>
          </w:r>
        </w:p>
      </w:tc>
      <w:tc>
        <w:tcPr>
          <w:tcW w:w="2900" w:type="dxa"/>
          <w:tcBorders/>
        </w:tcPr>
        <w:p>
          <w:pPr>
            <w:pStyle w:val="Header"/>
            <w:spacing w:lineRule="auto" w:line="240" w:before="0" w:after="200"/>
            <w:rPr>
              <w:rFonts w:ascii="Verdana" w:hAnsi="Verdana" w:cs="Verdana"/>
              <w:sz w:val="20"/>
            </w:rPr>
          </w:pPr>
          <w:r>
            <w:rPr>
              <w:rFonts w:cs="Verdana" w:ascii="Verdana" w:hAnsi="Verdana"/>
              <w:sz w:val="20"/>
            </w:rPr>
            <w:t>30/01/2019 -  Version 1</w:t>
          </w:r>
        </w:p>
      </w:tc>
      <w:tc>
        <w:tcPr>
          <w:tcW w:w="3407" w:type="dxa"/>
          <w:tcBorders/>
        </w:tcPr>
        <w:p>
          <w:pPr>
            <w:pStyle w:val="Header"/>
            <w:spacing w:lineRule="auto" w:line="240" w:before="0" w:after="200"/>
            <w:jc w:val="end"/>
            <w:rPr/>
          </w:pPr>
          <w:r>
            <w:rPr>
              <w:rFonts w:cs="Verdana" w:ascii="Verdana" w:hAnsi="Verdana"/>
              <w:sz w:val="20"/>
              <w:szCs w:val="20"/>
            </w:rPr>
            <w:t xml:space="preserve">Page </w:t>
          </w:r>
          <w:r>
            <w:rPr>
              <w:rFonts w:cs="Verdana" w:ascii="Verdana" w:hAnsi="Verdana"/>
              <w:sz w:val="20"/>
              <w:szCs w:val="20"/>
            </w:rPr>
            <w:fldChar w:fldCharType="begin"/>
          </w:r>
          <w:r>
            <w:rPr>
              <w:rFonts w:cs="Verdana" w:ascii="Verdana" w:hAnsi="Verdana"/>
              <w:sz w:val="20"/>
              <w:szCs w:val="20"/>
            </w:rPr>
            <w:instrText xml:space="preserve"> PAGE </w:instrText>
          </w:r>
          <w:r>
            <w:rPr>
              <w:rFonts w:cs="Verdana" w:ascii="Verdana" w:hAnsi="Verdana"/>
              <w:sz w:val="20"/>
              <w:szCs w:val="20"/>
            </w:rPr>
            <w:fldChar w:fldCharType="separate"/>
          </w:r>
          <w:r>
            <w:rPr>
              <w:rFonts w:cs="Verdana" w:ascii="Verdana" w:hAnsi="Verdana"/>
              <w:sz w:val="20"/>
              <w:szCs w:val="20"/>
            </w:rPr>
            <w:t>8</w:t>
          </w:r>
          <w:r>
            <w:rPr>
              <w:rFonts w:cs="Verdana" w:ascii="Verdana" w:hAnsi="Verdana"/>
              <w:sz w:val="20"/>
              <w:szCs w:val="20"/>
            </w:rPr>
            <w:fldChar w:fldCharType="end"/>
          </w:r>
          <w:r>
            <w:rPr>
              <w:rFonts w:cs="Verdana" w:ascii="Verdana" w:hAnsi="Verdana"/>
              <w:sz w:val="20"/>
              <w:szCs w:val="20"/>
            </w:rPr>
            <w:t xml:space="preserve"> of  </w:t>
          </w:r>
          <w:r>
            <w:rPr>
              <w:rFonts w:cs="Verdana" w:ascii="Verdana" w:hAnsi="Verdana"/>
              <w:sz w:val="20"/>
              <w:szCs w:val="20"/>
            </w:rPr>
            <w:fldChar w:fldCharType="begin"/>
          </w:r>
          <w:r>
            <w:rPr>
              <w:rFonts w:cs="Verdana" w:ascii="Verdana" w:hAnsi="Verdana"/>
              <w:sz w:val="20"/>
              <w:szCs w:val="20"/>
            </w:rPr>
            <w:instrText xml:space="preserve"> NUMPAGES \* ARABIC </w:instrText>
          </w:r>
          <w:r>
            <w:rPr>
              <w:rFonts w:cs="Verdana" w:ascii="Verdana" w:hAnsi="Verdana"/>
              <w:sz w:val="20"/>
              <w:szCs w:val="20"/>
            </w:rPr>
            <w:fldChar w:fldCharType="separate"/>
          </w:r>
          <w:r>
            <w:rPr>
              <w:rFonts w:cs="Verdana" w:ascii="Verdana" w:hAnsi="Verdana"/>
              <w:sz w:val="20"/>
              <w:szCs w:val="20"/>
            </w:rPr>
            <w:t>10</w:t>
          </w:r>
          <w:r>
            <w:rPr>
              <w:rFonts w:cs="Verdana" w:ascii="Verdana" w:hAnsi="Verdana"/>
              <w:sz w:val="20"/>
              <w:szCs w:val="20"/>
            </w:rPr>
            <w:fldChar w:fldCharType="end"/>
          </w:r>
        </w:p>
      </w:tc>
    </w:tr>
  </w:tbl>
  <w:p>
    <w:pPr>
      <w:pStyle w:val="Footer"/>
      <w:spacing w:before="0" w:after="200"/>
      <w:rPr/>
    </w:pPr>
    <w:r>
      <w:rPr/>
      <w:tab/>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39" w:type="dxa"/>
      <w:jc w:val="start"/>
      <w:tblInd w:w="0" w:type="dxa"/>
      <w:tblLayout w:type="fixed"/>
      <w:tblCellMar>
        <w:top w:w="0" w:type="dxa"/>
        <w:start w:w="108" w:type="dxa"/>
        <w:bottom w:w="0" w:type="dxa"/>
        <w:end w:w="108" w:type="dxa"/>
      </w:tblCellMar>
    </w:tblPr>
    <w:tblGrid>
      <w:gridCol w:w="2732"/>
      <w:gridCol w:w="2900"/>
      <w:gridCol w:w="3407"/>
    </w:tblGrid>
    <w:tr>
      <w:trPr>
        <w:trHeight w:val="490" w:hRule="atLeast"/>
      </w:trPr>
      <w:tc>
        <w:tcPr>
          <w:tcW w:w="2732" w:type="dxa"/>
          <w:tcBorders/>
        </w:tcPr>
        <w:p>
          <w:pPr>
            <w:pStyle w:val="Header"/>
            <w:spacing w:lineRule="auto" w:line="240"/>
            <w:jc w:val="both"/>
            <w:rPr>
              <w:rFonts w:ascii="Verdana" w:hAnsi="Verdana" w:cs="Verdana"/>
              <w:sz w:val="20"/>
              <w:szCs w:val="20"/>
            </w:rPr>
          </w:pPr>
          <w:r>
            <w:rPr>
              <w:rFonts w:cs="Verdana" w:ascii="Verdana" w:hAnsi="Verdana"/>
              <w:sz w:val="20"/>
              <w:szCs w:val="20"/>
            </w:rPr>
            <w:t>Audit Report</w:t>
          </w:r>
        </w:p>
        <w:p>
          <w:pPr>
            <w:pStyle w:val="Header"/>
            <w:spacing w:lineRule="auto" w:line="240" w:before="0" w:after="200"/>
            <w:jc w:val="both"/>
            <w:rPr>
              <w:rFonts w:ascii="Verdana" w:hAnsi="Verdana" w:cs="Verdana"/>
              <w:sz w:val="20"/>
              <w:szCs w:val="20"/>
            </w:rPr>
          </w:pPr>
          <w:r>
            <w:rPr>
              <w:rFonts w:cs="Verdana" w:ascii="Verdana" w:hAnsi="Verdana"/>
              <w:sz w:val="20"/>
              <w:szCs w:val="20"/>
            </w:rPr>
            <w:t>Table Top</w:t>
          </w:r>
        </w:p>
      </w:tc>
      <w:tc>
        <w:tcPr>
          <w:tcW w:w="2900" w:type="dxa"/>
          <w:tcBorders/>
        </w:tcPr>
        <w:p>
          <w:pPr>
            <w:pStyle w:val="Header"/>
            <w:spacing w:lineRule="auto" w:line="240" w:before="0" w:after="200"/>
            <w:rPr>
              <w:rFonts w:ascii="Verdana" w:hAnsi="Verdana" w:cs="Verdana"/>
              <w:sz w:val="20"/>
            </w:rPr>
          </w:pPr>
          <w:r>
            <w:rPr>
              <w:rFonts w:cs="Verdana" w:ascii="Verdana" w:hAnsi="Verdana"/>
              <w:sz w:val="20"/>
            </w:rPr>
            <w:t>30/01/2019 -  Version 1</w:t>
          </w:r>
        </w:p>
      </w:tc>
      <w:tc>
        <w:tcPr>
          <w:tcW w:w="3407" w:type="dxa"/>
          <w:tcBorders/>
        </w:tcPr>
        <w:p>
          <w:pPr>
            <w:pStyle w:val="Header"/>
            <w:spacing w:lineRule="auto" w:line="240" w:before="0" w:after="200"/>
            <w:jc w:val="end"/>
            <w:rPr/>
          </w:pPr>
          <w:r>
            <w:rPr>
              <w:rFonts w:cs="Verdana" w:ascii="Verdana" w:hAnsi="Verdana"/>
              <w:sz w:val="20"/>
              <w:szCs w:val="20"/>
            </w:rPr>
            <w:t xml:space="preserve">Page </w:t>
          </w:r>
          <w:r>
            <w:rPr>
              <w:rFonts w:cs="Verdana" w:ascii="Verdana" w:hAnsi="Verdana"/>
              <w:sz w:val="20"/>
              <w:szCs w:val="20"/>
            </w:rPr>
            <w:fldChar w:fldCharType="begin"/>
          </w:r>
          <w:r>
            <w:rPr>
              <w:rFonts w:cs="Verdana" w:ascii="Verdana" w:hAnsi="Verdana"/>
              <w:sz w:val="20"/>
              <w:szCs w:val="20"/>
            </w:rPr>
            <w:instrText xml:space="preserve"> PAGE </w:instrText>
          </w:r>
          <w:r>
            <w:rPr>
              <w:rFonts w:cs="Verdana" w:ascii="Verdana" w:hAnsi="Verdana"/>
              <w:sz w:val="20"/>
              <w:szCs w:val="20"/>
            </w:rPr>
            <w:fldChar w:fldCharType="separate"/>
          </w:r>
          <w:r>
            <w:rPr>
              <w:rFonts w:cs="Verdana" w:ascii="Verdana" w:hAnsi="Verdana"/>
              <w:sz w:val="20"/>
              <w:szCs w:val="20"/>
            </w:rPr>
            <w:t>10</w:t>
          </w:r>
          <w:r>
            <w:rPr>
              <w:rFonts w:cs="Verdana" w:ascii="Verdana" w:hAnsi="Verdana"/>
              <w:sz w:val="20"/>
              <w:szCs w:val="20"/>
            </w:rPr>
            <w:fldChar w:fldCharType="end"/>
          </w:r>
          <w:r>
            <w:rPr>
              <w:rFonts w:cs="Verdana" w:ascii="Verdana" w:hAnsi="Verdana"/>
              <w:sz w:val="20"/>
              <w:szCs w:val="20"/>
            </w:rPr>
            <w:t xml:space="preserve"> of  </w:t>
          </w:r>
          <w:r>
            <w:rPr>
              <w:rFonts w:cs="Verdana" w:ascii="Verdana" w:hAnsi="Verdana"/>
              <w:sz w:val="20"/>
              <w:szCs w:val="20"/>
            </w:rPr>
            <w:fldChar w:fldCharType="begin"/>
          </w:r>
          <w:r>
            <w:rPr>
              <w:rFonts w:cs="Verdana" w:ascii="Verdana" w:hAnsi="Verdana"/>
              <w:sz w:val="20"/>
              <w:szCs w:val="20"/>
            </w:rPr>
            <w:instrText xml:space="preserve"> NUMPAGES \* ARABIC </w:instrText>
          </w:r>
          <w:r>
            <w:rPr>
              <w:rFonts w:cs="Verdana" w:ascii="Verdana" w:hAnsi="Verdana"/>
              <w:sz w:val="20"/>
              <w:szCs w:val="20"/>
            </w:rPr>
            <w:fldChar w:fldCharType="separate"/>
          </w:r>
          <w:r>
            <w:rPr>
              <w:rFonts w:cs="Verdana" w:ascii="Verdana" w:hAnsi="Verdana"/>
              <w:sz w:val="20"/>
              <w:szCs w:val="20"/>
            </w:rPr>
            <w:t>10</w:t>
          </w:r>
          <w:r>
            <w:rPr>
              <w:rFonts w:cs="Verdana" w:ascii="Verdana" w:hAnsi="Verdana"/>
              <w:sz w:val="20"/>
              <w:szCs w:val="20"/>
            </w:rPr>
            <w:fldChar w:fldCharType="end"/>
          </w:r>
        </w:p>
      </w:tc>
    </w:tr>
  </w:tbl>
  <w:p>
    <w:pPr>
      <w:pStyle w:val="Footer"/>
      <w:spacing w:before="0" w:after="200"/>
      <w:rPr/>
    </w:pPr>
    <w:r>
      <w:rPr/>
      <w:tab/>
      <w:tab/>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0" w:after="280"/>
      <w:ind w:hanging="0" w:start="360" w:end="360"/>
      <w:rPr>
        <w:lang w:val="en-US" w:eastAsia="en-US"/>
      </w:rPr>
    </w:pPr>
    <w:r>
      <w:rPr>
        <w:lang w:val="en-US" w:eastAsia="en-US"/>
      </w:rPr>
      <w:drawing>
        <wp:anchor distT="0" distB="0" distL="114935" distR="114935" simplePos="0" relativeHeight="2" behindDoc="1" locked="0" layoutInCell="1" allowOverlap="1">
          <wp:simplePos x="0" y="0"/>
          <wp:positionH relativeFrom="column">
            <wp:posOffset>114300</wp:posOffset>
          </wp:positionH>
          <wp:positionV relativeFrom="paragraph">
            <wp:posOffset>635</wp:posOffset>
          </wp:positionV>
          <wp:extent cx="4905375" cy="2286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srcRect l="-7" t="-131" r="-7" b="-131"/>
                  <a:stretch>
                    <a:fillRect/>
                  </a:stretch>
                </pic:blipFill>
                <pic:spPr bwMode="auto">
                  <a:xfrm>
                    <a:off x="0" y="0"/>
                    <a:ext cx="4905375" cy="228600"/>
                  </a:xfrm>
                  <a:prstGeom prst="rect">
                    <a:avLst/>
                  </a:prstGeom>
                  <a:noFill/>
                </pic:spPr>
              </pic:pic>
            </a:graphicData>
          </a:graphic>
        </wp:anchor>
      </w:drawing>
      <mc:AlternateContent>
        <mc:Choice Requires="wps">
          <w:drawing>
            <wp:anchor distT="0" distB="0" distL="114935" distR="114935" simplePos="0" relativeHeight="3" behindDoc="1" locked="0" layoutInCell="1" allowOverlap="1">
              <wp:simplePos x="0" y="0"/>
              <wp:positionH relativeFrom="column">
                <wp:posOffset>114300</wp:posOffset>
              </wp:positionH>
              <wp:positionV relativeFrom="paragraph">
                <wp:posOffset>571500</wp:posOffset>
              </wp:positionV>
              <wp:extent cx="5715000" cy="0"/>
              <wp:effectExtent l="0" t="5080" r="0" b="5080"/>
              <wp:wrapNone/>
              <wp:docPr id="2" name="Line 1"/>
              <a:graphic xmlns:a="http://schemas.openxmlformats.org/drawingml/2006/main">
                <a:graphicData uri="http://schemas.microsoft.com/office/word/2010/wordprocessingShape">
                  <wps:wsp>
                    <wps:cNvSpPr/>
                    <wps:spPr>
                      <a:xfrm>
                        <a:off x="0" y="0"/>
                        <a:ext cx="5715000" cy="0"/>
                      </a:xfrm>
                      <a:prstGeom prst="line">
                        <a:avLst/>
                      </a:prstGeom>
                      <a:ln w="9360">
                        <a:solidFill>
                          <a:srgbClr val="0000FF"/>
                        </a:solidFill>
                        <a:miter/>
                      </a:ln>
                    </wps:spPr>
                    <wps:style>
                      <a:lnRef idx="0"/>
                      <a:fillRef idx="0"/>
                      <a:effectRef idx="0"/>
                      <a:fontRef idx="minor"/>
                    </wps:style>
                    <wps:bodyPr/>
                  </wps:wsp>
                </a:graphicData>
              </a:graphic>
            </wp:anchor>
          </w:drawing>
        </mc:Choice>
        <mc:Fallback>
          <w:pict>
            <v:line id="shape_0" from="9pt,45pt" to="458.95pt,45pt" stroked="t" o:allowincell="f" style="position:absolute">
              <v:stroke color="blue" weight="9360" joinstyle="miter" endcap="flat"/>
              <v:fill o:detectmouseclick="t" on="false"/>
              <w10:wrap type="none"/>
            </v:line>
          </w:pict>
        </mc:Fallback>
      </mc:AlternateContent>
      <w:drawing>
        <wp:anchor distT="0" distB="0" distL="114935" distR="114935" simplePos="0" relativeHeight="4" behindDoc="1" locked="0" layoutInCell="1" allowOverlap="1">
          <wp:simplePos x="0" y="0"/>
          <wp:positionH relativeFrom="column">
            <wp:posOffset>4686300</wp:posOffset>
          </wp:positionH>
          <wp:positionV relativeFrom="paragraph">
            <wp:posOffset>-114300</wp:posOffset>
          </wp:positionV>
          <wp:extent cx="914400" cy="5810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a:srcRect l="-4" t="-6" r="-4" b="-6"/>
                  <a:stretch>
                    <a:fillRect/>
                  </a:stretch>
                </pic:blipFill>
                <pic:spPr bwMode="auto">
                  <a:xfrm>
                    <a:off x="0" y="0"/>
                    <a:ext cx="914400" cy="581025"/>
                  </a:xfrm>
                  <a:prstGeom prst="rect">
                    <a:avLst/>
                  </a:prstGeom>
                  <a:noFill/>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0" w:after="280"/>
      <w:ind w:hanging="0" w:start="360" w:end="360"/>
      <w:rPr>
        <w:lang w:val="en-US" w:eastAsia="en-US"/>
      </w:rPr>
    </w:pPr>
    <w:r>
      <w:rPr>
        <w:lang w:val="en-US" w:eastAsia="en-US"/>
      </w:rPr>
      <w:drawing>
        <wp:anchor distT="0" distB="0" distL="114935" distR="114935" simplePos="0" relativeHeight="7" behindDoc="1" locked="0" layoutInCell="1" allowOverlap="1">
          <wp:simplePos x="0" y="0"/>
          <wp:positionH relativeFrom="column">
            <wp:posOffset>114300</wp:posOffset>
          </wp:positionH>
          <wp:positionV relativeFrom="paragraph">
            <wp:posOffset>635</wp:posOffset>
          </wp:positionV>
          <wp:extent cx="4905375" cy="228600"/>
          <wp:effectExtent l="0" t="0" r="0" b="0"/>
          <wp:wrapNone/>
          <wp:docPr id="4" name="Pictur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Copy 1"/>
                  <pic:cNvPicPr>
                    <a:picLocks noChangeAspect="1" noChangeArrowheads="1"/>
                  </pic:cNvPicPr>
                </pic:nvPicPr>
                <pic:blipFill>
                  <a:blip r:embed="rId1"/>
                  <a:srcRect l="-7" t="-131" r="-7" b="-131"/>
                  <a:stretch>
                    <a:fillRect/>
                  </a:stretch>
                </pic:blipFill>
                <pic:spPr bwMode="auto">
                  <a:xfrm>
                    <a:off x="0" y="0"/>
                    <a:ext cx="4905375" cy="228600"/>
                  </a:xfrm>
                  <a:prstGeom prst="rect">
                    <a:avLst/>
                  </a:prstGeom>
                  <a:noFill/>
                </pic:spPr>
              </pic:pic>
            </a:graphicData>
          </a:graphic>
        </wp:anchor>
      </w:drawing>
      <mc:AlternateContent>
        <mc:Choice Requires="wps">
          <w:drawing>
            <wp:anchor distT="0" distB="0" distL="114935" distR="114935" simplePos="0" relativeHeight="8" behindDoc="1" locked="0" layoutInCell="1" allowOverlap="1">
              <wp:simplePos x="0" y="0"/>
              <wp:positionH relativeFrom="column">
                <wp:posOffset>114300</wp:posOffset>
              </wp:positionH>
              <wp:positionV relativeFrom="paragraph">
                <wp:posOffset>571500</wp:posOffset>
              </wp:positionV>
              <wp:extent cx="5715000" cy="0"/>
              <wp:effectExtent l="0" t="5080" r="0" b="5080"/>
              <wp:wrapNone/>
              <wp:docPr id="5" name="Line 2"/>
              <a:graphic xmlns:a="http://schemas.openxmlformats.org/drawingml/2006/main">
                <a:graphicData uri="http://schemas.microsoft.com/office/word/2010/wordprocessingShape">
                  <wps:wsp>
                    <wps:cNvSpPr/>
                    <wps:spPr>
                      <a:xfrm>
                        <a:off x="0" y="0"/>
                        <a:ext cx="5715000" cy="0"/>
                      </a:xfrm>
                      <a:prstGeom prst="line">
                        <a:avLst/>
                      </a:prstGeom>
                      <a:ln w="9360">
                        <a:solidFill>
                          <a:srgbClr val="0000FF"/>
                        </a:solidFill>
                        <a:miter/>
                      </a:ln>
                    </wps:spPr>
                    <wps:style>
                      <a:lnRef idx="0"/>
                      <a:fillRef idx="0"/>
                      <a:effectRef idx="0"/>
                      <a:fontRef idx="minor"/>
                    </wps:style>
                    <wps:bodyPr/>
                  </wps:wsp>
                </a:graphicData>
              </a:graphic>
            </wp:anchor>
          </w:drawing>
        </mc:Choice>
        <mc:Fallback>
          <w:pict>
            <v:line id="shape_0" from="9pt,45pt" to="458.95pt,45pt" stroked="t" o:allowincell="f" style="position:absolute">
              <v:stroke color="blue" weight="9360" joinstyle="miter" endcap="flat"/>
              <v:fill o:detectmouseclick="t" on="false"/>
              <w10:wrap type="none"/>
            </v:line>
          </w:pict>
        </mc:Fallback>
      </mc:AlternateContent>
      <w:drawing>
        <wp:anchor distT="0" distB="0" distL="114935" distR="114935" simplePos="0" relativeHeight="9" behindDoc="1" locked="0" layoutInCell="1" allowOverlap="1">
          <wp:simplePos x="0" y="0"/>
          <wp:positionH relativeFrom="column">
            <wp:posOffset>4686300</wp:posOffset>
          </wp:positionH>
          <wp:positionV relativeFrom="paragraph">
            <wp:posOffset>-114300</wp:posOffset>
          </wp:positionV>
          <wp:extent cx="914400" cy="581025"/>
          <wp:effectExtent l="0" t="0" r="0" b="0"/>
          <wp:wrapNone/>
          <wp:docPr id="6" name="Picture 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Copy 1"/>
                  <pic:cNvPicPr>
                    <a:picLocks noChangeAspect="1" noChangeArrowheads="1"/>
                  </pic:cNvPicPr>
                </pic:nvPicPr>
                <pic:blipFill>
                  <a:blip r:embed="rId2"/>
                  <a:srcRect l="-4" t="-6" r="-4" b="-6"/>
                  <a:stretch>
                    <a:fillRect/>
                  </a:stretch>
                </pic:blipFill>
                <pic:spPr bwMode="auto">
                  <a:xfrm>
                    <a:off x="0" y="0"/>
                    <a:ext cx="914400" cy="58102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0" w:after="280"/>
      <w:ind w:hanging="0" w:start="360" w:end="360"/>
      <w:rPr>
        <w:lang w:val="en-US" w:eastAsia="en-US"/>
      </w:rPr>
    </w:pPr>
    <w:r>
      <w:rPr>
        <w:lang w:val="en-US" w:eastAsia="en-US"/>
      </w:rPr>
      <w:drawing>
        <wp:anchor distT="0" distB="0" distL="114935" distR="114935" simplePos="0" relativeHeight="10" behindDoc="1" locked="0" layoutInCell="1" allowOverlap="1">
          <wp:simplePos x="0" y="0"/>
          <wp:positionH relativeFrom="column">
            <wp:posOffset>114300</wp:posOffset>
          </wp:positionH>
          <wp:positionV relativeFrom="paragraph">
            <wp:posOffset>635</wp:posOffset>
          </wp:positionV>
          <wp:extent cx="4905375" cy="228600"/>
          <wp:effectExtent l="0" t="0" r="0" b="0"/>
          <wp:wrapNone/>
          <wp:docPr id="7" name="Picture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Copy 1 Copy 1"/>
                  <pic:cNvPicPr>
                    <a:picLocks noChangeAspect="1" noChangeArrowheads="1"/>
                  </pic:cNvPicPr>
                </pic:nvPicPr>
                <pic:blipFill>
                  <a:blip r:embed="rId1"/>
                  <a:srcRect l="-7" t="-131" r="-7" b="-131"/>
                  <a:stretch>
                    <a:fillRect/>
                  </a:stretch>
                </pic:blipFill>
                <pic:spPr bwMode="auto">
                  <a:xfrm>
                    <a:off x="0" y="0"/>
                    <a:ext cx="4905375" cy="228600"/>
                  </a:xfrm>
                  <a:prstGeom prst="rect">
                    <a:avLst/>
                  </a:prstGeom>
                  <a:noFill/>
                </pic:spPr>
              </pic:pic>
            </a:graphicData>
          </a:graphic>
        </wp:anchor>
      </w:drawing>
      <mc:AlternateContent>
        <mc:Choice Requires="wps">
          <w:drawing>
            <wp:anchor distT="0" distB="0" distL="114935" distR="114935" simplePos="0" relativeHeight="11" behindDoc="1" locked="0" layoutInCell="1" allowOverlap="1">
              <wp:simplePos x="0" y="0"/>
              <wp:positionH relativeFrom="column">
                <wp:posOffset>114300</wp:posOffset>
              </wp:positionH>
              <wp:positionV relativeFrom="paragraph">
                <wp:posOffset>571500</wp:posOffset>
              </wp:positionV>
              <wp:extent cx="5715000" cy="0"/>
              <wp:effectExtent l="0" t="5080" r="0" b="5080"/>
              <wp:wrapNone/>
              <wp:docPr id="8" name="Line 3"/>
              <a:graphic xmlns:a="http://schemas.openxmlformats.org/drawingml/2006/main">
                <a:graphicData uri="http://schemas.microsoft.com/office/word/2010/wordprocessingShape">
                  <wps:wsp>
                    <wps:cNvSpPr/>
                    <wps:spPr>
                      <a:xfrm>
                        <a:off x="0" y="0"/>
                        <a:ext cx="5715000" cy="0"/>
                      </a:xfrm>
                      <a:prstGeom prst="line">
                        <a:avLst/>
                      </a:prstGeom>
                      <a:ln w="9360">
                        <a:solidFill>
                          <a:srgbClr val="0000FF"/>
                        </a:solidFill>
                        <a:miter/>
                      </a:ln>
                    </wps:spPr>
                    <wps:style>
                      <a:lnRef idx="0"/>
                      <a:fillRef idx="0"/>
                      <a:effectRef idx="0"/>
                      <a:fontRef idx="minor"/>
                    </wps:style>
                    <wps:bodyPr/>
                  </wps:wsp>
                </a:graphicData>
              </a:graphic>
            </wp:anchor>
          </w:drawing>
        </mc:Choice>
        <mc:Fallback>
          <w:pict>
            <v:line id="shape_0" from="9pt,45pt" to="458.95pt,45pt" stroked="t" o:allowincell="f" style="position:absolute">
              <v:stroke color="blue" weight="9360" joinstyle="miter" endcap="flat"/>
              <v:fill o:detectmouseclick="t" on="false"/>
              <w10:wrap type="none"/>
            </v:line>
          </w:pict>
        </mc:Fallback>
      </mc:AlternateContent>
      <w:drawing>
        <wp:anchor distT="0" distB="0" distL="114935" distR="114935" simplePos="0" relativeHeight="12" behindDoc="1" locked="0" layoutInCell="1" allowOverlap="1">
          <wp:simplePos x="0" y="0"/>
          <wp:positionH relativeFrom="column">
            <wp:posOffset>4686300</wp:posOffset>
          </wp:positionH>
          <wp:positionV relativeFrom="paragraph">
            <wp:posOffset>-114300</wp:posOffset>
          </wp:positionV>
          <wp:extent cx="914400" cy="581025"/>
          <wp:effectExtent l="0" t="0" r="0" b="0"/>
          <wp:wrapNone/>
          <wp:docPr id="9" name="Picture 3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Copy 1 Copy 1"/>
                  <pic:cNvPicPr>
                    <a:picLocks noChangeAspect="1" noChangeArrowheads="1"/>
                  </pic:cNvPicPr>
                </pic:nvPicPr>
                <pic:blipFill>
                  <a:blip r:embed="rId2"/>
                  <a:srcRect l="-4" t="-6" r="-4" b="-6"/>
                  <a:stretch>
                    <a:fillRect/>
                  </a:stretch>
                </pic:blipFill>
                <pic:spPr bwMode="auto">
                  <a:xfrm>
                    <a:off x="0" y="0"/>
                    <a:ext cx="914400" cy="581025"/>
                  </a:xfrm>
                  <a:prstGeom prst="rect">
                    <a:avLst/>
                  </a:prstGeom>
                  <a:noFill/>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0" w:after="280"/>
      <w:ind w:hanging="0" w:start="360" w:end="360"/>
      <w:rPr>
        <w:lang w:val="en-US" w:eastAsia="en-US"/>
      </w:rPr>
    </w:pPr>
    <w:r>
      <w:rPr>
        <w:lang w:val="en-US" w:eastAsia="en-US"/>
      </w:rPr>
      <w:drawing>
        <wp:anchor distT="0" distB="0" distL="114935" distR="114935" simplePos="0" relativeHeight="17" behindDoc="1" locked="0" layoutInCell="1" allowOverlap="1">
          <wp:simplePos x="0" y="0"/>
          <wp:positionH relativeFrom="column">
            <wp:posOffset>114300</wp:posOffset>
          </wp:positionH>
          <wp:positionV relativeFrom="paragraph">
            <wp:posOffset>635</wp:posOffset>
          </wp:positionV>
          <wp:extent cx="4905375" cy="228600"/>
          <wp:effectExtent l="0" t="0" r="0" b="0"/>
          <wp:wrapNone/>
          <wp:docPr id="10" name="Picture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Copy 1 Copy 1 Copy 1"/>
                  <pic:cNvPicPr>
                    <a:picLocks noChangeAspect="1" noChangeArrowheads="1"/>
                  </pic:cNvPicPr>
                </pic:nvPicPr>
                <pic:blipFill>
                  <a:blip r:embed="rId1"/>
                  <a:srcRect l="-7" t="-131" r="-7" b="-131"/>
                  <a:stretch>
                    <a:fillRect/>
                  </a:stretch>
                </pic:blipFill>
                <pic:spPr bwMode="auto">
                  <a:xfrm>
                    <a:off x="0" y="0"/>
                    <a:ext cx="4905375" cy="228600"/>
                  </a:xfrm>
                  <a:prstGeom prst="rect">
                    <a:avLst/>
                  </a:prstGeom>
                  <a:noFill/>
                </pic:spPr>
              </pic:pic>
            </a:graphicData>
          </a:graphic>
        </wp:anchor>
      </w:drawing>
      <mc:AlternateContent>
        <mc:Choice Requires="wps">
          <w:drawing>
            <wp:anchor distT="0" distB="0" distL="114935" distR="114935" simplePos="0" relativeHeight="22" behindDoc="1" locked="0" layoutInCell="1" allowOverlap="1">
              <wp:simplePos x="0" y="0"/>
              <wp:positionH relativeFrom="column">
                <wp:posOffset>114300</wp:posOffset>
              </wp:positionH>
              <wp:positionV relativeFrom="paragraph">
                <wp:posOffset>571500</wp:posOffset>
              </wp:positionV>
              <wp:extent cx="5715000" cy="0"/>
              <wp:effectExtent l="0" t="5080" r="0" b="5080"/>
              <wp:wrapNone/>
              <wp:docPr id="11" name="Line 4"/>
              <a:graphic xmlns:a="http://schemas.openxmlformats.org/drawingml/2006/main">
                <a:graphicData uri="http://schemas.microsoft.com/office/word/2010/wordprocessingShape">
                  <wps:wsp>
                    <wps:cNvSpPr/>
                    <wps:spPr>
                      <a:xfrm>
                        <a:off x="0" y="0"/>
                        <a:ext cx="5715000" cy="0"/>
                      </a:xfrm>
                      <a:prstGeom prst="line">
                        <a:avLst/>
                      </a:prstGeom>
                      <a:ln w="9360">
                        <a:solidFill>
                          <a:srgbClr val="0000FF"/>
                        </a:solidFill>
                        <a:miter/>
                      </a:ln>
                    </wps:spPr>
                    <wps:style>
                      <a:lnRef idx="0"/>
                      <a:fillRef idx="0"/>
                      <a:effectRef idx="0"/>
                      <a:fontRef idx="minor"/>
                    </wps:style>
                    <wps:bodyPr/>
                  </wps:wsp>
                </a:graphicData>
              </a:graphic>
            </wp:anchor>
          </w:drawing>
        </mc:Choice>
        <mc:Fallback>
          <w:pict>
            <v:line id="shape_0" from="9pt,45pt" to="458.95pt,45pt" stroked="t" o:allowincell="f" style="position:absolute">
              <v:stroke color="blue" weight="9360" joinstyle="miter" endcap="flat"/>
              <v:fill o:detectmouseclick="t" on="false"/>
              <w10:wrap type="none"/>
            </v:line>
          </w:pict>
        </mc:Fallback>
      </mc:AlternateContent>
      <w:drawing>
        <wp:anchor distT="0" distB="0" distL="114935" distR="114935" simplePos="0" relativeHeight="27" behindDoc="1" locked="0" layoutInCell="1" allowOverlap="1">
          <wp:simplePos x="0" y="0"/>
          <wp:positionH relativeFrom="column">
            <wp:posOffset>4686300</wp:posOffset>
          </wp:positionH>
          <wp:positionV relativeFrom="paragraph">
            <wp:posOffset>-114300</wp:posOffset>
          </wp:positionV>
          <wp:extent cx="914400" cy="581025"/>
          <wp:effectExtent l="0" t="0" r="0" b="0"/>
          <wp:wrapNone/>
          <wp:docPr id="12" name="Picture 3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Copy 1 Copy 1 Copy 1"/>
                  <pic:cNvPicPr>
                    <a:picLocks noChangeAspect="1" noChangeArrowheads="1"/>
                  </pic:cNvPicPr>
                </pic:nvPicPr>
                <pic:blipFill>
                  <a:blip r:embed="rId2"/>
                  <a:srcRect l="-4" t="-6" r="-4" b="-6"/>
                  <a:stretch>
                    <a:fillRect/>
                  </a:stretch>
                </pic:blipFill>
                <pic:spPr bwMode="auto">
                  <a:xfrm>
                    <a:off x="0" y="0"/>
                    <a:ext cx="914400" cy="581025"/>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0" w:after="280"/>
      <w:ind w:hanging="0" w:start="360" w:end="360"/>
      <w:rPr>
        <w:lang w:val="en-US" w:eastAsia="en-US"/>
      </w:rPr>
    </w:pPr>
    <w:r>
      <w:rPr>
        <w:lang w:val="en-US" w:eastAsia="en-US"/>
      </w:rPr>
      <w:drawing>
        <wp:anchor distT="0" distB="0" distL="114935" distR="114935" simplePos="0" relativeHeight="29" behindDoc="1" locked="0" layoutInCell="1" allowOverlap="1">
          <wp:simplePos x="0" y="0"/>
          <wp:positionH relativeFrom="column">
            <wp:posOffset>114300</wp:posOffset>
          </wp:positionH>
          <wp:positionV relativeFrom="paragraph">
            <wp:posOffset>635</wp:posOffset>
          </wp:positionV>
          <wp:extent cx="4905375" cy="228600"/>
          <wp:effectExtent l="0" t="0" r="0" b="0"/>
          <wp:wrapNone/>
          <wp:docPr id="15" name="Picture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Copy 1 Copy 1 Copy 1 Copy 1"/>
                  <pic:cNvPicPr>
                    <a:picLocks noChangeAspect="1" noChangeArrowheads="1"/>
                  </pic:cNvPicPr>
                </pic:nvPicPr>
                <pic:blipFill>
                  <a:blip r:embed="rId1"/>
                  <a:srcRect l="-7" t="-131" r="-7" b="-131"/>
                  <a:stretch>
                    <a:fillRect/>
                  </a:stretch>
                </pic:blipFill>
                <pic:spPr bwMode="auto">
                  <a:xfrm>
                    <a:off x="0" y="0"/>
                    <a:ext cx="4905375" cy="228600"/>
                  </a:xfrm>
                  <a:prstGeom prst="rect">
                    <a:avLst/>
                  </a:prstGeom>
                  <a:noFill/>
                </pic:spPr>
              </pic:pic>
            </a:graphicData>
          </a:graphic>
        </wp:anchor>
      </w:drawing>
      <mc:AlternateContent>
        <mc:Choice Requires="wps">
          <w:drawing>
            <wp:anchor distT="0" distB="0" distL="114935" distR="114935" simplePos="0" relativeHeight="31" behindDoc="1" locked="0" layoutInCell="1" allowOverlap="1">
              <wp:simplePos x="0" y="0"/>
              <wp:positionH relativeFrom="column">
                <wp:posOffset>114300</wp:posOffset>
              </wp:positionH>
              <wp:positionV relativeFrom="paragraph">
                <wp:posOffset>571500</wp:posOffset>
              </wp:positionV>
              <wp:extent cx="5715000" cy="0"/>
              <wp:effectExtent l="0" t="5080" r="0" b="5080"/>
              <wp:wrapNone/>
              <wp:docPr id="16" name="Line 5"/>
              <a:graphic xmlns:a="http://schemas.openxmlformats.org/drawingml/2006/main">
                <a:graphicData uri="http://schemas.microsoft.com/office/word/2010/wordprocessingShape">
                  <wps:wsp>
                    <wps:cNvSpPr/>
                    <wps:spPr>
                      <a:xfrm>
                        <a:off x="0" y="0"/>
                        <a:ext cx="5715000" cy="0"/>
                      </a:xfrm>
                      <a:prstGeom prst="line">
                        <a:avLst/>
                      </a:prstGeom>
                      <a:ln w="9360">
                        <a:solidFill>
                          <a:srgbClr val="0000FF"/>
                        </a:solidFill>
                        <a:miter/>
                      </a:ln>
                    </wps:spPr>
                    <wps:style>
                      <a:lnRef idx="0"/>
                      <a:fillRef idx="0"/>
                      <a:effectRef idx="0"/>
                      <a:fontRef idx="minor"/>
                    </wps:style>
                    <wps:bodyPr/>
                  </wps:wsp>
                </a:graphicData>
              </a:graphic>
            </wp:anchor>
          </w:drawing>
        </mc:Choice>
        <mc:Fallback>
          <w:pict>
            <v:line id="shape_0" from="9pt,45pt" to="458.95pt,45pt" stroked="t" o:allowincell="f" style="position:absolute">
              <v:stroke color="blue" weight="9360" joinstyle="miter" endcap="flat"/>
              <v:fill o:detectmouseclick="t" on="false"/>
              <w10:wrap type="none"/>
            </v:line>
          </w:pict>
        </mc:Fallback>
      </mc:AlternateContent>
      <w:drawing>
        <wp:anchor distT="0" distB="0" distL="114935" distR="114935" simplePos="0" relativeHeight="33" behindDoc="1" locked="0" layoutInCell="1" allowOverlap="1">
          <wp:simplePos x="0" y="0"/>
          <wp:positionH relativeFrom="column">
            <wp:posOffset>4686300</wp:posOffset>
          </wp:positionH>
          <wp:positionV relativeFrom="paragraph">
            <wp:posOffset>-114300</wp:posOffset>
          </wp:positionV>
          <wp:extent cx="914400" cy="581025"/>
          <wp:effectExtent l="0" t="0" r="0" b="0"/>
          <wp:wrapNone/>
          <wp:docPr id="17" name="Picture 3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Copy 1 Copy 1 Copy 1 Copy 1"/>
                  <pic:cNvPicPr>
                    <a:picLocks noChangeAspect="1" noChangeArrowheads="1"/>
                  </pic:cNvPicPr>
                </pic:nvPicPr>
                <pic:blipFill>
                  <a:blip r:embed="rId2"/>
                  <a:srcRect l="-4" t="-6" r="-4" b="-6"/>
                  <a:stretch>
                    <a:fillRect/>
                  </a:stretch>
                </pic:blipFill>
                <pic:spPr bwMode="auto">
                  <a:xfrm>
                    <a:off x="0" y="0"/>
                    <a:ext cx="914400" cy="581025"/>
                  </a:xfrm>
                  <a:prstGeom prst="rect">
                    <a:avLst/>
                  </a:prstGeom>
                  <a:noFill/>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rPr>
        <w:b/>
      </w:rPr>
    </w:lvl>
  </w:abstractNum>
  <w:abstractNum w:abstractNumId="3">
    <w:lvl w:ilvl="0">
      <w:start w:val="1"/>
      <w:numFmt w:val="bullet"/>
      <w:lvlText w:val=""/>
      <w:lvlJc w:val="start"/>
      <w:pPr>
        <w:tabs>
          <w:tab w:val="num" w:pos="0"/>
        </w:tabs>
        <w:ind w:start="1800" w:hanging="360"/>
      </w:pPr>
      <w:rPr>
        <w:rFonts w:ascii="Wingdings" w:hAnsi="Wingdings" w:cs="Wingdings" w:hint="default"/>
      </w:rPr>
    </w:lvl>
  </w:abstractNum>
  <w:abstractNum w:abstractNumId="4">
    <w:lvl w:ilvl="0">
      <w:start w:val="1"/>
      <w:numFmt w:val="bullet"/>
      <w:lvlText w:val="o"/>
      <w:lvlJc w:val="start"/>
      <w:pPr>
        <w:tabs>
          <w:tab w:val="num" w:pos="2520"/>
        </w:tabs>
        <w:ind w:start="2520" w:hanging="360"/>
      </w:pPr>
      <w:rPr>
        <w:rFonts w:ascii="Courier New" w:hAnsi="Courier New" w:cs="Courier New" w:hint="default"/>
      </w:rPr>
    </w:lvl>
  </w:abstractNum>
  <w:abstractNum w:abstractNumId="5">
    <w:lvl w:ilvl="0">
      <w:start w:val="3"/>
      <w:numFmt w:val="decimal"/>
      <w:lvlText w:val="%1."/>
      <w:lvlJc w:val="start"/>
      <w:pPr>
        <w:tabs>
          <w:tab w:val="num" w:pos="1440"/>
        </w:tabs>
        <w:ind w:start="1440" w:hanging="360"/>
      </w:pPr>
      <w:rPr>
        <w:b/>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3060"/>
        </w:tabs>
        <w:ind w:start="3060" w:hanging="360"/>
      </w:pPr>
      <w:rPr>
        <w:rFonts w:ascii="Symbol" w:hAnsi="Symbol" w:cs="Symbol" w:hint="default"/>
      </w:rPr>
    </w:lvl>
    <w:lvl w:ilvl="3">
      <w:start w:val="1"/>
      <w:numFmt w:val="decimal"/>
      <w:lvlText w:val="%4."/>
      <w:lvlJc w:val="start"/>
      <w:pPr>
        <w:tabs>
          <w:tab w:val="num" w:pos="3600"/>
        </w:tabs>
        <w:ind w:start="3600" w:hanging="360"/>
      </w:pPr>
    </w:lvl>
    <w:lvl w:ilvl="4">
      <w:start w:val="1"/>
      <w:numFmt w:val="lowerLetter"/>
      <w:lvlText w:val="%5."/>
      <w:lvlJc w:val="start"/>
      <w:pPr>
        <w:tabs>
          <w:tab w:val="num" w:pos="4320"/>
        </w:tabs>
        <w:ind w:start="4320" w:hanging="360"/>
      </w:pPr>
    </w:lvl>
    <w:lvl w:ilvl="5">
      <w:start w:val="1"/>
      <w:numFmt w:val="lowerRoman"/>
      <w:lvlText w:val="%6."/>
      <w:lvlJc w:val="end"/>
      <w:pPr>
        <w:tabs>
          <w:tab w:val="num" w:pos="5040"/>
        </w:tabs>
        <w:ind w:start="5040" w:hanging="180"/>
      </w:pPr>
    </w:lvl>
    <w:lvl w:ilvl="6">
      <w:start w:val="1"/>
      <w:numFmt w:val="decimal"/>
      <w:lvlText w:val="%7."/>
      <w:lvlJc w:val="start"/>
      <w:pPr>
        <w:tabs>
          <w:tab w:val="num" w:pos="5760"/>
        </w:tabs>
        <w:ind w:start="5760" w:hanging="360"/>
      </w:pPr>
    </w:lvl>
    <w:lvl w:ilvl="7">
      <w:start w:val="1"/>
      <w:numFmt w:val="lowerLetter"/>
      <w:lvlText w:val="%8."/>
      <w:lvlJc w:val="start"/>
      <w:pPr>
        <w:tabs>
          <w:tab w:val="num" w:pos="6480"/>
        </w:tabs>
        <w:ind w:start="6480" w:hanging="360"/>
      </w:pPr>
    </w:lvl>
    <w:lvl w:ilvl="8">
      <w:start w:val="1"/>
      <w:numFmt w:val="lowerRoman"/>
      <w:lvlText w:val="%9."/>
      <w:lvlJc w:val="end"/>
      <w:pPr>
        <w:tabs>
          <w:tab w:val="num" w:pos="7200"/>
        </w:tabs>
        <w:ind w:start="7200" w:hanging="180"/>
      </w:pPr>
    </w:lvl>
  </w:abstractNum>
  <w:abstractNum w:abstractNumId="6">
    <w:lvl w:ilvl="0">
      <w:start w:val="1"/>
      <w:numFmt w:val="decimal"/>
      <w:lvlText w:val="%1."/>
      <w:lvlJc w:val="start"/>
      <w:pPr>
        <w:tabs>
          <w:tab w:val="num" w:pos="0"/>
        </w:tabs>
        <w:ind w:start="1440" w:hanging="360"/>
      </w:pPr>
      <w:rPr/>
    </w:lvl>
  </w:abstractNum>
  <w:abstractNum w:abstractNumId="7">
    <w:lvl w:ilvl="0">
      <w:start w:val="1"/>
      <w:numFmt w:val="bullet"/>
      <w:lvlText w:val="o"/>
      <w:lvlJc w:val="start"/>
      <w:pPr>
        <w:tabs>
          <w:tab w:val="num" w:pos="0"/>
        </w:tabs>
        <w:ind w:start="2608" w:hanging="360"/>
      </w:pPr>
      <w:rPr>
        <w:rFonts w:ascii="Courier New" w:hAnsi="Courier New" w:cs="Courier New" w:hint="default"/>
      </w:rPr>
    </w:lvl>
    <w:lvl w:ilvl="1">
      <w:start w:val="1"/>
      <w:numFmt w:val="bullet"/>
      <w:lvlText w:val="o"/>
      <w:lvlJc w:val="start"/>
      <w:pPr>
        <w:tabs>
          <w:tab w:val="num" w:pos="0"/>
        </w:tabs>
        <w:ind w:start="3328" w:hanging="360"/>
      </w:pPr>
      <w:rPr>
        <w:rFonts w:ascii="Courier New" w:hAnsi="Courier New" w:cs="Courier New" w:hint="default"/>
      </w:rPr>
    </w:lvl>
    <w:lvl w:ilvl="2">
      <w:start w:val="1"/>
      <w:numFmt w:val="bullet"/>
      <w:lvlText w:val=""/>
      <w:lvlJc w:val="start"/>
      <w:pPr>
        <w:tabs>
          <w:tab w:val="num" w:pos="0"/>
        </w:tabs>
        <w:ind w:start="4048" w:hanging="360"/>
      </w:pPr>
      <w:rPr>
        <w:rFonts w:ascii="Wingdings" w:hAnsi="Wingdings" w:cs="Wingdings" w:hint="default"/>
      </w:rPr>
    </w:lvl>
    <w:lvl w:ilvl="3">
      <w:start w:val="1"/>
      <w:numFmt w:val="bullet"/>
      <w:lvlText w:val=""/>
      <w:lvlJc w:val="start"/>
      <w:pPr>
        <w:tabs>
          <w:tab w:val="num" w:pos="0"/>
        </w:tabs>
        <w:ind w:start="4768" w:hanging="360"/>
      </w:pPr>
      <w:rPr>
        <w:rFonts w:ascii="Symbol" w:hAnsi="Symbol" w:cs="Symbol" w:hint="default"/>
      </w:rPr>
    </w:lvl>
    <w:lvl w:ilvl="4">
      <w:start w:val="1"/>
      <w:numFmt w:val="bullet"/>
      <w:lvlText w:val="o"/>
      <w:lvlJc w:val="start"/>
      <w:pPr>
        <w:tabs>
          <w:tab w:val="num" w:pos="0"/>
        </w:tabs>
        <w:ind w:start="5488" w:hanging="360"/>
      </w:pPr>
      <w:rPr>
        <w:rFonts w:ascii="Courier New" w:hAnsi="Courier New" w:cs="Courier New" w:hint="default"/>
      </w:rPr>
    </w:lvl>
    <w:lvl w:ilvl="5">
      <w:start w:val="1"/>
      <w:numFmt w:val="bullet"/>
      <w:lvlText w:val=""/>
      <w:lvlJc w:val="start"/>
      <w:pPr>
        <w:tabs>
          <w:tab w:val="num" w:pos="0"/>
        </w:tabs>
        <w:ind w:start="6208" w:hanging="360"/>
      </w:pPr>
      <w:rPr>
        <w:rFonts w:ascii="Wingdings" w:hAnsi="Wingdings" w:cs="Wingdings" w:hint="default"/>
      </w:rPr>
    </w:lvl>
    <w:lvl w:ilvl="6">
      <w:start w:val="1"/>
      <w:numFmt w:val="bullet"/>
      <w:lvlText w:val=""/>
      <w:lvlJc w:val="start"/>
      <w:pPr>
        <w:tabs>
          <w:tab w:val="num" w:pos="0"/>
        </w:tabs>
        <w:ind w:start="6928" w:hanging="360"/>
      </w:pPr>
      <w:rPr>
        <w:rFonts w:ascii="Symbol" w:hAnsi="Symbol" w:cs="Symbol" w:hint="default"/>
      </w:rPr>
    </w:lvl>
    <w:lvl w:ilvl="7">
      <w:start w:val="1"/>
      <w:numFmt w:val="bullet"/>
      <w:lvlText w:val="o"/>
      <w:lvlJc w:val="start"/>
      <w:pPr>
        <w:tabs>
          <w:tab w:val="num" w:pos="0"/>
        </w:tabs>
        <w:ind w:start="7648" w:hanging="360"/>
      </w:pPr>
      <w:rPr>
        <w:rFonts w:ascii="Courier New" w:hAnsi="Courier New" w:cs="Courier New" w:hint="default"/>
      </w:rPr>
    </w:lvl>
    <w:lvl w:ilvl="8">
      <w:start w:val="1"/>
      <w:numFmt w:val="bullet"/>
      <w:lvlText w:val=""/>
      <w:lvlJc w:val="start"/>
      <w:pPr>
        <w:tabs>
          <w:tab w:val="num" w:pos="0"/>
        </w:tabs>
        <w:ind w:start="8368" w:hanging="360"/>
      </w:pPr>
      <w:rPr>
        <w:rFonts w:ascii="Wingdings" w:hAnsi="Wingdings" w:cs="Wingdings" w:hint="default"/>
      </w:rPr>
    </w:lvl>
  </w:abstractNum>
  <w:abstractNum w:abstractNumId="8">
    <w:lvl w:ilvl="0">
      <w:start w:val="3"/>
      <w:numFmt w:val="decimal"/>
      <w:lvlText w:val="%1."/>
      <w:lvlJc w:val="start"/>
      <w:pPr>
        <w:tabs>
          <w:tab w:val="num" w:pos="1440"/>
        </w:tabs>
        <w:ind w:start="1440" w:hanging="360"/>
      </w:pPr>
      <w:rPr>
        <w:b/>
      </w:rPr>
    </w:lvl>
  </w:abstractNum>
  <w:abstractNum w:abstractNumId="9">
    <w:lvl w:ilvl="0">
      <w:start w:val="1"/>
      <w:numFmt w:val="bullet"/>
      <w:lvlText w:val=""/>
      <w:lvlJc w:val="start"/>
      <w:pPr>
        <w:tabs>
          <w:tab w:val="num" w:pos="0"/>
        </w:tabs>
        <w:ind w:start="720" w:hanging="360"/>
      </w:pPr>
      <w:rPr>
        <w:rFonts w:ascii="Wingdings" w:hAnsi="Wingdings" w:cs="Wingdings" w:hint="default"/>
      </w:rPr>
    </w:lvl>
  </w:abstractNum>
  <w:abstractNum w:abstractNumId="10">
    <w:lvl w:ilvl="0">
      <w:start w:val="1"/>
      <w:numFmt w:val="bullet"/>
      <w:lvlText w:val="o"/>
      <w:lvlJc w:val="start"/>
      <w:pPr>
        <w:tabs>
          <w:tab w:val="num" w:pos="0"/>
        </w:tabs>
        <w:ind w:start="2138" w:hanging="360"/>
      </w:pPr>
      <w:rPr>
        <w:rFonts w:ascii="Courier New" w:hAnsi="Courier New" w:cs="Courier New" w:hint="default"/>
      </w:rPr>
    </w:lvl>
  </w:abstractNum>
  <w:abstractNum w:abstractNumId="11">
    <w:lvl w:ilvl="0">
      <w:start w:val="2"/>
      <w:numFmt w:val="decimal"/>
      <w:lvlText w:val="%1."/>
      <w:lvlJc w:val="start"/>
      <w:pPr>
        <w:tabs>
          <w:tab w:val="num" w:pos="1440"/>
        </w:tabs>
        <w:ind w:start="1440" w:hanging="360"/>
      </w:pPr>
      <w:rPr>
        <w:b/>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0"/>
        </w:tabs>
        <w:ind w:start="1800" w:hanging="360"/>
      </w:pPr>
      <w:rPr>
        <w:rFonts w:ascii="Wingdings" w:hAnsi="Wingdings" w:cs="Wingdings"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auto"/>
      <w:sz w:val="22"/>
      <w:szCs w:val="22"/>
      <w:lang w:val="en-GB" w:bidi="ar-SA" w:eastAsia="zh-CN"/>
    </w:rPr>
  </w:style>
  <w:style w:type="paragraph" w:styleId="Heading1">
    <w:name w:val="heading 1"/>
    <w:basedOn w:val="Normal"/>
    <w:next w:val="BodyText"/>
    <w:qFormat/>
    <w:pPr>
      <w:numPr>
        <w:ilvl w:val="0"/>
        <w:numId w:val="1"/>
      </w:numPr>
      <w:spacing w:before="280" w:after="280"/>
      <w:outlineLvl w:val="0"/>
    </w:pPr>
    <w:rPr>
      <w:b/>
      <w:bCs/>
      <w:kern w:val="2"/>
      <w:sz w:val="48"/>
      <w:szCs w:val="48"/>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style>
  <w:style w:type="character" w:styleId="WW8Num3z0">
    <w:name w:val="WW8Num3z0"/>
    <w:qFormat/>
    <w:rPr>
      <w:b/>
    </w:rPr>
  </w:style>
  <w:style w:type="character" w:styleId="WW8Num3z1">
    <w:name w:val="WW8Num3z1"/>
    <w:qFormat/>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0z1">
    <w:name w:val="WW8Num10z1"/>
    <w:qFormat/>
    <w:rPr>
      <w:b w:val="false"/>
      <w:sz w:val="24"/>
      <w:szCs w:val="24"/>
    </w:rPr>
  </w:style>
  <w:style w:type="character" w:styleId="WW8Num10z2">
    <w:name w:val="WW8Num10z2"/>
    <w:qFormat/>
    <w:rPr>
      <w:rFonts w:ascii="Calibri" w:hAnsi="Calibri" w:eastAsia="Times New Roman" w:cs="Arial"/>
    </w:rPr>
  </w:style>
  <w:style w:type="character" w:styleId="WW8Num11z0">
    <w:name w:val="WW8Num11z0"/>
    <w:qFormat/>
    <w:rPr>
      <w:b/>
    </w:rPr>
  </w:style>
  <w:style w:type="character" w:styleId="WW8Num11z1">
    <w:name w:val="WW8Num11z1"/>
    <w:qFormat/>
    <w:rPr>
      <w:rFonts w:ascii="Courier New" w:hAnsi="Courier New" w:cs="Courier New"/>
    </w:rPr>
  </w:style>
  <w:style w:type="character" w:styleId="WW8Num11z2">
    <w:name w:val="WW8Num11z2"/>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style>
  <w:style w:type="character" w:styleId="WW8Num16z0">
    <w:name w:val="WW8Num16z0"/>
    <w:qFormat/>
    <w:rPr>
      <w:rFonts w:ascii="Wingdings" w:hAnsi="Wingdings" w:eastAsia="Times New Roman" w:cs="Arial"/>
      <w:b/>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b/>
    </w:rPr>
  </w:style>
  <w:style w:type="character" w:styleId="WW8Num26z1">
    <w:name w:val="WW8Num26z1"/>
    <w:qFormat/>
    <w:rPr>
      <w:rFonts w:ascii="Verdana" w:hAnsi="Verdana" w:eastAsia="Times New Roman" w:cs="Arial"/>
    </w:rPr>
  </w:style>
  <w:style w:type="character" w:styleId="WW8Num26z2">
    <w:name w:val="WW8Num26z2"/>
    <w:qFormat/>
    <w:rPr>
      <w:rFonts w:ascii="Symbol" w:hAnsi="Symbol" w:cs="Symbol"/>
    </w:rPr>
  </w:style>
  <w:style w:type="character" w:styleId="WW8Num27z0">
    <w:name w:val="WW8Num27z0"/>
    <w:qFormat/>
    <w:rPr>
      <w:rFonts w:ascii="Wingdings" w:hAnsi="Wingdings" w:cs="Wingdings"/>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8z0">
    <w:name w:val="WW8Num28z0"/>
    <w:qFormat/>
    <w:rPr/>
  </w:style>
  <w:style w:type="character" w:styleId="WW8Num29z0">
    <w:name w:val="WW8Num29z0"/>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eastAsia="Times New Roman" w:cs="Aria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Wingdings" w:hAnsi="Wingdings" w:cs="Wingdings"/>
      <w:b/>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Calibri" w:hAnsi="Calibri" w:eastAsia="Times New Roman" w:cs="Aria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b/>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Wingdings" w:hAnsi="Wingdings" w:cs="Wingdings"/>
      <w:color w:val="000000"/>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DefaultParagraphFont">
    <w:name w:val="Default Paragraph Font"/>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DefaultParagraphFont"/>
    <w:rPr/>
  </w:style>
  <w:style w:type="character" w:styleId="HeaderChar">
    <w:name w:val="Header Char"/>
    <w:qFormat/>
    <w:rPr>
      <w:rFonts w:ascii="Calibri" w:hAnsi="Calibri" w:eastAsia="Calibri" w:cs="Calibri"/>
      <w:sz w:val="22"/>
      <w:szCs w:val="22"/>
      <w:lang w:val="en-GB" w:bidi="ar-SA"/>
    </w:rPr>
  </w:style>
  <w:style w:type="character" w:styleId="BalloonTextChar">
    <w:name w:val="Balloon Text Char"/>
    <w:qFormat/>
    <w:rPr>
      <w:rFonts w:ascii="Tahoma" w:hAnsi="Tahoma" w:eastAsia="Calibri" w:cs="Tahoma"/>
      <w:sz w:val="16"/>
      <w:szCs w:val="16"/>
      <w:lang w:val="en-GB"/>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ubtitle">
    <w:name w:val="subtitle"/>
    <w:basedOn w:val="Normal"/>
    <w:qFormat/>
    <w:pPr>
      <w:spacing w:before="280" w:after="28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Listenabsatz">
    <w:name w:val="Listenabsatz"/>
    <w:basedOn w:val="Normal"/>
    <w:qFormat/>
    <w:pPr>
      <w:spacing w:before="0" w:after="200"/>
      <w:ind w:hanging="0" w:start="720" w:end="0"/>
      <w:contextualSpacing/>
    </w:pPr>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ListParagraph">
    <w:name w:val="List Paragraph"/>
    <w:basedOn w:val="Normal"/>
    <w:qFormat/>
    <w:pPr>
      <w:ind w:hanging="0" w:start="720" w:end="0"/>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image" Target="media/signature.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388</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2019-01-30T13:36:00Z</dcterms:created>
  <dc:creator>Daniel, Musafia</dc:creator>
  <dc:description/>
  <cp:keywords/>
  <dc:language>en-US</dc:language>
  <cp:lastModifiedBy>Daniel Musafia</cp:lastModifiedBy>
  <cp:lastPrinted>2012-06-13T16:38:00Z</cp:lastPrinted>
  <dcterms:modified xsi:type="dcterms:W3CDTF">2026-04-03T11:15:00Z</dcterms:modified>
  <cp:revision>59</cp:revision>
  <dc:subject/>
  <dc:title>PMSC Audit Report</dc:title>
</cp:coreProperties>
</file>