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Methodologies in Speech-to-Speech Translation: Simultaneous Processing, Dialect Preservation, and Scalable Implementation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Modern Speech-to-Speech Translation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machine translation has fundamentally shifted from a text-centric paradigm toward highly sophisticated, multimodal frameworks capable of processing and generating speech natively. Speech-to-Speech Translation (S2ST) represents the critical frontier in cross-lingual communication, aiming to dismantle language barriers in real-time while preserving the deeply nuanced, expressive elements of human interaction. These elements include prosody, emotional inflection, and the intricate phonetic variations that characterize regional dialects. Historically, the industry standard for S2ST relied upon cascaded pipelines—a sequential, heavily modularized concatenation of Automatic Speech Recognition (ASR), Machine Translation (MT), and Text-to-Speech (TTS) 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cascaded architectures remain highly effective in high-resource environments due to their modularity, they suffer from debilitating systemic limitations. Specifically, they are highly susceptible to compound error propagation across modules, incur substantial computational latency that prohibits natural conversational flow, and systematically strip the source speech of its unique acoustic identity and paralinguistic cues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direct sequence-to-sequence S2ST models initiated a critical evolution by bypassing the intermediate text representation entirely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most disruptive and profound transformation has materialized between 2024 and 2026 with the advent of Large Language Model (LLM)-based "Omni-multimodal"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Foundational systems such as Moshi, Qwen2-Audio, Mini-Omni, PolyVoice 2, and the Hibiki family of models have demonstrated that by treating speech generation as an autoregressive language modeling task over discrete audio tokens, systems can achieve near-zero latency, full-duplex interaction, and high-fidelity preservation of speaker timbre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and increasingly critical subset of this domain is the development of dialect-specific S2ST models. Dialects introduce unique phonetic, lexical, and syntactical variations that generalized, monolithic language models frequently fail to capture or reproduce accurately. Furthermore, the operational reality of deploying highly specialized, multi-billion parameter models for thousands of global dialects presents an insurmountable computational bottleneck. The contemporary approach resolves this severe limitation through parameter-efficient fine-tuning (PEFT), specifically Low-Rank Adaptation (LoRA), combined with advanced serving frameworks capable of dynamic, millisecond-level adapter swapping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analysis of the state-of-the-art practices and latest research papers governing S2ST development. It explores the methodologies for constructing simultaneous translation architectures without aligned data, details the integration of advanced reinforcement learning optimizations like Group Relative Policy Optimization (GRPO), outlines the curriculum learning required for dialect preservation, and provides a comprehensive guide to the infrastructure and implementation strategies required to scale these models in dynamic, multi-tenant production environments.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The Omni-Modal LLM Revolution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evolution of S2ST systems can be delineated into three distinct generations, each iteratively addressing the primary limitations of its predecessor while introducing novel complexities in model training, data acquisition, and inference infrastructure. Understanding this evolution is paramount to grasping the mechanisms driving modern dialect-specific deployments.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Drawbacks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Cascaded (ASR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1"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MT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Sequential processing of distinct, independently trained neural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modularity; leverages abundant text-based MT corpora; remains a strong baseline for prosody control in high-resource 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compound latency; severe error propagation across sub-modules; complete loss of source acoustic identity and dialectal nuance.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S2ST (Early End-to-End)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Sequence-to-sequence transformers directly mapping source audio spectrograms or continuous units to target audio.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the text bottleneck; reduces overall system latency; theoretical potential to preserve paralinguistic cues.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Computationally intensive; necessitates massive parallel speech-to-speech corpora; target acoustic generation often lacks high fidelity.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Omni-Modal LLM (2024-2026)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autoregressive transformers operating over discrete neural audio codec tokens simultaneously alongside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Near-zero latency; full-duplex conversational capabilities; exceptional voice, emotion, and dialect preservation via zero-shot 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complex joint sequence modeling; relies heavily on synthetic data generation pipelines; memory-bound inference at production scale.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Omni-modal paradigm, which dominates the current research landscape, is characterized by models that integrate speech natively into the LLM latent space. Architectures like Moshi act as fully differentiable joint speech and text models, utilizing codecs to enable conversational S2ST with near-zero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LLASA (Scaling Autoregressive Text-to-Speech with a Large Language Model) treats speech generation entirely as a language modeling problem, which is the foundational key to unlocking zero-shot speaker and prosody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dialect modeling, this zero-shot control is revolutionary; it means the model can theoretically synthesize a target translation in a specific regional accent simply by being prompted with a brief acoustic reference of that dialect, bypassing the need to retrain the entire network. Models like PolyVoice 2 and Qwen2-Audio further refine this by preserving speaker timbre across languages via discrete unit modeling and large-scale audio pre-training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Tokenization and the Streaming Neural Audio Codec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technological innovation enabling Omni-modal LLMs to function efficiently is the streaming neural audio codec. This component is responsible for compressing continuous analog waveforms into a highly compressed, discrete latent space that a transformer can process identically to standard text tokens. The Mimi codec, utilized as the audio backbone for the Moshi and Hibiki architectures developed by Kyutai, represents the contemporary standard for this process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Mimi codec operates by processing raw audio through a streaming encoder-decoder architecture paired with a sophisticated information bottleneck governed by Residual Vector Quantization (RVQ)</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Given a monophonic input waveform </w:t>
      </w:r>
      <w:r w:rsidDel="00000000" w:rsidR="00000000" w:rsidRPr="00000000">
        <w:rPr>
          <w:rFonts w:ascii="Google Sans" w:cs="Google Sans" w:eastAsia="Google Sans" w:hAnsi="Google Sans"/>
          <w:color w:val="1f1f1f"/>
        </w:rPr>
        <w:drawing>
          <wp:inline distB="19050" distT="19050" distL="19050" distR="19050">
            <wp:extent cx="801052" cy="24413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1052" cy="244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sampled at </w:t>
      </w:r>
      <w:r w:rsidDel="00000000" w:rsidR="00000000" w:rsidRPr="00000000">
        <w:rPr>
          <w:rFonts w:ascii="Google Sans" w:cs="Google Sans" w:eastAsia="Google Sans" w:hAnsi="Google Sans"/>
          <w:color w:val="1f1f1f"/>
        </w:rPr>
        <w:drawing>
          <wp:inline distB="19050" distT="19050" distL="19050" distR="19050">
            <wp:extent cx="627459" cy="244862"/>
            <wp:effectExtent b="0" l="0" r="0" t="0"/>
            <wp:docPr id="1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27459" cy="244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kHz with a duration of </w:t>
      </w:r>
      <w:r w:rsidDel="00000000" w:rsidR="00000000" w:rsidRPr="00000000">
        <w:rPr>
          <w:rFonts w:ascii="Google Sans" w:cs="Google Sans" w:eastAsia="Google Sans" w:hAnsi="Google Sans"/>
          <w:color w:val="1f1f1f"/>
        </w:rPr>
        <w:drawing>
          <wp:inline distB="19050" distT="19050" distL="19050" distR="19050">
            <wp:extent cx="101917" cy="250874"/>
            <wp:effectExtent b="0" l="0" r="0" t="0"/>
            <wp:docPr id="1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01917" cy="250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codec encodes the audio into a low-framerate sequence of discrete tokens. A critical advantage of the Mimi codec is its operational efficiency; it runs at a constant framerate of </w:t>
      </w:r>
      <w:r w:rsidDel="00000000" w:rsidR="00000000" w:rsidRPr="00000000">
        <w:rPr>
          <w:rFonts w:ascii="Google Sans" w:cs="Google Sans" w:eastAsia="Google Sans" w:hAnsi="Google Sans"/>
          <w:color w:val="1f1f1f"/>
        </w:rPr>
        <w:drawing>
          <wp:inline distB="19050" distT="19050" distL="19050" distR="19050">
            <wp:extent cx="781288" cy="245110"/>
            <wp:effectExtent b="0" l="0" r="0" t="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81288" cy="24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Hz, achieving a highly compressed bitrate of approximately 1.1 kbps while maintaining high-fidelity reconstruction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RVQ mechanism quantizes these continuous representations into multiple hierarchical levels. The discrete indices of these codebook entries are mathematically denoted as </w:t>
      </w:r>
      <w:r w:rsidDel="00000000" w:rsidR="00000000" w:rsidRPr="00000000">
        <w:rPr>
          <w:rFonts w:ascii="Google Sans" w:cs="Google Sans" w:eastAsia="Google Sans" w:hAnsi="Google Sans"/>
          <w:color w:val="1f1f1f"/>
        </w:rPr>
        <w:drawing>
          <wp:inline distB="19050" distT="19050" distL="19050" distR="19050">
            <wp:extent cx="2131457" cy="243595"/>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31457" cy="243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5019" cy="248031"/>
            <wp:effectExtent b="0" l="0" r="0" t="0"/>
            <wp:docPr id="2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5019" cy="248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signifies the number of residual quantization levels (which can vary up to 32) and </w:t>
      </w:r>
      <w:r w:rsidDel="00000000" w:rsidR="00000000" w:rsidRPr="00000000">
        <w:rPr>
          <w:rFonts w:ascii="Google Sans" w:cs="Google Sans" w:eastAsia="Google Sans" w:hAnsi="Google Sans"/>
          <w:color w:val="1f1f1f"/>
        </w:rPr>
        <w:drawing>
          <wp:inline distB="19050" distT="19050" distL="19050" distR="19050">
            <wp:extent cx="239792" cy="247527"/>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39792" cy="247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size of the codebook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facilitate deep semantic understanding alongside acoustic fidelity—a necessity for translation—modern systems employ a disentangled tokenization strategy. The output of the very first quantization level (</w:t>
      </w:r>
      <w:r w:rsidDel="00000000" w:rsidR="00000000" w:rsidRPr="00000000">
        <w:rPr>
          <w:rFonts w:ascii="Google Sans" w:cs="Google Sans" w:eastAsia="Google Sans" w:hAnsi="Google Sans"/>
          <w:color w:val="1f1f1f"/>
        </w:rPr>
        <w:drawing>
          <wp:inline distB="19050" distT="19050" distL="19050" distR="19050">
            <wp:extent cx="313134" cy="244398"/>
            <wp:effectExtent b="0" l="0" r="0" t="0"/>
            <wp:docPr id="2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13134" cy="244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explicitly trained to replicate semantic information derived from robust self-supervised audio models, such as WavLM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are designated as </w:t>
      </w:r>
      <w:r w:rsidDel="00000000" w:rsidR="00000000" w:rsidRPr="00000000">
        <w:rPr>
          <w:rFonts w:ascii="Google Sans" w:cs="Google Sans" w:eastAsia="Google Sans" w:hAnsi="Google Sans"/>
          <w:i w:val="1"/>
          <w:iCs w:val="1"/>
          <w:color w:val="1f1f1f"/>
          <w:rtl w:val="0"/>
        </w:rPr>
        <w:t xml:space="preserve">semantic tokens</w:t>
      </w:r>
      <w:r w:rsidDel="00000000" w:rsidR="00000000" w:rsidRPr="00000000">
        <w:rPr>
          <w:rFonts w:ascii="Google Sans" w:cs="Google Sans" w:eastAsia="Google Sans" w:hAnsi="Google Sans"/>
          <w:color w:val="1f1f1f"/>
          <w:rtl w:val="0"/>
        </w:rPr>
        <w:t xml:space="preserve">. The subsequent levels (</w:t>
      </w:r>
      <w:r w:rsidDel="00000000" w:rsidR="00000000" w:rsidRPr="00000000">
        <w:rPr>
          <w:rFonts w:ascii="Google Sans" w:cs="Google Sans" w:eastAsia="Google Sans" w:hAnsi="Google Sans"/>
          <w:color w:val="1f1f1f"/>
        </w:rPr>
        <w:drawing>
          <wp:inline distB="19050" distT="19050" distL="19050" distR="19050">
            <wp:extent cx="310634" cy="242446"/>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10634" cy="2424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53747" cy="241999"/>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53747" cy="2419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classified as </w:t>
      </w:r>
      <w:r w:rsidDel="00000000" w:rsidR="00000000" w:rsidRPr="00000000">
        <w:rPr>
          <w:rFonts w:ascii="Google Sans" w:cs="Google Sans" w:eastAsia="Google Sans" w:hAnsi="Google Sans"/>
          <w:i w:val="1"/>
          <w:iCs w:val="1"/>
          <w:color w:val="1f1f1f"/>
          <w:rtl w:val="0"/>
        </w:rPr>
        <w:t xml:space="preserve">acoustic tokens</w:t>
      </w:r>
      <w:r w:rsidDel="00000000" w:rsidR="00000000" w:rsidRPr="00000000">
        <w:rPr>
          <w:rFonts w:ascii="Google Sans" w:cs="Google Sans" w:eastAsia="Google Sans" w:hAnsi="Google Sans"/>
          <w:color w:val="1f1f1f"/>
          <w:rtl w:val="0"/>
        </w:rPr>
        <w:t xml:space="preserve">, arranged in a coarse-to-fine hierarchy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 purpose of high-fidelity speech reconstruction, retaining just the first </w:t>
      </w:r>
      <w:r w:rsidDel="00000000" w:rsidR="00000000" w:rsidRPr="00000000">
        <w:rPr>
          <w:rFonts w:ascii="Google Sans" w:cs="Google Sans" w:eastAsia="Google Sans" w:hAnsi="Google Sans"/>
          <w:color w:val="1f1f1f"/>
        </w:rPr>
        <w:drawing>
          <wp:inline distB="19050" distT="19050" distL="19050" distR="19050">
            <wp:extent cx="612338" cy="244935"/>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12338" cy="244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acoustic levels is generally sufficient to decode a natural-sounding voice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Sequence Modeling via the RQ-Transformer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multiple audio streams—comprising both semantic and fine-grained acoustic data across various quantization levels—cannot be linearly flattened into a single sequence without destroying temporal coherence or causing the transformer's context window to explode, systems like Hibiki utilize an advanced RQ-Transformer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involves a dual-transformer setup that models tokens across two distinct axes: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Temporal Transformer:</w:t>
      </w:r>
      <w:r w:rsidDel="00000000" w:rsidR="00000000" w:rsidRPr="00000000">
        <w:rPr>
          <w:rFonts w:ascii="Google Sans" w:cs="Google Sans" w:eastAsia="Google Sans" w:hAnsi="Google Sans"/>
          <w:color w:val="1f1f1f"/>
          <w:rtl w:val="0"/>
        </w:rPr>
        <w:t xml:space="preserve"> A large-scale causal transformer operating across the time axis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functioning at the exact same framerate (</w:t>
      </w:r>
      <w:r w:rsidDel="00000000" w:rsidR="00000000" w:rsidRPr="00000000">
        <w:rPr>
          <w:rFonts w:ascii="Google Sans" w:cs="Google Sans" w:eastAsia="Google Sans" w:hAnsi="Google Sans"/>
          <w:color w:val="1f1f1f"/>
        </w:rPr>
        <w:drawing>
          <wp:inline distB="19050" distT="19050" distL="19050" distR="19050">
            <wp:extent cx="171569" cy="249555"/>
            <wp:effectExtent b="0" l="0" r="0" t="0"/>
            <wp:docPr id="3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1569"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codec. At each timestep, it is fed all tokens generated thus far to produce a continuous latent representation </w:t>
      </w:r>
      <w:r w:rsidDel="00000000" w:rsidR="00000000" w:rsidRPr="00000000">
        <w:rPr>
          <w:rFonts w:ascii="Google Sans" w:cs="Google Sans" w:eastAsia="Google Sans" w:hAnsi="Google Sans"/>
          <w:color w:val="1f1f1f"/>
        </w:rPr>
        <w:drawing>
          <wp:inline distB="19050" distT="19050" distL="19050" distR="19050">
            <wp:extent cx="701397" cy="243964"/>
            <wp:effectExtent b="0" l="0" r="0" t="0"/>
            <wp:docPr id="3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701397" cy="243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32"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05500" cy="64363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Depth Transformer:</w:t>
      </w:r>
      <w:r w:rsidDel="00000000" w:rsidR="00000000" w:rsidRPr="00000000">
        <w:rPr>
          <w:rFonts w:ascii="Google Sans" w:cs="Google Sans" w:eastAsia="Google Sans" w:hAnsi="Google Sans"/>
          <w:color w:val="1f1f1f"/>
          <w:rtl w:val="0"/>
        </w:rPr>
        <w:t xml:space="preserve"> A smaller, auxiliary depth transformer that models the tokens autoregressively over the quantizer axis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3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 specific timestep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3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objective is to predict the fine-grained acoustic details: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3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05500" cy="6436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overarching goal of this secondary network is to optimize the probability distribution such that </w:t>
      </w:r>
      <w:r w:rsidDel="00000000" w:rsidR="00000000" w:rsidRPr="00000000">
        <w:rPr>
          <w:rFonts w:ascii="Google Sans" w:cs="Google Sans" w:eastAsia="Google Sans" w:hAnsi="Google Sans"/>
          <w:color w:val="1f1f1f"/>
        </w:rPr>
        <w:drawing>
          <wp:inline distB="19050" distT="19050" distL="19050" distR="19050">
            <wp:extent cx="4185171" cy="244390"/>
            <wp:effectExtent b="0" l="0" r="0" t="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185171" cy="24439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precise alignment between the extracted semantic meaning and the generated acoustic output, a deterministic acoustic delay is integrated into the architecture. This delay typically shifts the acoustic tokens two timesteps into the future relative to the semantic stream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multistream language modeling allows the model to synchronously process source and target speech, jointly producing text and audio tokens to execute simultaneous S2ST and Speech-to-Text Translation (S2TT) without stalling the generation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Simultaneous S2ST Models for Dialects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consecutive (offline) translation to simultaneous (streaming) translation introduces profound complexities. In consecutive systems, the translation model remains idle until the speaker completely finishes the utterance, allowing the model full access to bidirectional context before generating the target output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Simultaneous systems must incrementally generate target-language text and audio while the source speech is actively ongoing, effectively mimicking the cognitive load of a professional human interpreter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pervasive challenge of SimulST is the resolution of non-monotonic word dependencies across disparate grammatical structures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instance, translating from a Subject-Object-Verb (SOV) language like German to a Subject-Verb-Object (SVO) language like English requires the model to make split-second decisions: should it wait for the verb at the very end of the German clause (thereby incurring unacceptably high latency), or should it attempt to anticipate the verb based on semantic context (risking severe hallucination or translation errors)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Read/Write Policy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managing this trade-off—known as the read/write policy—relied on rigid, hard-coded heuristics (such as wait-</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policies) or supervised training pipelines utilizing exhaustive word-level aligned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large-scale human interpretation corpora with precise word-level timestamps are practically non-existent, developers were forced to rely on synthetic data generation pipelines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like the original Hibiki architecture utilized the perplexity of an off-the-shelf text translation system to identify optimal translation delays on a per-word basis, using this weakly-supervised method to create synthetically aligned training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Other competitive models, such as the CUHKSZ team submissions for IWSLT 2026 utilizing Qwen3-Omni-30B-A3B, attempted to internalize the read/write policy by constructing syntax-aware, chunk-aligned supervision directly from ASR corpora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these systems, external Python agents are often deployed as emission guards to intercept empty or looping responses and manage the streaming window dynamically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reliance on language-specific alignment heuristics represents a severe scalability bottleneck for dialect modeling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heuristic rules designed for standard French-to-English interpretation do not map elegantly to regional variations, such as Quebecois French, nor do they translate to morphologically dense languages like Czech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Hibiki-Zero Paradigm: Eliminating Word-Level Alignments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the Hibiki-Zero architecture fundamentally altered the SimulST training paradigm by completely eliminating the necessity for word-level alignments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transition vastly simplifies the data preparation and training pipeline, enabling seamless scaling to morphologically diverse languages and highly specific regional dialects, removing the bottleneck of designing bespoke alignment heuristics for every target variation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Hibiki-Zero methodology achieves this through a two-phase training protocol: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Sentence-Level Supervised Fine-Tuning (SFT):</w:t>
      </w:r>
      <w:r w:rsidDel="00000000" w:rsidR="00000000" w:rsidRPr="00000000">
        <w:rPr>
          <w:rFonts w:ascii="Google Sans" w:cs="Google Sans" w:eastAsia="Google Sans" w:hAnsi="Google Sans"/>
          <w:color w:val="1f1f1f"/>
          <w:rtl w:val="0"/>
        </w:rPr>
        <w:t xml:space="preserve"> The model is initially trained on sentence-level aligned data, which is readily available in massive quantities through punctuation-derived alignments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this phase, the model learns the fundamental semantic mapping between the source speech and the target translation. Because there are no word-level emission rules forcing the model to speak early, this baseline model inherently defaults to a high-latency, consecutive translation behavior, waiting for substantial context before generating an output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Reinforcement Learning for Latency Optimization:</w:t>
      </w:r>
      <w:r w:rsidDel="00000000" w:rsidR="00000000" w:rsidRPr="00000000">
        <w:rPr>
          <w:rFonts w:ascii="Google Sans" w:cs="Google Sans" w:eastAsia="Google Sans" w:hAnsi="Google Sans"/>
          <w:color w:val="1f1f1f"/>
          <w:rtl w:val="0"/>
        </w:rPr>
        <w:t xml:space="preserve"> To compress the latency and aggressively force simultaneous behavior, the model undergoes a post-training reinforcement learning (RL) phase. The RL algorithm is tasked specifically with optimizing the latency metric while preserving the translation quality established in phase 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casting the joint optimization of translation quality and latency purely as an RL problem, the architecture adapts dynamically to the grammatical flow of any language pair. It was conclusively demonstrated that Hibiki-Zero could be adapted to support entirely new input languages, such as Italian, utilizing less than 1,000 hours of unaligned speech data—a remarkably low threshold that opens the door for training thousands of niche dialect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Curriculum Learning for Dialect and Expressivity Preservation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semantics accurately across linguistic boundaries is only one facet of S2ST; preserving the speaker's identity, emotion, intent, and regional dialect completes the human experience. Expressive S2ST demands that the generated target audio accurately mirrors the source audio's paralinguistic attributes. If a user speaks in a distinct Scottish English dialect, a truly advanced S2ST model should output the translated French maintaining the corresponding acoustic markers of that individual's voice.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Frameworks such as UniSS (Unified Single-Stage framework for expressive S2ST) approach this complex requirement by establishing a meticulous curriculum learning pipeline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UniSS, built upon the Qwen2.5-1.5B-Instruct LLM architecture, utilizes a triple-tokenizer strategy that categorizes the audio stream into discrete speaker tokens, linguistic tokens, and semantic tokens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transfer translation and stylistic capabilities from the text modality to the speech modality, the system employs a Cross-Modal Chain-of-Thought (CoT) prompting process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progressively aligning audio semantics with text-based reasoning, the model enforces strict style preservation (voice, emotion, and duration consistency) in the decoded results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curriculum learning strategy proceeds incrementally to prevent mode collapse: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1:</w:t>
      </w:r>
      <w:r w:rsidDel="00000000" w:rsidR="00000000" w:rsidRPr="00000000">
        <w:rPr>
          <w:rFonts w:ascii="Google Sans" w:cs="Google Sans" w:eastAsia="Google Sans" w:hAnsi="Google Sans"/>
          <w:color w:val="1f1f1f"/>
          <w:rtl w:val="0"/>
        </w:rPr>
        <w:t xml:space="preserve"> Modality Alignment. The model completes simpler tasks such as standard ASR and TTS to align the speech and text modalities. Simultaneous S2TT tasks are introduced to warm up the translation weights, while standard MT tasks are interleaved to prevent catastrophic forgetting of base text generation capabilities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2 &amp; 3:</w:t>
      </w:r>
      <w:r w:rsidDel="00000000" w:rsidR="00000000" w:rsidRPr="00000000">
        <w:rPr>
          <w:rFonts w:ascii="Google Sans" w:cs="Google Sans" w:eastAsia="Google Sans" w:hAnsi="Google Sans"/>
          <w:color w:val="1f1f1f"/>
          <w:rtl w:val="0"/>
        </w:rPr>
        <w:t xml:space="preserve"> Expressive Integration. The model is subjected to full S2ST tasks, learning cross-modal instruction following (e.g., "translate with high emotion") and strict duration consistency to ensure the output timing matches the input, which is vital for lip-syncing and dubbing applications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inference level, adjusting the fidelity of voice and dialect transfer is largely governed by parameter tuning, notably through Classifier-Free Guidance (CFG). In autoregressive discrete audio generation, CFG biases the probability distribution of the generated acoustic tokens toward the specific acoustic features of the source audio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modifying the --cfg-coef parameter during inference, developers can dictate the strictness of the voice transfer. A default coefficient of 1.0 provides a neutral, highly intelligible translation. Elevating the coefficient (e.g., 3.0 to 10.0) forces the generated voice to closely mimic the original voice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excessive CFG values can result in unnaturally strong accents in the target language or induce translation degradation, as the model prioritizes acoustic matching over semantic accuracy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Optimizations: The Implementation of GRPO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has become the decisive mechanism for aligning LLMs with human preferences and optimizing complex, multi-objective tasks where standard supervised fine-tuning falls short. In the context of SimulST, the dual objectives—maximizing semantic accuracy and minimizing acoustic latency—are frequently diametrically opposed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Waiting longer improves accuracy but harms latency; translating earlier improves latency but induces hallucination.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Proximal Policy Optimization (PPO) has been the industry standard for RL from Human/AI Feedback (RLHF/RLAIF), it imposes catastrophic memory overhead on modern systems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PPO requires the maintenance of a value model (a critic network) concurrently with the policy model (the actor network). This effectively doubles the parameter count in VRAM, which is economically and computationally prohibitive when training 3B to 30B parameter multimodal models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standard optimization practices using AdamW (with per-parameter adaptive learning rates and momentum) have proven less influential in RL phases compared to SFT phases, often wasting memory without providing commensurate performance gains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Relative Policy Optimization (GRPO), initially popularized by the DeepSeekMath and DeepSeek-R1 architectures and subsequently integrated into frameworks like Hugging Face's TRL (Transformer Reinforcement Learning) library, mitigates this overhead entirely by fundamentally discarding the critic model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and Conceptual Mechanics of GRPO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GRPO operates as an online learning algorithm, iteratively improving by utilizing the output generated by the model itself during the active training phase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optimization proceeds through four discrete stages, explicitly tailored for the S2ST latency-quality trade-off:</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Group Generation:</w:t>
      </w:r>
      <w:r w:rsidDel="00000000" w:rsidR="00000000" w:rsidRPr="00000000">
        <w:rPr>
          <w:rFonts w:ascii="Google Sans" w:cs="Google Sans" w:eastAsia="Google Sans" w:hAnsi="Google Sans"/>
          <w:color w:val="1f1f1f"/>
          <w:rtl w:val="0"/>
        </w:rPr>
        <w:t xml:space="preserve"> At each training step, for a given batch of source speech prompts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policy model </w:t>
      </w:r>
      <w:r w:rsidDel="00000000" w:rsidR="00000000" w:rsidRPr="00000000">
        <w:rPr>
          <w:rFonts w:ascii="Google Sans" w:cs="Google Sans" w:eastAsia="Google Sans" w:hAnsi="Google Sans"/>
          <w:color w:val="1f1f1f"/>
        </w:rPr>
        <w:drawing>
          <wp:inline distB="19050" distT="19050" distL="19050" distR="19050">
            <wp:extent cx="189547" cy="242621"/>
            <wp:effectExtent b="0" l="0" r="0" t="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89547" cy="242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generates a group of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completion trajectories (translations). These are denoted as </w:t>
      </w:r>
      <w:r w:rsidDel="00000000" w:rsidR="00000000" w:rsidRPr="00000000">
        <w:rPr>
          <w:rFonts w:ascii="Google Sans" w:cs="Google Sans" w:eastAsia="Google Sans" w:hAnsi="Google Sans"/>
          <w:color w:val="1f1f1f"/>
        </w:rPr>
        <w:drawing>
          <wp:inline distB="19050" distT="19050" distL="19050" distR="19050">
            <wp:extent cx="152281" cy="243650"/>
            <wp:effectExtent b="0" l="0" r="0" t="0"/>
            <wp:docPr id="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52281" cy="243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91816" cy="244475"/>
            <wp:effectExtent b="0" l="0" r="0" t="0"/>
            <wp:docPr id="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191816" cy="24447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instance, a model might sample 16 outputs per question with a maximum completion length of 32,768 tokens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Reward Computation:</w:t>
      </w:r>
      <w:r w:rsidDel="00000000" w:rsidR="00000000" w:rsidRPr="00000000">
        <w:rPr>
          <w:rFonts w:ascii="Google Sans" w:cs="Google Sans" w:eastAsia="Google Sans" w:hAnsi="Google Sans"/>
          <w:color w:val="1f1f1f"/>
          <w:rtl w:val="0"/>
        </w:rPr>
        <w:t xml:space="preserve"> A multi-dimensional reward function assesses each trajectory. For Hibiki-Zero, intermediate process rewards are calculated at multiple temporal instants during the translation of the input utterance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rewards are based primarily on the BLEU score (or ASR-BLEU) of the concurrent text stream, intrinsically rewarding early, accurate translations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45613" cy="258868"/>
            <wp:effectExtent b="0" l="0" r="0" t="0"/>
            <wp:docPr id="8"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145613" cy="258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cumulative calculated reward for trajectory </w:t>
      </w:r>
      <w:r w:rsidDel="00000000" w:rsidR="00000000" w:rsidRPr="00000000">
        <w:rPr>
          <w:rFonts w:ascii="Google Sans" w:cs="Google Sans" w:eastAsia="Google Sans" w:hAnsi="Google Sans"/>
          <w:color w:val="1f1f1f"/>
        </w:rPr>
        <w:drawing>
          <wp:inline distB="19050" distT="19050" distL="19050" distR="19050">
            <wp:extent cx="152281" cy="243650"/>
            <wp:effectExtent b="0" l="0" r="0" t="0"/>
            <wp:docPr id="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52281" cy="243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Advantage Estimation:</w:t>
      </w:r>
      <w:r w:rsidDel="00000000" w:rsidR="00000000" w:rsidRPr="00000000">
        <w:rPr>
          <w:rFonts w:ascii="Google Sans" w:cs="Google Sans" w:eastAsia="Google Sans" w:hAnsi="Google Sans"/>
          <w:color w:val="1f1f1f"/>
          <w:rtl w:val="0"/>
        </w:rPr>
        <w:t xml:space="preserve"> Because there is no value model to estimate the baseline, GRPO computes the baseline statistically directly from the generated group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advantage </w:t>
      </w:r>
      <w:r w:rsidDel="00000000" w:rsidR="00000000" w:rsidRPr="00000000">
        <w:rPr>
          <w:rFonts w:ascii="Google Sans" w:cs="Google Sans" w:eastAsia="Google Sans" w:hAnsi="Google Sans"/>
          <w:color w:val="1f1f1f"/>
        </w:rPr>
        <w:drawing>
          <wp:inline distB="19050" distT="19050" distL="19050" distR="19050">
            <wp:extent cx="291941" cy="245845"/>
            <wp:effectExtent b="0" l="0" r="0" t="0"/>
            <wp:docPr id="1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91941" cy="245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sequence is computed by standardizing the rewards within the group: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69237"/>
            <wp:effectExtent b="0" l="0" r="0" t="0"/>
            <wp:docPr id="1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05500" cy="86923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relative evaluation provides fine-grained local advantages across multiple translations of the exact same input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one trajectory waits 3 seconds to generate a perfect translation, and another generates an equally perfect translation in 1.5 seconds, the relative standardization heavily rewards the faster trajectory, driving down overall model latency without sacrificing BLEU scores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Loss Optimization:</w:t>
      </w:r>
      <w:r w:rsidDel="00000000" w:rsidR="00000000" w:rsidRPr="00000000">
        <w:rPr>
          <w:rFonts w:ascii="Google Sans" w:cs="Google Sans" w:eastAsia="Google Sans" w:hAnsi="Google Sans"/>
          <w:color w:val="1f1f1f"/>
          <w:rtl w:val="0"/>
        </w:rPr>
        <w:t xml:space="preserve"> The model parameters </w:t>
      </w:r>
      <w:r w:rsidDel="00000000" w:rsidR="00000000" w:rsidRPr="00000000">
        <w:rPr>
          <w:rFonts w:ascii="Google Sans" w:cs="Google Sans" w:eastAsia="Google Sans" w:hAnsi="Google Sans"/>
          <w:color w:val="1f1f1f"/>
        </w:rPr>
        <w:drawing>
          <wp:inline distB="19050" distT="19050" distL="19050" distR="19050">
            <wp:extent cx="97274" cy="259397"/>
            <wp:effectExtent b="0" l="0" r="0" t="0"/>
            <wp:docPr id="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97274" cy="259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updated by maximizing the expected advantage while being heavily regularized by a Kullback-Leibler (KL) divergence penalty against a reference policy </w:t>
      </w:r>
      <w:r w:rsidDel="00000000" w:rsidR="00000000" w:rsidRPr="00000000">
        <w:rPr>
          <w:rFonts w:ascii="Google Sans" w:cs="Google Sans" w:eastAsia="Google Sans" w:hAnsi="Google Sans"/>
          <w:color w:val="1f1f1f"/>
        </w:rPr>
        <w:drawing>
          <wp:inline distB="19050" distT="19050" distL="19050" distR="19050">
            <wp:extent cx="288607" cy="249606"/>
            <wp:effectExtent b="0" l="0" r="0" t="0"/>
            <wp:docPr id="2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88607" cy="249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penalty prevents model degradation, language mixing, or semantic collapse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complete GRPO loss function is formulated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141288"/>
            <wp:effectExtent b="0" l="0" r="0" t="0"/>
            <wp:docPr id="25"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05500" cy="11412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highly specific, memory-constrained implementations—such as the adaptation utilized by Hibiki-Zero—researchers have experimented with completely omitting the KL regularization penalty (</w:t>
      </w:r>
      <w:r w:rsidDel="00000000" w:rsidR="00000000" w:rsidRPr="00000000">
        <w:rPr>
          <w:rFonts w:ascii="Google Sans" w:cs="Google Sans" w:eastAsia="Google Sans" w:hAnsi="Google Sans"/>
          <w:color w:val="1f1f1f"/>
        </w:rPr>
        <w:drawing>
          <wp:inline distB="19050" distT="19050" distL="19050" distR="19050">
            <wp:extent cx="480536" cy="248019"/>
            <wp:effectExtent b="0" l="0" r="0" t="0"/>
            <wp:docPr id="28"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80536" cy="248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removing the KL penalty, the system relies strictly on the robust scaling of the BLEU-based process rewards, further reducing the memory requirements during training as the reference policy no longer needs to be explicitly maintained in VRAM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Implementation via Hugging Face TRL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GRPO into the Hugging Face ecosystem via the trl library has democratized the application of this algorithm for multimodal LLMs. The GRPOTrainer natively supports distributed training methods such as DDP, DeepSpeed ZeRO, and Fully Sharded Data Parallel (FSDP), enabling execution on massive clusters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developing a dialect-specific simultaneous translation model, engineers must supply custom synchronous or asynchronous reward functions to the GRPOTrainer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highly effective composite reward function for a dialect model would encompass three distinct axes: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Translation Accuracy Metric:</w:t>
      </w:r>
      <w:r w:rsidDel="00000000" w:rsidR="00000000" w:rsidRPr="00000000">
        <w:rPr>
          <w:rFonts w:ascii="Google Sans" w:cs="Google Sans" w:eastAsia="Google Sans" w:hAnsi="Google Sans"/>
          <w:color w:val="1f1f1f"/>
          <w:rtl w:val="0"/>
        </w:rPr>
        <w:t xml:space="preserve"> Heavily penalized string-matching or LLM-as-a-judge metrics if the core semantics are lost.</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Latency Penalty:</w:t>
      </w:r>
      <w:r w:rsidDel="00000000" w:rsidR="00000000" w:rsidRPr="00000000">
        <w:rPr>
          <w:rFonts w:ascii="Google Sans" w:cs="Google Sans" w:eastAsia="Google Sans" w:hAnsi="Google Sans"/>
          <w:color w:val="1f1f1f"/>
          <w:rtl w:val="0"/>
        </w:rPr>
        <w:t xml:space="preserve"> A mathematical deduction based on Average Lagging metrics.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Speaker Similarity Metric:</w:t>
      </w:r>
      <w:r w:rsidDel="00000000" w:rsidR="00000000" w:rsidRPr="00000000">
        <w:rPr>
          <w:rFonts w:ascii="Google Sans" w:cs="Google Sans" w:eastAsia="Google Sans" w:hAnsi="Google Sans"/>
          <w:color w:val="1f1f1f"/>
          <w:rtl w:val="0"/>
        </w:rPr>
        <w:t xml:space="preserve"> The cosine similarity of embeddings extracted from an external speaker verification model, enforcing that the generated output retains the dialectal and timbre properties of the source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GRPOTrainer is designed to concurrently execute these reward functions—overlapping latency if the functions involve asynchronous I/O-bound operations—and sum their weighted outputs to compute the final standardized advantage for backpropagation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Setup and Infrastructure Implementation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multi-tenant, Omni-modal S2ST system that supports multiple dialects in production requires meticulous infrastructure setup. Engineers cannot simply load a monolithic model using standard pipelines; the dynamic nature of streaming audio tokens combined with the necessity of swapping dialect weights demands specialized serving architectures.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pipeline is generally executed on high-memory GPU instances. For instance, utilizing a service like Vast.ai to provision a machine for an initial deployment requires specific CLI configurations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set up the environment, an engineer would utilize the Vast CLI to search for a GPU instance offering high compute capability and sufficient memory. While a 7B parameter base model theoretically requires 16GB of VRAM, running multi-LoRA adapters safely necessitates instances with 32GB or more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provisioning parameters typically enforce strict requirements:</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compute_cap &gt;= 750</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gpu_ram &gt;= 32</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direct_port_count &gt;= 1</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provisioned, deploying the inference server involves pulling highly optimized Docker containers, such as the LMI (Large Model Inference) container offered by AWS SageMaker, or the Lorax server image ghcr.io/predibase/lorax:main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containers offer out-of-the-box integration and abstraction for hosting multiple unmerged LoRA adapters with high throughput using the vLLM backend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Ray Serve for Multi-LoRA S2ST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enterprise environments, orchestration is often handled by Ray Serve layered over the vLLM engine. Multi-LoRA deployments allow a single base model (the general S2ST foundation) to remain resident in memory, while specialized dialect adapters are swapped in and out dynamically at runtime depending on the specific user request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centralization cuts down on infrastructure complexity and drastically reduces the cost per query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LLMConfig in Ray Serve must be meticulously configured to handle this. The configuration points the deployment to a dynamic_lora_loading_path (e.g., an S3 bucket or Google Cloud Storage path) containing the specific checkpoint subdirectories for each dialect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engineer must forward specific engine keyword arguments (engine_kwargs) directly to the underlying vLLM engine to enable this functionality. The necessary parameters include:</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enable_lora=True: Activates LoRA support within the vLLM execution pipeline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max_lora_rank: Defines the maximum rank allowed for any loaded adapter (e.g., 32 or 64). Setting this accurately is vital, as a larger rank consumes exponentially more memory during the forward pass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max_loras (or max_num_adapters_per_replica): Determines the absolute maximum number of distinct LoRA adapters that can be resident in VRAM and active in a single batch concurrently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incoming audio stream requests a specific dialect translation, the Ray Serve routing logic executes the following sequence: It checks if any replica has the requested dialect adapter cached. If so, and the replica is not overloaded, the stream is routed there. If no replica has the adapter, the system routes the request to the least busy replica, dynamically pulls the adapter weights from the cloud storage path, and loads them into memory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system then utilizes a Least Recently Used (LRU) eviction mechanism to purge stale adapters if the max_loras limit is breached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Serving: Dynamic LoRA Swapping and Memory Management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obstacle to serving dozens of dialect-specific S2ST models on a single GPU is the VRAM fragmentation problem. Traditional inference servers allocate a static, contiguous block of VRAM for the Key-Value (KV) cache of every active request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Standard memory allocators cannot accurately predict the final sequence length of an incoming streaming conversation, leading to "internal fragmentation" where massive blocks of reserved memory space remain permanently unused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dealing with 70B parameter models, the weights alone can consume 40GB in FP16 precision, leaving very little room for inefficient caching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the combined memory requirements of the adapters and the cache exceed the GPU limit, the server triggers an Out-of-Memory (OOM) error, immediately crashing the inference pipeline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PagedAttention, S-LoRA, and Punica Kernels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S2ST serving stack resolves this through a combination of three revolutionary memory management innovations: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Serving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S2ST Multi-Tenancy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PagedAttention (vLLM)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Partitions the KV cache into non-contiguous, dynamic blocks, heavily mimicking virtual memory paging in traditional operating systems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Eradicates VRAM internal fragmentation. Allocates memory strictly as tokens are generated, effectively doubling or tripling hardware concurrency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S-LoRA Unified Paging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unified memory pool mechanism that simultaneously manages dynamic LoRA adapter weights (of varying ranks) alongside the KV cache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all inactive adapters in host main memory, fetching only the specifically required dialect adapters to GPU memory dynamically via PCI-e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Increases adapter scalability by several orders of magnitude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Punica Kernels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optimized custom CUDA kernels designed specifically for heterogeneous batching of LoRA computation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simultaneous execution of different LoRA adapters within a single batched compute pass, maintaining high Model FLOPs Utilization (MFU) without sequential bottlenecking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S-LoRA fundamentally shifts the paradigm by ensuring that the multi-gigabyte base model parameters remain statically resident in GPU VRAM, while the requisite, lightweight adapter weights (often mere megabytes) are swapped dynamically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S-LoRA outperforms native vLLM LoRA implementations because vLLM traditionally sets a rigid predefined allocation ratio of GPU memory space strictly for LoRAs (empirically around 20%), leading to under-utilization under dynamic loads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S-LoRA’s unified memory pool fluidly shifts boundaries based on real-time demand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Punica kernel enables a critical optimization known as </w:t>
      </w:r>
      <w:r w:rsidDel="00000000" w:rsidR="00000000" w:rsidRPr="00000000">
        <w:rPr>
          <w:rFonts w:ascii="Google Sans" w:cs="Google Sans" w:eastAsia="Google Sans" w:hAnsi="Google Sans"/>
          <w:i w:val="1"/>
          <w:iCs w:val="1"/>
          <w:color w:val="1f1f1f"/>
          <w:rtl w:val="0"/>
        </w:rPr>
        <w:t xml:space="preserve">Adapter-aware Continuous Batching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a naive setup, if Request A requires the Scottish dialect adapter and Request B requires the Quebecois adapter, the GPU must process them sequentially, operating at a fraction of its compute capacity (often around 20% MFU)</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Punica's metadata tracking and specialized matrix math allow the system to group these disparate requests into a single, unified compute pass against the base model, applying the specific adapter weights at the tensor level simultaneously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is the operational standard for high-throughput SaaS platforms providing personalized, low-latency AI voice features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Governance, Security, and Compliance in Voice AI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generative, dialect-preserving S2ST models introduces profound ethical, legal, and security implications that extend far beyond traditional text-based AI. The capability of a machine to clone a user's voice and flawlessly mimic their regional dialect and emotional cadence in real-time presents severe vectors for misuse. These risks encompass advanced social engineering, deepfake fraud, unauthorized biometric cloning, and the broader erosion of digital trust.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direct response to these risks, global regulatory bodies are moving rapidly to establish comprehensive guardrails. A premier and globally influential example is the Model AI Governance Framework for Generative AI, finalized in 2024 by Singapore's Infocomm Media Development Authority (IMDA) in collaboration with the AI Verify Foundation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framework expands upon traditional AI governance (which dates back to 2019) to address the unique risks of generative foundation models, providing a systematic approach across nine core dimensions to foster a trusted AI ecosystem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enterprise developers engineering and deploying dialect-specific S2ST models, several of these governance dimensions are acutely relevant and require immediate integration into the development lifecycle:</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Accountability and Shared Responsibility:</w:t>
      </w:r>
      <w:r w:rsidDel="00000000" w:rsidR="00000000" w:rsidRPr="00000000">
        <w:rPr>
          <w:rFonts w:ascii="Google Sans" w:cs="Google Sans" w:eastAsia="Google Sans" w:hAnsi="Google Sans"/>
          <w:color w:val="1f1f1f"/>
          <w:rtl w:val="0"/>
        </w:rPr>
        <w:t xml:space="preserve"> The framework emphasizes that accountability is no longer a monolithic concept. Developers must establish clear shared-responsibility models—akin to cloud computing Service Level Agreements (SLAs)—delineating liability across the foundation model developer (e.g., the creator of the base S2ST model), the LoRA adapter creator (who trained the dialect), and the downstream application deployer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Testing and Assurance:</w:t>
      </w:r>
      <w:r w:rsidDel="00000000" w:rsidR="00000000" w:rsidRPr="00000000">
        <w:rPr>
          <w:rFonts w:ascii="Google Sans" w:cs="Google Sans" w:eastAsia="Google Sans" w:hAnsi="Google Sans"/>
          <w:color w:val="1f1f1f"/>
          <w:rtl w:val="0"/>
        </w:rPr>
        <w:t xml:space="preserve"> Prior to production deployment, models must undergo rigorous, standardized safety evaluations. Frameworks like the AI Verify toolkit provide a mechanism to empirically validate AI systems against governance principles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For dialect models, this involves red-teaming the system to ensure the dialect adaptation does not inadvertently introduce systemic societal biases, toxic hallucination, or degrade into harmful stereotypes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Content Provenance and Security:</w:t>
      </w:r>
      <w:r w:rsidDel="00000000" w:rsidR="00000000" w:rsidRPr="00000000">
        <w:rPr>
          <w:rFonts w:ascii="Google Sans" w:cs="Google Sans" w:eastAsia="Google Sans" w:hAnsi="Google Sans"/>
          <w:color w:val="1f1f1f"/>
          <w:rtl w:val="0"/>
        </w:rPr>
        <w:t xml:space="preserve"> To combat the proliferation of deepfakes and audio fraud, the governance framework heavily advocates for robust content provenance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For S2ST systems, this translates into technical requirements such as embedding cryptographic watermarks directly within the generated discrete acoustic tokens prior to the final waveform decoding. This ensures that synthetic, dialect-matched audio can be algorithmically identified as machine-generated, fulfilling transparency obligations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because dialect training data inherently contains highly sensitive biometric markers, the data lakes housing these speech corpora must be secured with the same rigor applied to medical or financial records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governance principles are increasingly being adopted globally and tailored for varied jurisdictions through initiatives like the Digital Forum of Small States (Digital FOSS) AI Governance Playbook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overarching mandate is that S2ST innovation—no matter how technologically advanced—must be counterbalanced with rigorous, verifiable compliance to ensure the technology serves the public good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trajectory of Speech-to-Speech Translation has decisively shifted away from sequential, cascaded pipelines toward direct, Omni-modal architectures that operate natively over discrete neural audio representations. Through the implementation of highly efficient codecs like Mimi and multi-stream modeling via RQ-Transformers, systems can now achieve full-duplex, simultaneous translation with near-zero latency.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monumental breakthrough in the development pipeline is the eradication of language-specific, word-level alignments, as demonstrated by the Hibiki-Zero paradigm. By leveraging sentence-level training coupled with advanced, targeted reinforcement learning, developers can seamlessly scale these models to support thousands of distinct morphological structures and regional dialects. The integration of Group Relative Policy Optimization (GRPO) into S2ST training, facilitated by frameworks like Hugging Face's TRL, provides the critical mathematical mechanism to precisely calibrate the delicate trade-off between translation accuracy and acoustic latency without the prohibitive memory overhead of traditional PPO models.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demand for highly expressive, dialect-specific translation is being met through innovative multi-tokenization frameworks and cross-modal curriculum learning that transfers reasoning from text directly to speech. Scaling these specialized dialect models to production environments has been revolutionized by advanced memory management protocols. The orchestration of PagedAttention, S-LoRA's unified memory pools, and Punica kernels within environments like vLLM enables the dynamic, concurrent serving of hundreds of LoRA dialect adapters on shared GPU clusters, effectively solving the VRAM fragmentation crisis.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as these Omni-modal systems cross the threshold of real-time human parity, strict adherence to emerging international governance frameworks, such as those propagated by the IMDA, is not merely recommended—it is required. The synthesis of robust codec architectures, memory-efficient reinforcement learning, dynamic serving infrastructure, and responsible, verifiable governance will dictate the successful and ethical deployment of next-generation S2ST platforms globally.</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speech-to-speech translation (s2st) - GitHub, </w:t>
      </w:r>
      <w:hyperlink r:id="rId37">
        <w:r w:rsidDel="00000000" w:rsidR="00000000" w:rsidRPr="00000000">
          <w:rPr>
            <w:rFonts w:ascii="Google Sans" w:cs="Google Sans" w:eastAsia="Google Sans" w:hAnsi="Google Sans"/>
            <w:color w:val="0000ee"/>
            <w:sz w:val="24"/>
            <w:szCs w:val="24"/>
            <w:u w:val="single"/>
            <w:rtl w:val="0"/>
          </w:rPr>
          <w:t xml:space="preserve">https://github.com/abdouaziz/speech-to-speech-translation</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Hibiki-Zero: Simultaneous Speech-to-Speech Translation Without Aligned Data - Kyutai, </w:t>
      </w:r>
      <w:hyperlink r:id="rId38">
        <w:r w:rsidDel="00000000" w:rsidR="00000000" w:rsidRPr="00000000">
          <w:rPr>
            <w:rFonts w:ascii="Google Sans" w:cs="Google Sans" w:eastAsia="Google Sans" w:hAnsi="Google Sans"/>
            <w:color w:val="0000ee"/>
            <w:sz w:val="24"/>
            <w:szCs w:val="24"/>
            <w:u w:val="single"/>
            <w:rtl w:val="0"/>
          </w:rPr>
          <w:t xml:space="preserve">https://kyutai.org/blog/2026-02-12-hibiki-zero/</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Hibiki, </w:t>
      </w:r>
      <w:hyperlink r:id="rId39">
        <w:r w:rsidDel="00000000" w:rsidR="00000000" w:rsidRPr="00000000">
          <w:rPr>
            <w:rFonts w:ascii="Google Sans" w:cs="Google Sans" w:eastAsia="Google Sans" w:hAnsi="Google Sans"/>
            <w:color w:val="0000ee"/>
            <w:sz w:val="24"/>
            <w:szCs w:val="24"/>
            <w:u w:val="single"/>
            <w:rtl w:val="0"/>
          </w:rPr>
          <w:t xml:space="preserve">https://hibiki-s2st.github.io/</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S-LoRA: Serving Thousands of Concurrent LoRA Adapters - Department of Computer Science and Technology |, </w:t>
      </w:r>
      <w:hyperlink r:id="rId40">
        <w:r w:rsidDel="00000000" w:rsidR="00000000" w:rsidRPr="00000000">
          <w:rPr>
            <w:rFonts w:ascii="Google Sans" w:cs="Google Sans" w:eastAsia="Google Sans" w:hAnsi="Google Sans"/>
            <w:color w:val="0000ee"/>
            <w:sz w:val="24"/>
            <w:szCs w:val="24"/>
            <w:u w:val="single"/>
            <w:rtl w:val="0"/>
          </w:rPr>
          <w:t xml:space="preserve">https://www.cl.cam.ac.uk/~ey204/teaching/ACS/R244_2024_2025/papers/SO-LORA_ARXIV_2024.pdf</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and cost-effective multi-tenant LoRA serving with Amazon SageMaker - AWS, </w:t>
      </w:r>
      <w:hyperlink r:id="rId41">
        <w:r w:rsidDel="00000000" w:rsidR="00000000" w:rsidRPr="00000000">
          <w:rPr>
            <w:rFonts w:ascii="Google Sans" w:cs="Google Sans" w:eastAsia="Google Sans" w:hAnsi="Google Sans"/>
            <w:color w:val="0000ee"/>
            <w:sz w:val="24"/>
            <w:szCs w:val="24"/>
            <w:u w:val="single"/>
            <w:rtl w:val="0"/>
          </w:rPr>
          <w:t xml:space="preserve">https://aws.amazon.com/blogs/machine-learning/efficient-and-cost-effective-multi-tenant-lora-serving-with-amazon-sagemaker/</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Multi-LoRA deployment - Ray Docs, </w:t>
      </w:r>
      <w:hyperlink r:id="rId42">
        <w:r w:rsidDel="00000000" w:rsidR="00000000" w:rsidRPr="00000000">
          <w:rPr>
            <w:rFonts w:ascii="Google Sans" w:cs="Google Sans" w:eastAsia="Google Sans" w:hAnsi="Google Sans"/>
            <w:color w:val="0000ee"/>
            <w:sz w:val="24"/>
            <w:szCs w:val="24"/>
            <w:u w:val="single"/>
            <w:rtl w:val="0"/>
          </w:rPr>
          <w:t xml:space="preserve">https://docs.ray.io/en/latest/serve/llm/user-guides/multi-lora.html</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Speech-to-Speech Translation Without Aligned Data - arXiv, </w:t>
      </w:r>
      <w:hyperlink r:id="rId43">
        <w:r w:rsidDel="00000000" w:rsidR="00000000" w:rsidRPr="00000000">
          <w:rPr>
            <w:rFonts w:ascii="Google Sans" w:cs="Google Sans" w:eastAsia="Google Sans" w:hAnsi="Google Sans"/>
            <w:color w:val="0000ee"/>
            <w:sz w:val="24"/>
            <w:szCs w:val="24"/>
            <w:u w:val="single"/>
            <w:rtl w:val="0"/>
          </w:rPr>
          <w:t xml:space="preserve">https://arxiv.org/html/2602.11072v2</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 Streaming Audio Codec Guide | AI Understanding, </w:t>
      </w:r>
      <w:hyperlink r:id="rId44">
        <w:r w:rsidDel="00000000" w:rsidR="00000000" w:rsidRPr="00000000">
          <w:rPr>
            <w:rFonts w:ascii="Google Sans" w:cs="Google Sans" w:eastAsia="Google Sans" w:hAnsi="Google Sans"/>
            <w:color w:val="0000ee"/>
            <w:sz w:val="24"/>
            <w:szCs w:val="24"/>
            <w:u w:val="single"/>
            <w:rtl w:val="0"/>
          </w:rPr>
          <w:t xml:space="preserve">https://aiunderstanding.org/tr/learn/mimi-streaming-audio-codec</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kyutai/mimi - Hugging Face, </w:t>
      </w:r>
      <w:hyperlink r:id="rId45">
        <w:r w:rsidDel="00000000" w:rsidR="00000000" w:rsidRPr="00000000">
          <w:rPr>
            <w:rFonts w:ascii="Google Sans" w:cs="Google Sans" w:eastAsia="Google Sans" w:hAnsi="Google Sans"/>
            <w:color w:val="0000ee"/>
            <w:sz w:val="24"/>
            <w:szCs w:val="24"/>
            <w:u w:val="single"/>
            <w:rtl w:val="0"/>
          </w:rPr>
          <w:t xml:space="preserve">https://huggingface.co/kyutai/mimi</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Speech-to-Speech Translation Without Aligned Data,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https://www.scribd.com/document/999870959/2602-11072v1</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High-Fidelity Simultaneous Speech-To-Speech Translation - ICML 2026, </w:t>
      </w:r>
      <w:hyperlink r:id="rId47">
        <w:r w:rsidDel="00000000" w:rsidR="00000000" w:rsidRPr="00000000">
          <w:rPr>
            <w:rFonts w:ascii="Google Sans" w:cs="Google Sans" w:eastAsia="Google Sans" w:hAnsi="Google Sans"/>
            <w:color w:val="0000ee"/>
            <w:sz w:val="24"/>
            <w:szCs w:val="24"/>
            <w:u w:val="single"/>
            <w:rtl w:val="0"/>
          </w:rPr>
          <w:t xml:space="preserve">https://icml.cc/virtual/2025/poster/44512</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[2502.03382] High-Fidelity Simultaneous Speech-To-Speech Translation - arXiv, </w:t>
      </w:r>
      <w:hyperlink r:id="rId48">
        <w:r w:rsidDel="00000000" w:rsidR="00000000" w:rsidRPr="00000000">
          <w:rPr>
            <w:rFonts w:ascii="Google Sans" w:cs="Google Sans" w:eastAsia="Google Sans" w:hAnsi="Google Sans"/>
            <w:color w:val="0000ee"/>
            <w:sz w:val="24"/>
            <w:szCs w:val="24"/>
            <w:u w:val="single"/>
            <w:rtl w:val="0"/>
          </w:rPr>
          <w:t xml:space="preserve">https://arxiv.org/abs/2502.03382</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CUHKSZ Simultaneous Speech Translation System for IWSLT 2026 - ACL Anthology, </w:t>
      </w:r>
      <w:hyperlink r:id="rId49">
        <w:r w:rsidDel="00000000" w:rsidR="00000000" w:rsidRPr="00000000">
          <w:rPr>
            <w:rFonts w:ascii="Google Sans" w:cs="Google Sans" w:eastAsia="Google Sans" w:hAnsi="Google Sans"/>
            <w:color w:val="0000ee"/>
            <w:sz w:val="24"/>
            <w:szCs w:val="24"/>
            <w:u w:val="single"/>
            <w:rtl w:val="0"/>
          </w:rPr>
          <w:t xml:space="preserve">https://aclanthology.org/2026.iwslt-1.13.pdf</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[2602.11072] Simultaneous Speech-to-Speech Translation Without Aligned Data - arXiv, </w:t>
      </w:r>
      <w:hyperlink r:id="rId50">
        <w:r w:rsidDel="00000000" w:rsidR="00000000" w:rsidRPr="00000000">
          <w:rPr>
            <w:rFonts w:ascii="Google Sans" w:cs="Google Sans" w:eastAsia="Google Sans" w:hAnsi="Google Sans"/>
            <w:color w:val="0000ee"/>
            <w:sz w:val="24"/>
            <w:szCs w:val="24"/>
            <w:u w:val="single"/>
            <w:rtl w:val="0"/>
          </w:rPr>
          <w:t xml:space="preserve">https://arxiv.org/abs/2602.11072</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Oral Simultaneous Speech-to-Speech Translation Without Aligned Data - ICML 2026, </w:t>
      </w:r>
      <w:hyperlink r:id="rId51">
        <w:r w:rsidDel="00000000" w:rsidR="00000000" w:rsidRPr="00000000">
          <w:rPr>
            <w:rFonts w:ascii="Google Sans" w:cs="Google Sans" w:eastAsia="Google Sans" w:hAnsi="Google Sans"/>
            <w:color w:val="0000ee"/>
            <w:sz w:val="24"/>
            <w:szCs w:val="24"/>
            <w:u w:val="single"/>
            <w:rtl w:val="0"/>
          </w:rPr>
          <w:t xml:space="preserve">https://icml.cc/virtual/2026/oral/71089</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High-Fidelity Simultaneous Speech-To-Speech Translation - Proceedings of Machine Learning Research, </w:t>
      </w:r>
      <w:hyperlink r:id="rId52">
        <w:r w:rsidDel="00000000" w:rsidR="00000000" w:rsidRPr="00000000">
          <w:rPr>
            <w:rFonts w:ascii="Google Sans" w:cs="Google Sans" w:eastAsia="Google Sans" w:hAnsi="Google Sans"/>
            <w:color w:val="0000ee"/>
            <w:sz w:val="24"/>
            <w:szCs w:val="24"/>
            <w:u w:val="single"/>
            <w:rtl w:val="0"/>
          </w:rPr>
          <w:t xml:space="preserve">https://proceedings.mlr.press/v267/labiausse25a.html</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Pocket Offline Model for Simultaneous Speech Translation as CUNI Submission to IWSLT 2026 - arXiv, </w:t>
      </w:r>
      <w:hyperlink r:id="rId53">
        <w:r w:rsidDel="00000000" w:rsidR="00000000" w:rsidRPr="00000000">
          <w:rPr>
            <w:rFonts w:ascii="Google Sans" w:cs="Google Sans" w:eastAsia="Google Sans" w:hAnsi="Google Sans"/>
            <w:color w:val="0000ee"/>
            <w:sz w:val="24"/>
            <w:szCs w:val="24"/>
            <w:u w:val="single"/>
            <w:rtl w:val="0"/>
          </w:rPr>
          <w:t xml:space="preserve">https://arxiv.org/html/2606.03948v1</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Speech-to-Speech Translation Without Aligned Data - arXiv, </w:t>
      </w:r>
      <w:hyperlink r:id="rId54">
        <w:r w:rsidDel="00000000" w:rsidR="00000000" w:rsidRPr="00000000">
          <w:rPr>
            <w:rFonts w:ascii="Google Sans" w:cs="Google Sans" w:eastAsia="Google Sans" w:hAnsi="Google Sans"/>
            <w:color w:val="0000ee"/>
            <w:sz w:val="24"/>
            <w:szCs w:val="24"/>
            <w:u w:val="single"/>
            <w:rtl w:val="0"/>
          </w:rPr>
          <w:t xml:space="preserve">https://arxiv.org/html/2602.11072v1</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Hibiki Zero Samples - a Hugging Face Space by kyutai, </w:t>
      </w:r>
      <w:hyperlink r:id="rId55">
        <w:r w:rsidDel="00000000" w:rsidR="00000000" w:rsidRPr="00000000">
          <w:rPr>
            <w:rFonts w:ascii="Google Sans" w:cs="Google Sans" w:eastAsia="Google Sans" w:hAnsi="Google Sans"/>
            <w:color w:val="0000ee"/>
            <w:sz w:val="24"/>
            <w:szCs w:val="24"/>
            <w:u w:val="single"/>
            <w:rtl w:val="0"/>
          </w:rPr>
          <w:t xml:space="preserve">https://huggingface.co/spaces/kyutai/hibiki-zero-samples</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UniSS: Unified Expressive Speech-to-Speech Translation with Your Voice - OpenReview, </w:t>
      </w:r>
      <w:hyperlink r:id="rId56">
        <w:r w:rsidDel="00000000" w:rsidR="00000000" w:rsidRPr="00000000">
          <w:rPr>
            <w:rFonts w:ascii="Google Sans" w:cs="Google Sans" w:eastAsia="Google Sans" w:hAnsi="Google Sans"/>
            <w:color w:val="0000ee"/>
            <w:sz w:val="24"/>
            <w:szCs w:val="24"/>
            <w:u w:val="single"/>
            <w:rtl w:val="0"/>
          </w:rPr>
          <w:t xml:space="preserve">https://openreview.net/forum?id=5o0ZvYzh6B</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kyutai-labs/hibiki: Hibiki is a model for streaming speech translation (also known as simultaneous translation). Unlike offline translation—where one waits for the end of the source utterance to start translating--- Hibiki adapts its flow to accumulate just enough context to produce a correct translation in real-time, chunk by chunk., </w:t>
      </w:r>
      <w:hyperlink r:id="rId57">
        <w:r w:rsidDel="00000000" w:rsidR="00000000" w:rsidRPr="00000000">
          <w:rPr>
            <w:rFonts w:ascii="Google Sans" w:cs="Google Sans" w:eastAsia="Google Sans" w:hAnsi="Google Sans"/>
            <w:color w:val="0000ee"/>
            <w:sz w:val="24"/>
            <w:szCs w:val="24"/>
            <w:u w:val="single"/>
            <w:rtl w:val="0"/>
          </w:rPr>
          <w:t xml:space="preserve">https://github.com/kyutai-labs/hibiki</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TRL - Transformers Reinforcement Learning - Hugging Face, </w:t>
      </w:r>
      <w:hyperlink r:id="rId58">
        <w:r w:rsidDel="00000000" w:rsidR="00000000" w:rsidRPr="00000000">
          <w:rPr>
            <w:rFonts w:ascii="Google Sans" w:cs="Google Sans" w:eastAsia="Google Sans" w:hAnsi="Google Sans"/>
            <w:color w:val="0000ee"/>
            <w:sz w:val="24"/>
            <w:szCs w:val="24"/>
            <w:u w:val="single"/>
            <w:rtl w:val="0"/>
          </w:rPr>
          <w:t xml:space="preserve">https://huggingface.co/docs/trl/en/index</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GRPO Trainer - Hugging Face, </w:t>
      </w:r>
      <w:hyperlink r:id="rId59">
        <w:r w:rsidDel="00000000" w:rsidR="00000000" w:rsidRPr="00000000">
          <w:rPr>
            <w:rFonts w:ascii="Google Sans" w:cs="Google Sans" w:eastAsia="Google Sans" w:hAnsi="Google Sans"/>
            <w:color w:val="0000ee"/>
            <w:sz w:val="24"/>
            <w:szCs w:val="24"/>
            <w:u w:val="single"/>
            <w:rtl w:val="0"/>
          </w:rPr>
          <w:t xml:space="preserve">https://huggingface.co/docs/trl/v0.21.0/grpo_trainer</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huggingface/trl: Train transformer language models with reinforcement learning. - GitHub, </w:t>
      </w:r>
      <w:hyperlink r:id="rId60">
        <w:r w:rsidDel="00000000" w:rsidR="00000000" w:rsidRPr="00000000">
          <w:rPr>
            <w:rFonts w:ascii="Google Sans" w:cs="Google Sans" w:eastAsia="Google Sans" w:hAnsi="Google Sans"/>
            <w:color w:val="0000ee"/>
            <w:sz w:val="24"/>
            <w:szCs w:val="24"/>
            <w:u w:val="single"/>
            <w:rtl w:val="0"/>
          </w:rPr>
          <w:t xml:space="preserve">https://github.com/huggingface/trl</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Orals - ICML 2026, </w:t>
      </w:r>
      <w:hyperlink r:id="rId61">
        <w:r w:rsidDel="00000000" w:rsidR="00000000" w:rsidRPr="00000000">
          <w:rPr>
            <w:rFonts w:ascii="Google Sans" w:cs="Google Sans" w:eastAsia="Google Sans" w:hAnsi="Google Sans"/>
            <w:color w:val="0000ee"/>
            <w:sz w:val="24"/>
            <w:szCs w:val="24"/>
            <w:u w:val="single"/>
            <w:rtl w:val="0"/>
          </w:rPr>
          <w:t xml:space="preserve">https://icml.cc/virtual/2026/events/oral</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Index - Hugging Face, </w:t>
      </w:r>
      <w:hyperlink r:id="rId62">
        <w:r w:rsidDel="00000000" w:rsidR="00000000" w:rsidRPr="00000000">
          <w:rPr>
            <w:rFonts w:ascii="Google Sans" w:cs="Google Sans" w:eastAsia="Google Sans" w:hAnsi="Google Sans"/>
            <w:color w:val="0000ee"/>
            <w:sz w:val="24"/>
            <w:szCs w:val="24"/>
            <w:u w:val="single"/>
            <w:rtl w:val="0"/>
          </w:rPr>
          <w:t xml:space="preserve">https://huggingface.co/docs/trl/en/paper_index</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TRL - Transformers Reinforcement Learning - Hugging Face, </w:t>
      </w:r>
      <w:hyperlink r:id="rId63">
        <w:r w:rsidDel="00000000" w:rsidR="00000000" w:rsidRPr="00000000">
          <w:rPr>
            <w:rFonts w:ascii="Google Sans" w:cs="Google Sans" w:eastAsia="Google Sans" w:hAnsi="Google Sans"/>
            <w:color w:val="0000ee"/>
            <w:sz w:val="24"/>
            <w:szCs w:val="24"/>
            <w:u w:val="single"/>
            <w:rtl w:val="0"/>
          </w:rPr>
          <w:t xml:space="preserve">https://huggingface.co/docs/trl/index</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TRL: Transformer Reinforcement Learning Library -2 | by DhanushKumar | Medium, </w:t>
      </w:r>
      <w:hyperlink r:id="rId64">
        <w:r w:rsidDel="00000000" w:rsidR="00000000" w:rsidRPr="00000000">
          <w:rPr>
            <w:rFonts w:ascii="Google Sans" w:cs="Google Sans" w:eastAsia="Google Sans" w:hAnsi="Google Sans"/>
            <w:color w:val="0000ee"/>
            <w:sz w:val="24"/>
            <w:szCs w:val="24"/>
            <w:u w:val="single"/>
            <w:rtl w:val="0"/>
          </w:rPr>
          <w:t xml:space="preserve">https://medium.com/@danushidk507/trl-transformer-reinforcement-learning-library-2-59186d66ac0b</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GRPO Trainer - Hugging Face, </w:t>
      </w:r>
      <w:hyperlink r:id="rId65">
        <w:r w:rsidDel="00000000" w:rsidR="00000000" w:rsidRPr="00000000">
          <w:rPr>
            <w:rFonts w:ascii="Google Sans" w:cs="Google Sans" w:eastAsia="Google Sans" w:hAnsi="Google Sans"/>
            <w:color w:val="0000ee"/>
            <w:sz w:val="24"/>
            <w:szCs w:val="24"/>
            <w:u w:val="single"/>
            <w:rtl w:val="0"/>
          </w:rPr>
          <w:t xml:space="preserve">https://huggingface.co/docs/trl/en/grpo_trainer</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Efficiently Serving Multiple Machine Learning Models with Lorax and vLLM on Vast.ai, </w:t>
      </w:r>
      <w:hyperlink r:id="rId66">
        <w:r w:rsidDel="00000000" w:rsidR="00000000" w:rsidRPr="00000000">
          <w:rPr>
            <w:rFonts w:ascii="Google Sans" w:cs="Google Sans" w:eastAsia="Google Sans" w:hAnsi="Google Sans"/>
            <w:color w:val="0000ee"/>
            <w:sz w:val="24"/>
            <w:szCs w:val="24"/>
            <w:u w:val="single"/>
            <w:rtl w:val="0"/>
          </w:rPr>
          <w:t xml:space="preserve">https://vast.ai/article/efficiently-serving-multiple-ml-models-with-lorax-vllm-vast-ai</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ELORA: Efficient LoRA and KV Cache Management for Multi-LoRA LLM Serving - Department of Computer Science and Engineering - HKUST, </w:t>
      </w:r>
      <w:hyperlink r:id="rId67">
        <w:r w:rsidDel="00000000" w:rsidR="00000000" w:rsidRPr="00000000">
          <w:rPr>
            <w:rFonts w:ascii="Google Sans" w:cs="Google Sans" w:eastAsia="Google Sans" w:hAnsi="Google Sans"/>
            <w:color w:val="0000ee"/>
            <w:sz w:val="24"/>
            <w:szCs w:val="24"/>
            <w:u w:val="single"/>
            <w:rtl w:val="0"/>
          </w:rPr>
          <w:t xml:space="preserve">https://www.cse.ust.hk/~weiwa/papers/elora-hpca26.pdf</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Multi-Model Serving on Single GPUs with vLLM and PagedAttention - Lyceum Technology, </w:t>
      </w:r>
      <w:hyperlink r:id="rId68">
        <w:r w:rsidDel="00000000" w:rsidR="00000000" w:rsidRPr="00000000">
          <w:rPr>
            <w:rFonts w:ascii="Google Sans" w:cs="Google Sans" w:eastAsia="Google Sans" w:hAnsi="Google Sans"/>
            <w:color w:val="0000ee"/>
            <w:sz w:val="24"/>
            <w:szCs w:val="24"/>
            <w:u w:val="single"/>
            <w:rtl w:val="0"/>
          </w:rPr>
          <w:t xml:space="preserve">https://lyceum.technology/magazine/multi-model-serving-single-gpu-vllm/</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Multi-LoRA Serving: How to Run Hundreds of AI Tenants on a Single GPU | by Louis Philip, </w:t>
      </w:r>
      <w:hyperlink r:id="rId69">
        <w:r w:rsidDel="00000000" w:rsidR="00000000" w:rsidRPr="00000000">
          <w:rPr>
            <w:rFonts w:ascii="Google Sans" w:cs="Google Sans" w:eastAsia="Google Sans" w:hAnsi="Google Sans"/>
            <w:color w:val="0000ee"/>
            <w:sz w:val="24"/>
            <w:szCs w:val="24"/>
            <w:u w:val="single"/>
            <w:rtl w:val="0"/>
          </w:rPr>
          <w:t xml:space="preserve">https://medium.com/@louisphilip/multi-lora-serving-how-to-run-hundreds-of-ai-tenants-on-a-single-gpu-07143f1e36f1</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vs TensorRT-LLM] #10 Serving Multiple LoRAs at Once - SqueezeBits, </w:t>
      </w:r>
      <w:hyperlink r:id="rId70">
        <w:r w:rsidDel="00000000" w:rsidR="00000000" w:rsidRPr="00000000">
          <w:rPr>
            <w:rFonts w:ascii="Google Sans" w:cs="Google Sans" w:eastAsia="Google Sans" w:hAnsi="Google Sans"/>
            <w:color w:val="0000ee"/>
            <w:sz w:val="24"/>
            <w:szCs w:val="24"/>
            <w:u w:val="single"/>
            <w:rtl w:val="0"/>
          </w:rPr>
          <w:t xml:space="preserve">https://blog.squeezebits.com/37065</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towards collaborative AI frameworks - Digital Regulation Platform, </w:t>
      </w:r>
      <w:hyperlink r:id="rId71">
        <w:r w:rsidDel="00000000" w:rsidR="00000000" w:rsidRPr="00000000">
          <w:rPr>
            <w:rFonts w:ascii="Google Sans" w:cs="Google Sans" w:eastAsia="Google Sans" w:hAnsi="Google Sans"/>
            <w:color w:val="0000ee"/>
            <w:sz w:val="24"/>
            <w:szCs w:val="24"/>
            <w:u w:val="single"/>
            <w:rtl w:val="0"/>
          </w:rPr>
          <w:t xml:space="preserve">https://digitalregulation.org/a-guide-towards-collaborative-ai-frameworks/</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AI Governance Framework for Generative - AI Verify Foundation, </w:t>
      </w:r>
      <w:hyperlink r:id="rId72">
        <w:r w:rsidDel="00000000" w:rsidR="00000000" w:rsidRPr="00000000">
          <w:rPr>
            <w:rFonts w:ascii="Google Sans" w:cs="Google Sans" w:eastAsia="Google Sans" w:hAnsi="Google Sans"/>
            <w:color w:val="0000ee"/>
            <w:sz w:val="24"/>
            <w:szCs w:val="24"/>
            <w:u w:val="single"/>
            <w:rtl w:val="0"/>
          </w:rPr>
          <w:t xml:space="preserve">https://aiverifyfoundation.sg/wp-content/uploads/2024/05/Model-AI-Governance-Framework-for-Generative-AI-May-2024-1-1.pdf</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 launches Gen AI and AI Governance Playbook for Digital FOSS - IMDA, </w:t>
      </w:r>
      <w:hyperlink r:id="rId73">
        <w:r w:rsidDel="00000000" w:rsidR="00000000" w:rsidRPr="00000000">
          <w:rPr>
            <w:rFonts w:ascii="Google Sans" w:cs="Google Sans" w:eastAsia="Google Sans" w:hAnsi="Google Sans"/>
            <w:color w:val="0000ee"/>
            <w:sz w:val="24"/>
            <w:szCs w:val="24"/>
            <w:u w:val="single"/>
            <w:rtl w:val="0"/>
          </w:rPr>
          <w:t xml:space="preserve">https://www.imda.gov.sg/resources/press-releases-factsheets-and-speeches/factsheets/2024/gen-ai-and-digital-foss-ai-governance-playbook</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SINGAPORE - International Science Council, </w:t>
      </w:r>
      <w:hyperlink r:id="rId74">
        <w:r w:rsidDel="00000000" w:rsidR="00000000" w:rsidRPr="00000000">
          <w:rPr>
            <w:rFonts w:ascii="Google Sans" w:cs="Google Sans" w:eastAsia="Google Sans" w:hAnsi="Google Sans"/>
            <w:color w:val="0000ee"/>
            <w:sz w:val="24"/>
            <w:szCs w:val="24"/>
            <w:u w:val="single"/>
            <w:rtl w:val="0"/>
          </w:rPr>
          <w:t xml:space="preserve">https://council.science/wp-content/uploads/2026/02/Singapore-AI.pdf</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Governing intelligence: Singapore's evolving AI governance framework,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https://www.researchgate.net/publication/388106896_Governing_intelligence_Singapore's_evolving_AI_governance_framework</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Singapore AI Governance — Model Framework + AI Verify - Zertia, </w:t>
      </w:r>
      <w:hyperlink r:id="rId76">
        <w:r w:rsidDel="00000000" w:rsidR="00000000" w:rsidRPr="00000000">
          <w:rPr>
            <w:rFonts w:ascii="Google Sans" w:cs="Google Sans" w:eastAsia="Google Sans" w:hAnsi="Google Sans"/>
            <w:color w:val="0000ee"/>
            <w:sz w:val="24"/>
            <w:szCs w:val="24"/>
            <w:u w:val="single"/>
            <w:rtl w:val="0"/>
          </w:rPr>
          <w:t xml:space="preserve">https://zertia.ai/resources/regulatory-frameworks/references/singapore-ai-governance/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l.cam.ac.uk/~ey204/teaching/ACS/R244_2024_2025/papers/SO-LORA_ARXIV_2024.pdf" TargetMode="External"/><Relationship Id="rId42" Type="http://schemas.openxmlformats.org/officeDocument/2006/relationships/hyperlink" Target="https://docs.ray.io/en/latest/serve/llm/user-guides/multi-lora.html" TargetMode="External"/><Relationship Id="rId41" Type="http://schemas.openxmlformats.org/officeDocument/2006/relationships/hyperlink" Target="https://aws.amazon.com/blogs/machine-learning/efficient-and-cost-effective-multi-tenant-lora-serving-with-amazon-sagemaker/" TargetMode="External"/><Relationship Id="rId44" Type="http://schemas.openxmlformats.org/officeDocument/2006/relationships/hyperlink" Target="https://aiunderstanding.org/tr/learn/mimi-streaming-audio-codec" TargetMode="External"/><Relationship Id="rId43" Type="http://schemas.openxmlformats.org/officeDocument/2006/relationships/hyperlink" Target="https://arxiv.org/html/2602.11072v2" TargetMode="External"/><Relationship Id="rId46" Type="http://schemas.openxmlformats.org/officeDocument/2006/relationships/hyperlink" Target="https://www.scribd.com/document/999870959/2602-11072v1" TargetMode="External"/><Relationship Id="rId45" Type="http://schemas.openxmlformats.org/officeDocument/2006/relationships/hyperlink" Target="https://huggingface.co/kyutai/mim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arxiv.org/abs/2502.03382" TargetMode="External"/><Relationship Id="rId47" Type="http://schemas.openxmlformats.org/officeDocument/2006/relationships/hyperlink" Target="https://icml.cc/virtual/2025/poster/44512" TargetMode="External"/><Relationship Id="rId49" Type="http://schemas.openxmlformats.org/officeDocument/2006/relationships/hyperlink" Target="https://aclanthology.org/2026.iwslt-1.13.pdf" TargetMode="Externa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png"/><Relationship Id="rId8" Type="http://schemas.openxmlformats.org/officeDocument/2006/relationships/image" Target="media/image9.png"/><Relationship Id="rId73" Type="http://schemas.openxmlformats.org/officeDocument/2006/relationships/hyperlink" Target="https://www.imda.gov.sg/resources/press-releases-factsheets-and-speeches/factsheets/2024/gen-ai-and-digital-foss-ai-governance-playbook" TargetMode="External"/><Relationship Id="rId72" Type="http://schemas.openxmlformats.org/officeDocument/2006/relationships/hyperlink" Target="https://aiverifyfoundation.sg/wp-content/uploads/2024/05/Model-AI-Governance-Framework-for-Generative-AI-May-2024-1-1.pdf" TargetMode="External"/><Relationship Id="rId31" Type="http://schemas.openxmlformats.org/officeDocument/2006/relationships/image" Target="media/image31.png"/><Relationship Id="rId75" Type="http://schemas.openxmlformats.org/officeDocument/2006/relationships/hyperlink" Target="https://www.researchgate.net/publication/388106896_Governing_intelligence_Singapore's_evolving_AI_governance_framework" TargetMode="External"/><Relationship Id="rId30" Type="http://schemas.openxmlformats.org/officeDocument/2006/relationships/image" Target="media/image30.png"/><Relationship Id="rId74" Type="http://schemas.openxmlformats.org/officeDocument/2006/relationships/hyperlink" Target="https://council.science/wp-content/uploads/2026/02/Singapore-AI.pdf" TargetMode="External"/><Relationship Id="rId33" Type="http://schemas.openxmlformats.org/officeDocument/2006/relationships/image" Target="media/image4.png"/><Relationship Id="rId32" Type="http://schemas.openxmlformats.org/officeDocument/2006/relationships/image" Target="media/image5.png"/><Relationship Id="rId76" Type="http://schemas.openxmlformats.org/officeDocument/2006/relationships/hyperlink" Target="https://zertia.ai/resources/regulatory-frameworks/references/singapore-ai-governance/" TargetMode="External"/><Relationship Id="rId35" Type="http://schemas.openxmlformats.org/officeDocument/2006/relationships/image" Target="media/image26.png"/><Relationship Id="rId34" Type="http://schemas.openxmlformats.org/officeDocument/2006/relationships/image" Target="media/image16.png"/><Relationship Id="rId71" Type="http://schemas.openxmlformats.org/officeDocument/2006/relationships/hyperlink" Target="https://digitalregulation.org/a-guide-towards-collaborative-ai-frameworks/" TargetMode="External"/><Relationship Id="rId70" Type="http://schemas.openxmlformats.org/officeDocument/2006/relationships/hyperlink" Target="https://blog.squeezebits.com/37065" TargetMode="External"/><Relationship Id="rId37" Type="http://schemas.openxmlformats.org/officeDocument/2006/relationships/hyperlink" Target="https://github.com/abdouaziz/speech-to-speech-translation" TargetMode="External"/><Relationship Id="rId36" Type="http://schemas.openxmlformats.org/officeDocument/2006/relationships/image" Target="media/image15.png"/><Relationship Id="rId39" Type="http://schemas.openxmlformats.org/officeDocument/2006/relationships/hyperlink" Target="https://hibiki-s2st.github.io/" TargetMode="External"/><Relationship Id="rId38" Type="http://schemas.openxmlformats.org/officeDocument/2006/relationships/hyperlink" Target="https://kyutai.org/blog/2026-02-12-hibiki-zero/" TargetMode="External"/><Relationship Id="rId62" Type="http://schemas.openxmlformats.org/officeDocument/2006/relationships/hyperlink" Target="https://huggingface.co/docs/trl/en/paper_index" TargetMode="External"/><Relationship Id="rId61" Type="http://schemas.openxmlformats.org/officeDocument/2006/relationships/hyperlink" Target="https://icml.cc/virtual/2026/events/oral" TargetMode="External"/><Relationship Id="rId20" Type="http://schemas.openxmlformats.org/officeDocument/2006/relationships/image" Target="media/image24.png"/><Relationship Id="rId64" Type="http://schemas.openxmlformats.org/officeDocument/2006/relationships/hyperlink" Target="https://medium.com/@danushidk507/trl-transformer-reinforcement-learning-library-2-59186d66ac0b" TargetMode="External"/><Relationship Id="rId63" Type="http://schemas.openxmlformats.org/officeDocument/2006/relationships/hyperlink" Target="https://huggingface.co/docs/trl/index" TargetMode="External"/><Relationship Id="rId22" Type="http://schemas.openxmlformats.org/officeDocument/2006/relationships/image" Target="media/image14.png"/><Relationship Id="rId66" Type="http://schemas.openxmlformats.org/officeDocument/2006/relationships/hyperlink" Target="https://vast.ai/article/efficiently-serving-multiple-ml-models-with-lorax-vllm-vast-ai" TargetMode="External"/><Relationship Id="rId21" Type="http://schemas.openxmlformats.org/officeDocument/2006/relationships/image" Target="media/image29.png"/><Relationship Id="rId65" Type="http://schemas.openxmlformats.org/officeDocument/2006/relationships/hyperlink" Target="https://huggingface.co/docs/trl/en/grpo_trainer" TargetMode="External"/><Relationship Id="rId24" Type="http://schemas.openxmlformats.org/officeDocument/2006/relationships/image" Target="media/image6.png"/><Relationship Id="rId68" Type="http://schemas.openxmlformats.org/officeDocument/2006/relationships/hyperlink" Target="https://lyceum.technology/magazine/multi-model-serving-single-gpu-vllm/" TargetMode="External"/><Relationship Id="rId23" Type="http://schemas.openxmlformats.org/officeDocument/2006/relationships/image" Target="media/image17.png"/><Relationship Id="rId67" Type="http://schemas.openxmlformats.org/officeDocument/2006/relationships/hyperlink" Target="https://www.cse.ust.hk/~weiwa/papers/elora-hpca26.pdf" TargetMode="External"/><Relationship Id="rId60" Type="http://schemas.openxmlformats.org/officeDocument/2006/relationships/hyperlink" Target="https://github.com/huggingface/trl" TargetMode="External"/><Relationship Id="rId26" Type="http://schemas.openxmlformats.org/officeDocument/2006/relationships/image" Target="media/image13.png"/><Relationship Id="rId25" Type="http://schemas.openxmlformats.org/officeDocument/2006/relationships/image" Target="media/image3.png"/><Relationship Id="rId69" Type="http://schemas.openxmlformats.org/officeDocument/2006/relationships/hyperlink" Target="https://medium.com/@louisphilip/multi-lora-serving-how-to-run-hundreds-of-ai-tenants-on-a-single-gpu-07143f1e36f1" TargetMode="External"/><Relationship Id="rId28" Type="http://schemas.openxmlformats.org/officeDocument/2006/relationships/image" Target="media/image18.png"/><Relationship Id="rId27" Type="http://schemas.openxmlformats.org/officeDocument/2006/relationships/image" Target="media/image8.png"/><Relationship Id="rId29" Type="http://schemas.openxmlformats.org/officeDocument/2006/relationships/image" Target="media/image10.png"/><Relationship Id="rId51" Type="http://schemas.openxmlformats.org/officeDocument/2006/relationships/hyperlink" Target="https://icml.cc/virtual/2026/oral/71089" TargetMode="External"/><Relationship Id="rId50" Type="http://schemas.openxmlformats.org/officeDocument/2006/relationships/hyperlink" Target="https://arxiv.org/abs/2602.11072" TargetMode="External"/><Relationship Id="rId53" Type="http://schemas.openxmlformats.org/officeDocument/2006/relationships/hyperlink" Target="https://arxiv.org/html/2606.03948v1" TargetMode="External"/><Relationship Id="rId52" Type="http://schemas.openxmlformats.org/officeDocument/2006/relationships/hyperlink" Target="https://proceedings.mlr.press/v267/labiausse25a.html" TargetMode="External"/><Relationship Id="rId11" Type="http://schemas.openxmlformats.org/officeDocument/2006/relationships/image" Target="media/image11.png"/><Relationship Id="rId55" Type="http://schemas.openxmlformats.org/officeDocument/2006/relationships/hyperlink" Target="https://huggingface.co/spaces/kyutai/hibiki-zero-samples" TargetMode="External"/><Relationship Id="rId10" Type="http://schemas.openxmlformats.org/officeDocument/2006/relationships/image" Target="media/image2.png"/><Relationship Id="rId54" Type="http://schemas.openxmlformats.org/officeDocument/2006/relationships/hyperlink" Target="https://arxiv.org/html/2602.11072v1" TargetMode="External"/><Relationship Id="rId13" Type="http://schemas.openxmlformats.org/officeDocument/2006/relationships/image" Target="media/image7.png"/><Relationship Id="rId57" Type="http://schemas.openxmlformats.org/officeDocument/2006/relationships/hyperlink" Target="https://github.com/kyutai-labs/hibiki" TargetMode="External"/><Relationship Id="rId12" Type="http://schemas.openxmlformats.org/officeDocument/2006/relationships/image" Target="media/image12.png"/><Relationship Id="rId56" Type="http://schemas.openxmlformats.org/officeDocument/2006/relationships/hyperlink" Target="https://openreview.net/forum?id=5o0ZvYzh6B" TargetMode="External"/><Relationship Id="rId15" Type="http://schemas.openxmlformats.org/officeDocument/2006/relationships/image" Target="media/image19.png"/><Relationship Id="rId59" Type="http://schemas.openxmlformats.org/officeDocument/2006/relationships/hyperlink" Target="https://huggingface.co/docs/trl/v0.21.0/grpo_trainer" TargetMode="External"/><Relationship Id="rId14" Type="http://schemas.openxmlformats.org/officeDocument/2006/relationships/image" Target="media/image28.png"/><Relationship Id="rId58" Type="http://schemas.openxmlformats.org/officeDocument/2006/relationships/hyperlink" Target="https://huggingface.co/docs/trl/en/index" TargetMode="External"/><Relationship Id="rId17" Type="http://schemas.openxmlformats.org/officeDocument/2006/relationships/image" Target="media/image27.png"/><Relationship Id="rId16" Type="http://schemas.openxmlformats.org/officeDocument/2006/relationships/image" Target="media/image25.png"/><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