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B2545" w:val="clear"/>
            <w:tcMar>
              <w:top w:type="dxa" w:w="260"/>
              <w:left w:type="dxa" w:w="360"/>
              <w:bottom w:type="dxa" w:w="260"/>
              <w:right w:type="dxa" w:w="360"/>
            </w:tcMar>
          </w:tcPr>
          <w:p>
            <w:pPr>
              <w:spacing w:after="60" w:before="0"/>
            </w:pPr>
            <w:r>
              <w:rPr>
                <w:rFonts w:ascii="Arial" w:cs="Arial" w:eastAsia="Arial" w:hAnsi="Arial"/>
                <w:b/>
                <w:bCs/>
                <w:color w:val="FFFFFF"/>
                <w:spacing w:val="120"/>
                <w:sz w:val="40"/>
                <w:szCs w:val="40"/>
              </w:rPr>
              <w:t xml:space="preserve">ENGINE AGENT</w:t>
            </w:r>
          </w:p>
          <w:p>
            <w:pPr>
              <w:spacing w:after="60" w:before="0"/>
            </w:pPr>
            <w:r>
              <w:rPr>
                <w:rFonts w:ascii="Arial" w:cs="Arial" w:eastAsia="Arial" w:hAnsi="Arial"/>
                <w:color w:val="93C5FD"/>
                <w:sz w:val="26"/>
                <w:szCs w:val="26"/>
              </w:rPr>
              <w:t xml:space="preserve">Enterprise Platform Overview</w:t>
            </w:r>
          </w:p>
          <w:p>
            <w:pPr>
              <w:spacing w:after="0" w:before="0"/>
            </w:pPr>
            <w:r>
              <w:rPr>
                <w:rFonts w:ascii="Arial" w:cs="Arial" w:eastAsia="Arial" w:hAnsi="Arial"/>
                <w:color w:val="93C5FD"/>
                <w:sz w:val="18"/>
                <w:szCs w:val="18"/>
              </w:rPr>
              <w:t xml:space="preserve">Darren Callaghan  ·  Engine Partnerships &amp; BD  ·  </w:t>
            </w:r>
            <w:r>
              <w:rPr>
                <w:rFonts w:ascii="Arial" w:cs="Arial" w:eastAsia="Arial" w:hAnsi="Arial"/>
                <w:color w:val="93C5FD"/>
                <w:sz w:val="18"/>
                <w:szCs w:val="18"/>
              </w:rPr>
              <w:t xml:space="preserve">May 2026</w:t>
            </w:r>
          </w:p>
        </w:tc>
      </w:tr>
    </w:tbl>
    <w:p>
      <w:pPr>
        <w:spacing w:after="0" w:before="0" w:line="480"/>
      </w:pPr>
      <w:r>
        <w:t xml:space="preserve"/>
      </w:r>
    </w:p>
    <w:p>
      <w:pPr>
        <w:spacing w:after="60" w:before="220"/>
      </w:pPr>
      <w:r>
        <w:rPr>
          <w:rFonts w:ascii="Arial" w:cs="Arial" w:eastAsia="Arial" w:hAnsi="Arial"/>
          <w:b/>
          <w:bCs/>
          <w:color w:val="1A56DB"/>
          <w:spacing w:val="80"/>
          <w:sz w:val="16"/>
          <w:szCs w:val="16"/>
        </w:rPr>
        <w:t xml:space="preserve">OVERVIEW</w:t>
      </w:r>
    </w:p>
    <w:p>
      <w:pPr>
        <w:pBdr>
          <w:bottom w:val="single" w:color="1A56DB" w:sz="12" w:space="1"/>
        </w:pBdr>
        <w:spacing w:after="80" w:before="0"/>
      </w:pPr>
      <w:r>
        <w:t xml:space="preserve"/>
      </w:r>
    </w:p>
    <w:p>
      <w:pPr>
        <w:spacing w:after="100" w:before="0"/>
      </w:pPr>
      <w:r>
        <w:rPr>
          <w:rFonts w:ascii="Arial" w:cs="Arial" w:eastAsia="Arial" w:hAnsi="Arial"/>
          <w:color w:val="374151"/>
          <w:sz w:val="20"/>
          <w:szCs w:val="20"/>
        </w:rPr>
        <w:t xml:space="preserve">Engine Agent is a working AI outreach platform built and proven on the SMERF partnerships desk. It handles the full prospecting loop — finding new organizations each morning, researching them, locating contacts, drafting personalized emails in the rep's voice, tracking replies, and learning from edits over time. The architecture is not SMERF-specific. It is a configurable pipeline that runs any outreach motion. This document outlines what it would take to roll it out across Engine's full sales org and what that platform would look like at 200 reps.</w:t>
      </w:r>
    </w:p>
    <w:p>
      <w:pPr>
        <w:spacing w:after="0" w:before="0" w:line="480"/>
      </w:pPr>
      <w:r>
        <w:t xml:space="preserve"/>
      </w:r>
    </w:p>
    <w:p>
      <w:pPr>
        <w:spacing w:after="60" w:before="220"/>
      </w:pPr>
      <w:r>
        <w:rPr>
          <w:rFonts w:ascii="Arial" w:cs="Arial" w:eastAsia="Arial" w:hAnsi="Arial"/>
          <w:b/>
          <w:bCs/>
          <w:color w:val="1A56DB"/>
          <w:spacing w:val="80"/>
          <w:sz w:val="16"/>
          <w:szCs w:val="16"/>
        </w:rPr>
        <w:t xml:space="preserve">THE PROBLEM</w:t>
      </w:r>
    </w:p>
    <w:p>
      <w:pPr>
        <w:pBdr>
          <w:bottom w:val="single" w:color="1A56DB" w:sz="12" w:space="1"/>
        </w:pBd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10"/>
        <w:gridCol w:w="180"/>
        <w:gridCol w:w="4410"/>
      </w:tblGrid>
      <w:tr>
        <w:tc>
          <w:tcPr>
            <w:tcW w:type="dxa" w:w="4410"/>
            <w:tcBorders>
              <w:top w:val="none" w:color="FFFFFF" w:sz="0"/>
              <w:left w:val="none" w:color="FFFFFF" w:sz="0"/>
              <w:bottom w:val="none" w:color="FFFFFF" w:sz="0"/>
              <w:right w:val="none" w:color="FFFFFF" w:sz="0"/>
            </w:tcBorders>
            <w:tcMar>
              <w:top w:type="dxa" w:w="0"/>
              <w:left w:type="dxa" w:w="0"/>
              <w:bottom w:type="dxa" w:w="0"/>
              <w:right w:type="dxa" w:w="180"/>
            </w:tcMar>
          </w:tcPr>
          <w:p>
            <w:pPr>
              <w:spacing w:after="80" w:before="200"/>
            </w:pPr>
            <w:r>
              <w:rPr>
                <w:rFonts w:ascii="Arial" w:cs="Arial" w:eastAsia="Arial" w:hAnsi="Arial"/>
                <w:b/>
                <w:bCs/>
                <w:color w:val="0B2545"/>
                <w:sz w:val="24"/>
                <w:szCs w:val="24"/>
              </w:rPr>
              <w:t xml:space="preserve">What reps do today</w:t>
            </w:r>
          </w:p>
          <w:p>
            <w:pPr>
              <w:pStyle w:val="ListParagraph"/>
              <w:numPr>
                <w:ilvl w:val="0"/>
                <w:numId w:val="2"/>
              </w:numPr>
              <w:spacing w:after="40" w:before="40"/>
            </w:pPr>
            <w:r>
              <w:rPr>
                <w:rFonts w:ascii="Arial" w:cs="Arial" w:eastAsia="Arial" w:hAnsi="Arial"/>
                <w:color w:val="374151"/>
                <w:sz w:val="20"/>
                <w:szCs w:val="20"/>
              </w:rPr>
              <w:t xml:space="preserve">Manually research accounts in Salesforce, LinkedIn, and the web</w:t>
            </w:r>
          </w:p>
          <w:p>
            <w:pPr>
              <w:pStyle w:val="ListParagraph"/>
              <w:numPr>
                <w:ilvl w:val="0"/>
                <w:numId w:val="2"/>
              </w:numPr>
              <w:spacing w:after="40" w:before="40"/>
            </w:pPr>
            <w:r>
              <w:rPr>
                <w:rFonts w:ascii="Arial" w:cs="Arial" w:eastAsia="Arial" w:hAnsi="Arial"/>
                <w:color w:val="374151"/>
                <w:sz w:val="20"/>
                <w:szCs w:val="20"/>
              </w:rPr>
              <w:t xml:space="preserve">Write cold emails from scratch with no feedback loop on what works</w:t>
            </w:r>
          </w:p>
          <w:p>
            <w:pPr>
              <w:pStyle w:val="ListParagraph"/>
              <w:numPr>
                <w:ilvl w:val="0"/>
                <w:numId w:val="2"/>
              </w:numPr>
              <w:spacing w:after="40" w:before="40"/>
            </w:pPr>
            <w:r>
              <w:rPr>
                <w:rFonts w:ascii="Arial" w:cs="Arial" w:eastAsia="Arial" w:hAnsi="Arial"/>
                <w:color w:val="374151"/>
                <w:sz w:val="20"/>
                <w:szCs w:val="20"/>
              </w:rPr>
              <w:t xml:space="preserve">Miss dormant accounts with no activity trigger to surface them</w:t>
            </w:r>
          </w:p>
          <w:p>
            <w:pPr>
              <w:pStyle w:val="ListParagraph"/>
              <w:numPr>
                <w:ilvl w:val="0"/>
                <w:numId w:val="2"/>
              </w:numPr>
              <w:spacing w:after="40" w:before="40"/>
            </w:pPr>
            <w:r>
              <w:rPr>
                <w:rFonts w:ascii="Arial" w:cs="Arial" w:eastAsia="Arial" w:hAnsi="Arial"/>
                <w:color w:val="374151"/>
                <w:sz w:val="20"/>
                <w:szCs w:val="20"/>
              </w:rPr>
              <w:t xml:space="preserve">Duplicate outreach — two reps hit the same org with no visibility</w:t>
            </w:r>
          </w:p>
          <w:p>
            <w:pPr>
              <w:pStyle w:val="ListParagraph"/>
              <w:numPr>
                <w:ilvl w:val="0"/>
                <w:numId w:val="2"/>
              </w:numPr>
              <w:spacing w:after="40" w:before="40"/>
            </w:pPr>
            <w:r>
              <w:rPr>
                <w:rFonts w:ascii="Arial" w:cs="Arial" w:eastAsia="Arial" w:hAnsi="Arial"/>
                <w:color w:val="374151"/>
                <w:sz w:val="20"/>
                <w:szCs w:val="20"/>
              </w:rPr>
              <w:t xml:space="preserve">No shared learning across the team on what angles, subject lines, or asks convert</w:t>
            </w:r>
          </w:p>
        </w:tc>
        <w:tc>
          <w:tcPr>
            <w:tcW w:type="dxa" w:w="180"/>
            <w:tcBorders>
              <w:top w:val="none" w:color="FFFFFF" w:sz="0"/>
              <w:left w:val="none" w:color="FFFFFF" w:sz="0"/>
              <w:bottom w:val="none" w:color="FFFFFF" w:sz="0"/>
              <w:right w:val="none" w:color="FFFFFF" w:sz="0"/>
            </w:tcBorders>
            <w:shd w:fill="FFFFFF" w:val="clear"/>
          </w:tcPr>
          <w:p/>
        </w:tc>
        <w:tc>
          <w:tcPr>
            <w:tcW w:type="dxa" w:w="4410"/>
            <w:tcBorders>
              <w:top w:val="none" w:color="FFFFFF" w:sz="0"/>
              <w:left w:val="none" w:color="FFFFFF" w:sz="0"/>
              <w:bottom w:val="none" w:color="FFFFFF" w:sz="0"/>
              <w:right w:val="none" w:color="FFFFFF" w:sz="0"/>
            </w:tcBorders>
            <w:tcMar>
              <w:top w:type="dxa" w:w="0"/>
              <w:left w:type="dxa" w:w="180"/>
              <w:bottom w:type="dxa" w:w="0"/>
              <w:right w:type="dxa" w:w="0"/>
            </w:tcMar>
          </w:tcPr>
          <w:p>
            <w:pPr>
              <w:spacing w:after="80" w:before="200"/>
            </w:pPr>
            <w:r>
              <w:rPr>
                <w:rFonts w:ascii="Arial" w:cs="Arial" w:eastAsia="Arial" w:hAnsi="Arial"/>
                <w:b/>
                <w:bCs/>
                <w:color w:val="0B2545"/>
                <w:sz w:val="24"/>
                <w:szCs w:val="24"/>
              </w:rPr>
              <w:t xml:space="preserve">What that costs</w:t>
            </w:r>
          </w:p>
          <w:p>
            <w:pPr>
              <w:pStyle w:val="ListParagraph"/>
              <w:numPr>
                <w:ilvl w:val="0"/>
                <w:numId w:val="2"/>
              </w:numPr>
              <w:spacing w:after="40" w:before="40"/>
            </w:pPr>
            <w:r>
              <w:rPr>
                <w:rFonts w:ascii="Arial" w:cs="Arial" w:eastAsia="Arial" w:hAnsi="Arial"/>
                <w:color w:val="374151"/>
                <w:sz w:val="20"/>
                <w:szCs w:val="20"/>
              </w:rPr>
              <w:t xml:space="preserve">60–70% of selling time spent on research and writing, not conversations</w:t>
            </w:r>
          </w:p>
          <w:p>
            <w:pPr>
              <w:pStyle w:val="ListParagraph"/>
              <w:numPr>
                <w:ilvl w:val="0"/>
                <w:numId w:val="2"/>
              </w:numPr>
              <w:spacing w:after="40" w:before="40"/>
            </w:pPr>
            <w:r>
              <w:rPr>
                <w:rFonts w:ascii="Arial" w:cs="Arial" w:eastAsia="Arial" w:hAnsi="Arial"/>
                <w:color w:val="374151"/>
                <w:sz w:val="20"/>
                <w:szCs w:val="20"/>
              </w:rPr>
              <w:t xml:space="preserve">Dormant accounts in Salesforce represent unworked pipeline quietly expiring</w:t>
            </w:r>
          </w:p>
          <w:p>
            <w:pPr>
              <w:pStyle w:val="ListParagraph"/>
              <w:numPr>
                <w:ilvl w:val="0"/>
                <w:numId w:val="2"/>
              </w:numPr>
              <w:spacing w:after="40" w:before="40"/>
            </w:pPr>
            <w:r>
              <w:rPr>
                <w:rFonts w:ascii="Arial" w:cs="Arial" w:eastAsia="Arial" w:hAnsi="Arial"/>
                <w:color w:val="374151"/>
                <w:sz w:val="20"/>
                <w:szCs w:val="20"/>
              </w:rPr>
              <w:t xml:space="preserve">Account conflicts damage relationships and create internal attribution disputes</w:t>
            </w:r>
          </w:p>
          <w:p>
            <w:pPr>
              <w:pStyle w:val="ListParagraph"/>
              <w:numPr>
                <w:ilvl w:val="0"/>
                <w:numId w:val="2"/>
              </w:numPr>
              <w:spacing w:after="40" w:before="40"/>
            </w:pPr>
            <w:r>
              <w:rPr>
                <w:rFonts w:ascii="Arial" w:cs="Arial" w:eastAsia="Arial" w:hAnsi="Arial"/>
                <w:color w:val="374151"/>
                <w:sz w:val="20"/>
                <w:szCs w:val="20"/>
              </w:rPr>
              <w:t xml:space="preserve">New reps take months to find their voice and hit consistent outreach volume</w:t>
            </w:r>
          </w:p>
          <w:p>
            <w:pPr>
              <w:pStyle w:val="ListParagraph"/>
              <w:numPr>
                <w:ilvl w:val="0"/>
                <w:numId w:val="2"/>
              </w:numPr>
              <w:spacing w:after="40" w:before="40"/>
            </w:pPr>
            <w:r>
              <w:rPr>
                <w:rFonts w:ascii="Arial" w:cs="Arial" w:eastAsia="Arial" w:hAnsi="Arial"/>
                <w:color w:val="374151"/>
                <w:sz w:val="20"/>
                <w:szCs w:val="20"/>
              </w:rPr>
              <w:t xml:space="preserve">No compound improvement — the team gets no smarter quarter over quarter</w:t>
            </w:r>
          </w:p>
        </w:tc>
      </w:tr>
    </w:tbl>
    <w:p>
      <w:pPr>
        <w:spacing w:after="0" w:before="0" w:line="640"/>
      </w:pPr>
      <w:r>
        <w:t xml:space="preserve"/>
      </w:r>
    </w:p>
    <w:p>
      <w:pPr>
        <w:spacing w:after="60" w:before="220"/>
      </w:pPr>
      <w:r>
        <w:rPr>
          <w:rFonts w:ascii="Arial" w:cs="Arial" w:eastAsia="Arial" w:hAnsi="Arial"/>
          <w:b/>
          <w:bCs/>
          <w:color w:val="1A56DB"/>
          <w:spacing w:val="80"/>
          <w:sz w:val="16"/>
          <w:szCs w:val="16"/>
        </w:rPr>
        <w:t xml:space="preserve">TWO DISTINCT OUTREACH MOTIONS</w:t>
      </w:r>
    </w:p>
    <w:p>
      <w:pPr>
        <w:pBdr>
          <w:bottom w:val="single" w:color="1A56DB" w:sz="12" w:space="1"/>
        </w:pBdr>
        <w:spacing w:after="80" w:before="0"/>
      </w:pPr>
      <w:r>
        <w:t xml:space="preserve"/>
      </w:r>
    </w:p>
    <w:p>
      <w:pPr>
        <w:spacing w:after="100" w:before="0"/>
      </w:pPr>
      <w:r>
        <w:rPr>
          <w:rFonts w:ascii="Arial" w:cs="Arial" w:eastAsia="Arial" w:hAnsi="Arial"/>
          <w:color w:val="374151"/>
          <w:sz w:val="20"/>
          <w:szCs w:val="20"/>
        </w:rPr>
        <w:t xml:space="preserve">Engine runs two fundamentally different go-to-market motions. The platform serves both, but discovery logic, research focus, value proposition, and email framing must be configured separately per rep. Mixing the two produces the wrong pitch to the wrong buyer.</w:t>
      </w:r>
    </w:p>
    <w:p>
      <w:pPr>
        <w:spacing w:after="0" w:before="0" w:line="4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60"/>
        <w:gridCol w:w="360"/>
        <w:gridCol w:w="4860"/>
      </w:tblGrid>
      <w:tr>
        <w:tc>
          <w:tcPr>
            <w:tcW w:type="dxa" w:w="441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tcPr>
          <w:p>
            <w:pPr>
              <w:spacing w:after="80" w:before="0"/>
            </w:pPr>
            <w:r>
              <w:rPr>
                <w:rFonts w:ascii="Arial" w:cs="Arial" w:eastAsia="Arial" w:hAnsi="Arial"/>
                <w:b/>
                <w:bCs/>
                <w:color w:val="1A56DB"/>
                <w:sz w:val="20"/>
                <w:szCs w:val="20"/>
              </w:rPr>
              <w:t xml:space="preserve">Partnership Motion  —  Darren's desk</w:t>
            </w:r>
          </w:p>
          <w:p>
            <w:pPr>
              <w:spacing w:after="60" w:before="0"/>
            </w:pPr>
            <w:r>
              <w:rPr>
                <w:rFonts w:ascii="Arial" w:cs="Arial" w:eastAsia="Arial" w:hAnsi="Arial"/>
                <w:color w:val="374151"/>
                <w:sz w:val="19"/>
                <w:szCs w:val="19"/>
              </w:rPr>
              <w:t xml:space="preserve">Target: SMERF orgs with paying members who travel</w:t>
            </w:r>
          </w:p>
          <w:p>
            <w:pPr>
              <w:spacing w:after="60" w:before="0"/>
            </w:pPr>
            <w:r>
              <w:rPr>
                <w:rFonts w:ascii="Arial" w:cs="Arial" w:eastAsia="Arial" w:hAnsi="Arial"/>
                <w:color w:val="374151"/>
                <w:sz w:val="19"/>
                <w:szCs w:val="19"/>
              </w:rPr>
              <w:t xml:space="preserve">ICP: Fixed — national/regional orgs with conventions,</w:t>
            </w:r>
          </w:p>
          <w:p>
            <w:pPr>
              <w:spacing w:after="60" w:before="0"/>
            </w:pPr>
            <w:r>
              <w:rPr>
                <w:rFonts w:ascii="Arial" w:cs="Arial" w:eastAsia="Arial" w:hAnsi="Arial"/>
                <w:color w:val="374151"/>
                <w:sz w:val="19"/>
                <w:szCs w:val="19"/>
              </w:rPr>
              <w:t xml:space="preserve">       chapter travel, or member programs</w:t>
            </w:r>
          </w:p>
          <w:p>
            <w:pPr>
              <w:spacing w:after="60" w:before="0"/>
            </w:pPr>
            <w:r>
              <w:rPr>
                <w:rFonts w:ascii="Arial" w:cs="Arial" w:eastAsia="Arial" w:hAnsi="Arial"/>
                <w:color w:val="374151"/>
                <w:sz w:val="19"/>
                <w:szCs w:val="19"/>
              </w:rPr>
              <w:t xml:space="preserve">Value prop: Preferred hotel rates for members +</w:t>
            </w:r>
          </w:p>
          <w:p>
            <w:pPr>
              <w:spacing w:after="60" w:before="0"/>
            </w:pPr>
            <w:r>
              <w:rPr>
                <w:rFonts w:ascii="Arial" w:cs="Arial" w:eastAsia="Arial" w:hAnsi="Arial"/>
                <w:color w:val="374151"/>
                <w:sz w:val="19"/>
                <w:szCs w:val="19"/>
              </w:rPr>
              <w:t xml:space="preserve">                   referral revenue back to the org</w:t>
            </w:r>
          </w:p>
          <w:p>
            <w:pPr>
              <w:spacing w:after="60" w:before="0"/>
            </w:pPr>
            <w:r>
              <w:rPr>
                <w:rFonts w:ascii="Arial" w:cs="Arial" w:eastAsia="Arial" w:hAnsi="Arial"/>
                <w:color w:val="374151"/>
                <w:sz w:val="19"/>
                <w:szCs w:val="19"/>
              </w:rPr>
              <w:t xml:space="preserve">Buyer: Executive Director, President, CEO</w:t>
            </w:r>
          </w:p>
          <w:p>
            <w:pPr>
              <w:spacing w:after="60" w:before="0"/>
            </w:pPr>
            <w:r>
              <w:rPr>
                <w:rFonts w:ascii="Arial" w:cs="Arial" w:eastAsia="Arial" w:hAnsi="Arial"/>
                <w:color w:val="374151"/>
                <w:sz w:val="19"/>
                <w:szCs w:val="19"/>
              </w:rPr>
              <w:t xml:space="preserve">Discovery: Category search across 7 SMERF sub-types,</w:t>
            </w:r>
          </w:p>
          <w:p>
            <w:pPr>
              <w:spacing w:after="60" w:before="0"/>
            </w:pPr>
            <w:r>
              <w:rPr>
                <w:rFonts w:ascii="Arial" w:cs="Arial" w:eastAsia="Arial" w:hAnsi="Arial"/>
                <w:color w:val="374151"/>
                <w:sz w:val="19"/>
                <w:szCs w:val="19"/>
              </w:rPr>
              <w:t xml:space="preserve">                  rotating daily by day of week</w:t>
            </w:r>
          </w:p>
          <w:p>
            <w:pPr>
              <w:spacing w:after="60" w:before="0"/>
            </w:pPr>
            <w:r>
              <w:rPr>
                <w:rFonts w:ascii="Arial" w:cs="Arial" w:eastAsia="Arial" w:hAnsi="Arial"/>
                <w:color w:val="374151"/>
                <w:sz w:val="19"/>
                <w:szCs w:val="19"/>
              </w:rPr>
              <w:t xml:space="preserve">Contact finding: Web search + org staff pages</w:t>
            </w:r>
          </w:p>
        </w:tc>
        <w:tc>
          <w:tcPr>
            <w:tcW w:type="dxa" w:w="360"/>
            <w:tcBorders>
              <w:top w:val="none" w:color="FFFFFF" w:sz="0"/>
              <w:left w:val="none" w:color="FFFFFF" w:sz="0"/>
              <w:bottom w:val="none" w:color="FFFFFF" w:sz="0"/>
              <w:right w:val="none" w:color="FFFFFF" w:sz="0"/>
            </w:tcBorders>
            <w:shd w:fill="FFFFFF" w:val="clear"/>
          </w:tcPr>
          <w:p/>
        </w:tc>
        <w:tc>
          <w:tcPr>
            <w:tcW w:type="dxa" w:w="441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tcPr>
          <w:p>
            <w:pPr>
              <w:spacing w:after="80" w:before="0"/>
            </w:pPr>
            <w:r>
              <w:rPr>
                <w:rFonts w:ascii="Arial" w:cs="Arial" w:eastAsia="Arial" w:hAnsi="Arial"/>
                <w:b/>
                <w:bCs/>
                <w:color w:val="0B2545"/>
                <w:sz w:val="20"/>
                <w:szCs w:val="20"/>
              </w:rPr>
              <w:t xml:space="preserve">Sales Motion  —  Core sales org</w:t>
            </w:r>
          </w:p>
          <w:p>
            <w:pPr>
              <w:spacing w:after="60" w:before="0"/>
            </w:pPr>
            <w:r>
              <w:rPr>
                <w:rFonts w:ascii="Arial" w:cs="Arial" w:eastAsia="Arial" w:hAnsi="Arial"/>
                <w:color w:val="374151"/>
                <w:sz w:val="19"/>
                <w:szCs w:val="19"/>
              </w:rPr>
              <w:t xml:space="preserve">Target: Any US company with meaningful travel spend</w:t>
            </w:r>
          </w:p>
          <w:p>
            <w:pPr>
              <w:spacing w:after="60" w:before="0"/>
            </w:pPr>
            <w:r>
              <w:rPr>
                <w:rFonts w:ascii="Arial" w:cs="Arial" w:eastAsia="Arial" w:hAnsi="Arial"/>
                <w:color w:val="374151"/>
                <w:sz w:val="19"/>
                <w:szCs w:val="19"/>
              </w:rPr>
              <w:t xml:space="preserve">ICP: Fluid — sweet spot is $100k+ annual travel,</w:t>
            </w:r>
          </w:p>
          <w:p>
            <w:pPr>
              <w:spacing w:after="60" w:before="0"/>
            </w:pPr>
            <w:r>
              <w:rPr>
                <w:rFonts w:ascii="Arial" w:cs="Arial" w:eastAsia="Arial" w:hAnsi="Arial"/>
                <w:color w:val="374151"/>
                <w:sz w:val="19"/>
                <w:szCs w:val="19"/>
              </w:rPr>
              <w:t xml:space="preserve">       any industry, any size</w:t>
            </w:r>
          </w:p>
          <w:p>
            <w:pPr>
              <w:spacing w:after="60" w:before="0"/>
            </w:pPr>
            <w:r>
              <w:rPr>
                <w:rFonts w:ascii="Arial" w:cs="Arial" w:eastAsia="Arial" w:hAnsi="Arial"/>
                <w:color w:val="374151"/>
                <w:sz w:val="19"/>
                <w:szCs w:val="19"/>
              </w:rPr>
              <w:t xml:space="preserve">Value prop: Centralized hotel booking, negotiated</w:t>
            </w:r>
          </w:p>
          <w:p>
            <w:pPr>
              <w:spacing w:after="60" w:before="0"/>
            </w:pPr>
            <w:r>
              <w:rPr>
                <w:rFonts w:ascii="Arial" w:cs="Arial" w:eastAsia="Arial" w:hAnsi="Arial"/>
                <w:color w:val="374151"/>
                <w:sz w:val="19"/>
                <w:szCs w:val="19"/>
              </w:rPr>
              <w:t xml:space="preserve">                   rates, spend visibility for the org</w:t>
            </w:r>
          </w:p>
          <w:p>
            <w:pPr>
              <w:spacing w:after="60" w:before="0"/>
            </w:pPr>
            <w:r>
              <w:rPr>
                <w:rFonts w:ascii="Arial" w:cs="Arial" w:eastAsia="Arial" w:hAnsi="Arial"/>
                <w:color w:val="374151"/>
                <w:sz w:val="19"/>
                <w:szCs w:val="19"/>
              </w:rPr>
              <w:t xml:space="preserve">Buyer: CFO, VP Operations, Office Manager</w:t>
            </w:r>
          </w:p>
          <w:p>
            <w:pPr>
              <w:spacing w:after="60" w:before="0"/>
            </w:pPr>
            <w:r>
              <w:rPr>
                <w:rFonts w:ascii="Arial" w:cs="Arial" w:eastAsia="Arial" w:hAnsi="Arial"/>
                <w:color w:val="374151"/>
                <w:sz w:val="19"/>
                <w:szCs w:val="19"/>
              </w:rPr>
              <w:t xml:space="preserve">Discovery: Travel-spend signal — employee count,</w:t>
            </w:r>
          </w:p>
          <w:p>
            <w:pPr>
              <w:spacing w:after="60" w:before="0"/>
            </w:pPr>
            <w:r>
              <w:rPr>
                <w:rFonts w:ascii="Arial" w:cs="Arial" w:eastAsia="Arial" w:hAnsi="Arial"/>
                <w:color w:val="374151"/>
                <w:sz w:val="19"/>
                <w:szCs w:val="19"/>
              </w:rPr>
              <w:t xml:space="preserve">                  field-heavy roles, no travel tech in stack</w:t>
            </w:r>
          </w:p>
          <w:p>
            <w:pPr>
              <w:spacing w:after="60" w:before="0"/>
            </w:pPr>
            <w:r>
              <w:rPr>
                <w:rFonts w:ascii="Arial" w:cs="Arial" w:eastAsia="Arial" w:hAnsi="Arial"/>
                <w:color w:val="374151"/>
                <w:sz w:val="19"/>
                <w:szCs w:val="19"/>
              </w:rPr>
              <w:t xml:space="preserve">Contact finding: ZoomInfo API + intent signals</w:t>
            </w:r>
          </w:p>
        </w:tc>
      </w:tr>
    </w:tbl>
    <w:p>
      <w:pPr>
        <w:spacing w:after="0" w:before="0" w:line="640"/>
      </w:pPr>
      <w:r>
        <w:t xml:space="preserve"/>
      </w:r>
    </w:p>
    <w:p>
      <w:pPr>
        <w:spacing w:after="60" w:before="220"/>
      </w:pPr>
      <w:r>
        <w:rPr>
          <w:rFonts w:ascii="Arial" w:cs="Arial" w:eastAsia="Arial" w:hAnsi="Arial"/>
          <w:b/>
          <w:bCs/>
          <w:color w:val="1A56DB"/>
          <w:spacing w:val="80"/>
          <w:sz w:val="16"/>
          <w:szCs w:val="16"/>
        </w:rPr>
        <w:t xml:space="preserve">HOW IT WORKS</w:t>
      </w:r>
    </w:p>
    <w:p>
      <w:pPr>
        <w:pBdr>
          <w:bottom w:val="single" w:color="1A56DB" w:sz="12" w:space="1"/>
        </w:pBdr>
        <w:spacing w:after="80" w:before="0"/>
      </w:pPr>
      <w:r>
        <w:t xml:space="preserve"/>
      </w:r>
    </w:p>
    <w:p>
      <w:pPr>
        <w:spacing w:after="100" w:before="0"/>
      </w:pPr>
      <w:r>
        <w:rPr>
          <w:rFonts w:ascii="Arial" w:cs="Arial" w:eastAsia="Arial" w:hAnsi="Arial"/>
          <w:color w:val="374151"/>
          <w:sz w:val="20"/>
          <w:szCs w:val="20"/>
        </w:rPr>
        <w:t xml:space="preserve">Every rep gets a daily queue of fresh, research-backed, personally voiced outreach drafts waiting when they open the app. The pipeline runs overnight.</w:t>
      </w:r>
    </w:p>
    <w:p>
      <w:pPr>
        <w:spacing w:after="0" w:before="0" w:line="480"/>
      </w:pPr>
      <w:r>
        <w:t xml:space="preserve"/>
      </w:r>
    </w:p>
    <w:tbl>
      <w:tblPr>
        <w:tblW w:type="dxa" w:w="6086"/>
        <w:tblBorders>
          <w:top w:val="single" w:color="auto" w:sz="4"/>
          <w:left w:val="single" w:color="auto" w:sz="4"/>
          <w:bottom w:val="single" w:color="auto" w:sz="4"/>
          <w:right w:val="single" w:color="auto" w:sz="4"/>
          <w:insideH w:val="single" w:color="auto" w:sz="4"/>
          <w:insideV w:val="single" w:color="auto" w:sz="4"/>
        </w:tblBorders>
      </w:tblPr>
      <w:tblGrid>
        <w:gridCol w:w="692"/>
        <w:gridCol w:w="207"/>
        <w:gridCol w:w="692"/>
        <w:gridCol w:w="207"/>
        <w:gridCol w:w="692"/>
        <w:gridCol w:w="207"/>
        <w:gridCol w:w="692"/>
        <w:gridCol w:w="207"/>
        <w:gridCol w:w="692"/>
        <w:gridCol w:w="207"/>
        <w:gridCol w:w="692"/>
        <w:gridCol w:w="207"/>
        <w:gridCol w:w="692"/>
      </w:tblGrid>
      <w:tr>
        <w:tc>
          <w:tcPr>
            <w:tcW w:type="dxa" w:w="692"/>
            <w:tcBorders>
              <w:top w:val="none" w:color="FFFFFF" w:sz="0"/>
              <w:left w:val="none" w:color="FFFFFF" w:sz="0"/>
              <w:bottom w:val="none" w:color="FFFFFF" w:sz="0"/>
              <w:right w:val="none" w:color="FFFFFF" w:sz="0"/>
            </w:tcBorders>
            <w:shd w:fill="DBEAFE" w:val="clear"/>
            <w:tcMar>
              <w:top w:type="dxa" w:w="80"/>
              <w:left w:type="dxa" w:w="80"/>
              <w:bottom w:type="dxa" w:w="80"/>
              <w:right w:type="dxa" w:w="80"/>
            </w:tcMar>
            <w:vAlign w:val="center"/>
          </w:tcPr>
          <w:p>
            <w:pPr>
              <w:spacing w:after="40" w:before="0"/>
              <w:jc w:val="center"/>
            </w:pPr>
            <w:r>
              <w:rPr>
                <w:rFonts w:ascii="Arial" w:cs="Arial" w:eastAsia="Arial" w:hAnsi="Arial"/>
                <w:b/>
                <w:bCs/>
                <w:color w:val="0B2545"/>
                <w:sz w:val="18"/>
                <w:szCs w:val="18"/>
              </w:rPr>
              <w:t xml:space="preserve">SF Sync</w:t>
            </w:r>
          </w:p>
          <w:p>
            <w:pPr>
              <w:spacing w:after="0" w:before="0"/>
              <w:jc w:val="center"/>
            </w:pPr>
            <w:r>
              <w:rPr>
                <w:rFonts w:ascii="Arial" w:cs="Arial" w:eastAsia="Arial" w:hAnsi="Arial"/>
                <w:color w:val="1A56DB"/>
                <w:sz w:val="16"/>
                <w:szCs w:val="16"/>
              </w:rPr>
              <w:t xml:space="preserve">Pull customers,
ownership, dormancy</w:t>
            </w:r>
          </w:p>
        </w:tc>
        <w:tc>
          <w:tcPr>
            <w:tcW w:type="dxa" w:w="207"/>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Arial" w:cs="Arial" w:eastAsia="Arial" w:hAnsi="Arial"/>
                <w:b/>
                <w:bCs/>
                <w:color w:val="1A56DB"/>
                <w:sz w:val="28"/>
                <w:szCs w:val="28"/>
              </w:rPr>
              <w:t xml:space="preserve">›</w:t>
            </w:r>
          </w:p>
        </w:tc>
        <w:tc>
          <w:tcPr>
            <w:tcW w:type="dxa" w:w="692"/>
            <w:tcBorders>
              <w:top w:val="none" w:color="FFFFFF" w:sz="0"/>
              <w:left w:val="none" w:color="FFFFFF" w:sz="0"/>
              <w:bottom w:val="none" w:color="FFFFFF" w:sz="0"/>
              <w:right w:val="none" w:color="FFFFFF" w:sz="0"/>
            </w:tcBorders>
            <w:shd w:fill="DBEAFE" w:val="clear"/>
            <w:tcMar>
              <w:top w:type="dxa" w:w="80"/>
              <w:left w:type="dxa" w:w="80"/>
              <w:bottom w:type="dxa" w:w="80"/>
              <w:right w:type="dxa" w:w="80"/>
            </w:tcMar>
            <w:vAlign w:val="center"/>
          </w:tcPr>
          <w:p>
            <w:pPr>
              <w:spacing w:after="40" w:before="0"/>
              <w:jc w:val="center"/>
            </w:pPr>
            <w:r>
              <w:rPr>
                <w:rFonts w:ascii="Arial" w:cs="Arial" w:eastAsia="Arial" w:hAnsi="Arial"/>
                <w:b/>
                <w:bCs/>
                <w:color w:val="0B2545"/>
                <w:sz w:val="18"/>
                <w:szCs w:val="18"/>
              </w:rPr>
              <w:t xml:space="preserve">Account
Resolution</w:t>
            </w:r>
          </w:p>
          <w:p>
            <w:pPr>
              <w:spacing w:after="0" w:before="0"/>
              <w:jc w:val="center"/>
            </w:pPr>
            <w:r>
              <w:rPr>
                <w:rFonts w:ascii="Arial" w:cs="Arial" w:eastAsia="Arial" w:hAnsi="Arial"/>
                <w:color w:val="1A56DB"/>
                <w:sz w:val="16"/>
                <w:szCs w:val="16"/>
              </w:rPr>
              <w:t xml:space="preserve">Dedup, territory
check, conflict flag</w:t>
            </w:r>
          </w:p>
        </w:tc>
        <w:tc>
          <w:tcPr>
            <w:tcW w:type="dxa" w:w="207"/>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Arial" w:cs="Arial" w:eastAsia="Arial" w:hAnsi="Arial"/>
                <w:b/>
                <w:bCs/>
                <w:color w:val="1A56DB"/>
                <w:sz w:val="28"/>
                <w:szCs w:val="28"/>
              </w:rPr>
              <w:t xml:space="preserve">›</w:t>
            </w:r>
          </w:p>
        </w:tc>
        <w:tc>
          <w:tcPr>
            <w:tcW w:type="dxa" w:w="692"/>
            <w:tcBorders>
              <w:top w:val="none" w:color="FFFFFF" w:sz="0"/>
              <w:left w:val="none" w:color="FFFFFF" w:sz="0"/>
              <w:bottom w:val="none" w:color="FFFFFF" w:sz="0"/>
              <w:right w:val="none" w:color="FFFFFF" w:sz="0"/>
            </w:tcBorders>
            <w:shd w:fill="DBEAFE" w:val="clear"/>
            <w:tcMar>
              <w:top w:type="dxa" w:w="80"/>
              <w:left w:type="dxa" w:w="80"/>
              <w:bottom w:type="dxa" w:w="80"/>
              <w:right w:type="dxa" w:w="80"/>
            </w:tcMar>
            <w:vAlign w:val="center"/>
          </w:tcPr>
          <w:p>
            <w:pPr>
              <w:spacing w:after="40" w:before="0"/>
              <w:jc w:val="center"/>
            </w:pPr>
            <w:r>
              <w:rPr>
                <w:rFonts w:ascii="Arial" w:cs="Arial" w:eastAsia="Arial" w:hAnsi="Arial"/>
                <w:b/>
                <w:bCs/>
                <w:color w:val="0B2545"/>
                <w:sz w:val="18"/>
                <w:szCs w:val="18"/>
              </w:rPr>
              <w:t xml:space="preserve">Discovery</w:t>
            </w:r>
          </w:p>
          <w:p>
            <w:pPr>
              <w:spacing w:after="0" w:before="0"/>
              <w:jc w:val="center"/>
            </w:pPr>
            <w:r>
              <w:rPr>
                <w:rFonts w:ascii="Arial" w:cs="Arial" w:eastAsia="Arial" w:hAnsi="Arial"/>
                <w:color w:val="1A56DB"/>
                <w:sz w:val="16"/>
                <w:szCs w:val="16"/>
              </w:rPr>
              <w:t xml:space="preserve">ZoomInfo signals
or category search</w:t>
            </w:r>
          </w:p>
        </w:tc>
        <w:tc>
          <w:tcPr>
            <w:tcW w:type="dxa" w:w="207"/>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Arial" w:cs="Arial" w:eastAsia="Arial" w:hAnsi="Arial"/>
                <w:b/>
                <w:bCs/>
                <w:color w:val="1A56DB"/>
                <w:sz w:val="28"/>
                <w:szCs w:val="28"/>
              </w:rPr>
              <w:t xml:space="preserve">›</w:t>
            </w:r>
          </w:p>
        </w:tc>
        <w:tc>
          <w:tcPr>
            <w:tcW w:type="dxa" w:w="692"/>
            <w:tcBorders>
              <w:top w:val="none" w:color="FFFFFF" w:sz="0"/>
              <w:left w:val="none" w:color="FFFFFF" w:sz="0"/>
              <w:bottom w:val="none" w:color="FFFFFF" w:sz="0"/>
              <w:right w:val="none" w:color="FFFFFF" w:sz="0"/>
            </w:tcBorders>
            <w:shd w:fill="DBEAFE" w:val="clear"/>
            <w:tcMar>
              <w:top w:type="dxa" w:w="80"/>
              <w:left w:type="dxa" w:w="80"/>
              <w:bottom w:type="dxa" w:w="80"/>
              <w:right w:type="dxa" w:w="80"/>
            </w:tcMar>
            <w:vAlign w:val="center"/>
          </w:tcPr>
          <w:p>
            <w:pPr>
              <w:spacing w:after="40" w:before="0"/>
              <w:jc w:val="center"/>
            </w:pPr>
            <w:r>
              <w:rPr>
                <w:rFonts w:ascii="Arial" w:cs="Arial" w:eastAsia="Arial" w:hAnsi="Arial"/>
                <w:b/>
                <w:bCs/>
                <w:color w:val="0B2545"/>
                <w:sz w:val="18"/>
                <w:szCs w:val="18"/>
              </w:rPr>
              <w:t xml:space="preserve">Research</w:t>
            </w:r>
          </w:p>
          <w:p>
            <w:pPr>
              <w:spacing w:after="0" w:before="0"/>
              <w:jc w:val="center"/>
            </w:pPr>
            <w:r>
              <w:rPr>
                <w:rFonts w:ascii="Arial" w:cs="Arial" w:eastAsia="Arial" w:hAnsi="Arial"/>
                <w:color w:val="1A56DB"/>
                <w:sz w:val="16"/>
                <w:szCs w:val="16"/>
              </w:rPr>
              <w:t xml:space="preserve">Web search —
size, travel, events</w:t>
            </w:r>
          </w:p>
        </w:tc>
        <w:tc>
          <w:tcPr>
            <w:tcW w:type="dxa" w:w="207"/>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Arial" w:cs="Arial" w:eastAsia="Arial" w:hAnsi="Arial"/>
                <w:b/>
                <w:bCs/>
                <w:color w:val="1A56DB"/>
                <w:sz w:val="28"/>
                <w:szCs w:val="28"/>
              </w:rPr>
              <w:t xml:space="preserve">›</w:t>
            </w:r>
          </w:p>
        </w:tc>
        <w:tc>
          <w:tcPr>
            <w:tcW w:type="dxa" w:w="692"/>
            <w:tcBorders>
              <w:top w:val="none" w:color="FFFFFF" w:sz="0"/>
              <w:left w:val="none" w:color="FFFFFF" w:sz="0"/>
              <w:bottom w:val="none" w:color="FFFFFF" w:sz="0"/>
              <w:right w:val="none" w:color="FFFFFF" w:sz="0"/>
            </w:tcBorders>
            <w:shd w:fill="DBEAFE" w:val="clear"/>
            <w:tcMar>
              <w:top w:type="dxa" w:w="80"/>
              <w:left w:type="dxa" w:w="80"/>
              <w:bottom w:type="dxa" w:w="80"/>
              <w:right w:type="dxa" w:w="80"/>
            </w:tcMar>
            <w:vAlign w:val="center"/>
          </w:tcPr>
          <w:p>
            <w:pPr>
              <w:spacing w:after="40" w:before="0"/>
              <w:jc w:val="center"/>
            </w:pPr>
            <w:r>
              <w:rPr>
                <w:rFonts w:ascii="Arial" w:cs="Arial" w:eastAsia="Arial" w:hAnsi="Arial"/>
                <w:b/>
                <w:bCs/>
                <w:color w:val="0B2545"/>
                <w:sz w:val="18"/>
                <w:szCs w:val="18"/>
              </w:rPr>
              <w:t xml:space="preserve">Contacts</w:t>
            </w:r>
          </w:p>
          <w:p>
            <w:pPr>
              <w:spacing w:after="0" w:before="0"/>
              <w:jc w:val="center"/>
            </w:pPr>
            <w:r>
              <w:rPr>
                <w:rFonts w:ascii="Arial" w:cs="Arial" w:eastAsia="Arial" w:hAnsi="Arial"/>
                <w:color w:val="1A56DB"/>
                <w:sz w:val="16"/>
                <w:szCs w:val="16"/>
              </w:rPr>
              <w:t xml:space="preserve">ZoomInfo API
or site scrape</w:t>
            </w:r>
          </w:p>
        </w:tc>
        <w:tc>
          <w:tcPr>
            <w:tcW w:type="dxa" w:w="207"/>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Arial" w:cs="Arial" w:eastAsia="Arial" w:hAnsi="Arial"/>
                <w:b/>
                <w:bCs/>
                <w:color w:val="1A56DB"/>
                <w:sz w:val="28"/>
                <w:szCs w:val="28"/>
              </w:rPr>
              <w:t xml:space="preserve">›</w:t>
            </w:r>
          </w:p>
        </w:tc>
        <w:tc>
          <w:tcPr>
            <w:tcW w:type="dxa" w:w="692"/>
            <w:tcBorders>
              <w:top w:val="none" w:color="FFFFFF" w:sz="0"/>
              <w:left w:val="none" w:color="FFFFFF" w:sz="0"/>
              <w:bottom w:val="none" w:color="FFFFFF" w:sz="0"/>
              <w:right w:val="none" w:color="FFFFFF" w:sz="0"/>
            </w:tcBorders>
            <w:shd w:fill="DBEAFE" w:val="clear"/>
            <w:tcMar>
              <w:top w:type="dxa" w:w="80"/>
              <w:left w:type="dxa" w:w="80"/>
              <w:bottom w:type="dxa" w:w="80"/>
              <w:right w:type="dxa" w:w="80"/>
            </w:tcMar>
            <w:vAlign w:val="center"/>
          </w:tcPr>
          <w:p>
            <w:pPr>
              <w:spacing w:after="40" w:before="0"/>
              <w:jc w:val="center"/>
            </w:pPr>
            <w:r>
              <w:rPr>
                <w:rFonts w:ascii="Arial" w:cs="Arial" w:eastAsia="Arial" w:hAnsi="Arial"/>
                <w:b/>
                <w:bCs/>
                <w:color w:val="0B2545"/>
                <w:sz w:val="18"/>
                <w:szCs w:val="18"/>
              </w:rPr>
              <w:t xml:space="preserve">Draft</w:t>
            </w:r>
          </w:p>
          <w:p>
            <w:pPr>
              <w:spacing w:after="0" w:before="0"/>
              <w:jc w:val="center"/>
            </w:pPr>
            <w:r>
              <w:rPr>
                <w:rFonts w:ascii="Arial" w:cs="Arial" w:eastAsia="Arial" w:hAnsi="Arial"/>
                <w:color w:val="1A56DB"/>
                <w:sz w:val="16"/>
                <w:szCs w:val="16"/>
              </w:rPr>
              <w:t xml:space="preserve">AI in rep voice
A/B subjects</w:t>
            </w:r>
          </w:p>
        </w:tc>
        <w:tc>
          <w:tcPr>
            <w:tcW w:type="dxa" w:w="207"/>
            <w:tcBorders>
              <w:top w:val="none" w:color="FFFFFF" w:sz="0"/>
              <w:left w:val="none" w:color="FFFFFF" w:sz="0"/>
              <w:bottom w:val="none" w:color="FFFFFF" w:sz="0"/>
              <w:right w:val="none" w:color="FFFFFF" w:sz="0"/>
            </w:tcBorders>
            <w:shd w:fill="FFFFFF" w:val="clear"/>
            <w:tcMar>
              <w:top w:type="dxa" w:w="80"/>
              <w:left w:type="dxa" w:w="20"/>
              <w:bottom w:type="dxa" w:w="80"/>
              <w:right w:type="dxa" w:w="20"/>
            </w:tcMar>
            <w:vAlign w:val="center"/>
          </w:tcPr>
          <w:p>
            <w:pPr>
              <w:jc w:val="center"/>
            </w:pPr>
            <w:r>
              <w:rPr>
                <w:rFonts w:ascii="Arial" w:cs="Arial" w:eastAsia="Arial" w:hAnsi="Arial"/>
                <w:b/>
                <w:bCs/>
                <w:color w:val="1A56DB"/>
                <w:sz w:val="28"/>
                <w:szCs w:val="28"/>
              </w:rPr>
              <w:t xml:space="preserve">›</w:t>
            </w:r>
          </w:p>
        </w:tc>
        <w:tc>
          <w:tcPr>
            <w:tcW w:type="dxa" w:w="692"/>
            <w:tcBorders>
              <w:top w:val="none" w:color="FFFFFF" w:sz="0"/>
              <w:left w:val="none" w:color="FFFFFF" w:sz="0"/>
              <w:bottom w:val="none" w:color="FFFFFF" w:sz="0"/>
              <w:right w:val="none" w:color="FFFFFF" w:sz="0"/>
            </w:tcBorders>
            <w:shd w:fill="DBEAFE" w:val="clear"/>
            <w:tcMar>
              <w:top w:type="dxa" w:w="80"/>
              <w:left w:type="dxa" w:w="80"/>
              <w:bottom w:type="dxa" w:w="80"/>
              <w:right w:type="dxa" w:w="80"/>
            </w:tcMar>
            <w:vAlign w:val="center"/>
          </w:tcPr>
          <w:p>
            <w:pPr>
              <w:spacing w:after="40" w:before="0"/>
              <w:jc w:val="center"/>
            </w:pPr>
            <w:r>
              <w:rPr>
                <w:rFonts w:ascii="Arial" w:cs="Arial" w:eastAsia="Arial" w:hAnsi="Arial"/>
                <w:b/>
                <w:bCs/>
                <w:color w:val="0B2545"/>
                <w:sz w:val="18"/>
                <w:szCs w:val="18"/>
              </w:rPr>
              <w:t xml:space="preserve">Track &amp;
Learn</w:t>
            </w:r>
          </w:p>
          <w:p>
            <w:pPr>
              <w:spacing w:after="0" w:before="0"/>
              <w:jc w:val="center"/>
            </w:pPr>
            <w:r>
              <w:rPr>
                <w:rFonts w:ascii="Arial" w:cs="Arial" w:eastAsia="Arial" w:hAnsi="Arial"/>
                <w:color w:val="1A56DB"/>
                <w:sz w:val="16"/>
                <w:szCs w:val="16"/>
              </w:rPr>
              <w:t xml:space="preserve">Replies, edits,
style update</w:t>
            </w:r>
          </w:p>
        </w:tc>
      </w:tr>
    </w:tbl>
    <w:p>
      <w:pPr>
        <w:spacing w:after="0" w:before="0" w:line="640"/>
      </w:pPr>
      <w:r>
        <w:t xml:space="preserve"/>
      </w:r>
    </w:p>
    <w:p>
      <w:pPr>
        <w:spacing w:after="60" w:before="220"/>
      </w:pPr>
      <w:r>
        <w:rPr>
          <w:rFonts w:ascii="Arial" w:cs="Arial" w:eastAsia="Arial" w:hAnsi="Arial"/>
          <w:b/>
          <w:bCs/>
          <w:color w:val="1A56DB"/>
          <w:spacing w:val="80"/>
          <w:sz w:val="16"/>
          <w:szCs w:val="16"/>
        </w:rPr>
        <w:t xml:space="preserve">ACCOUNT RESOLUTION — THE CRITICAL LAYER</w:t>
      </w:r>
    </w:p>
    <w:p>
      <w:pPr>
        <w:pBdr>
          <w:bottom w:val="single" w:color="1A56DB" w:sz="12" w:space="1"/>
        </w:pBdr>
        <w:spacing w:after="80" w:before="0"/>
      </w:pPr>
      <w:r>
        <w:t xml:space="preserve"/>
      </w:r>
    </w:p>
    <w:p>
      <w:pPr>
        <w:spacing w:after="100" w:before="0"/>
      </w:pPr>
      <w:r>
        <w:rPr>
          <w:rFonts w:ascii="Arial" w:cs="Arial" w:eastAsia="Arial" w:hAnsi="Arial"/>
          <w:color w:val="374151"/>
          <w:sz w:val="20"/>
          <w:szCs w:val="20"/>
        </w:rPr>
        <w:t xml:space="preserve">Before any draft is created, every discovered org runs through a resolution waterfall. This is what prevents account conflicts, protects customer relationships, and keeps territory rules intact across 200 reps.</w:t>
      </w:r>
    </w:p>
    <w:p>
      <w:pPr>
        <w:spacing w:after="0" w:before="0" w:line="4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gridCol w:w="480"/>
      </w:tblGrid>
      <w:tr>
        <w:tc>
          <w:tcPr>
            <w:tcW w:type="dxa" w:w="480"/>
            <w:tcBorders>
              <w:top w:val="none" w:color="FFFFFF" w:sz="0"/>
              <w:left w:val="none" w:color="FFFFFF" w:sz="0"/>
              <w:bottom w:val="none" w:color="FFFFFF" w:sz="0"/>
              <w:right w:val="none" w:color="FFFFFF" w:sz="0"/>
            </w:tcBorders>
            <w:shd w:fill="FFFFFF" w:val="clear"/>
          </w:tcPr>
          <w:p/>
        </w:tc>
        <w:tc>
          <w:tcPr>
            <w:tcW w:type="dxa" w:w="1900"/>
            <w:tcBorders>
              <w:top w:val="single" w:color="BFDBFE" w:sz="4"/>
              <w:left w:val="single" w:color="BFDBFE" w:sz="4"/>
              <w:bottom w:val="single" w:color="BFDBFE" w:sz="4"/>
              <w:right w:val="single" w:color="BFDBFE" w:sz="4"/>
            </w:tcBorders>
            <w:shd w:fill="FDE8E8" w:val="clear"/>
            <w:tcMar>
              <w:top w:type="dxa" w:w="80"/>
              <w:left w:type="dxa" w:w="120"/>
              <w:bottom w:type="dxa" w:w="80"/>
              <w:right w:type="dxa" w:w="120"/>
            </w:tcMar>
          </w:tcPr>
          <w:p>
            <w:pPr>
              <w:spacing w:after="40" w:before="0"/>
            </w:pPr>
            <w:r>
              <w:rPr>
                <w:rFonts w:ascii="Arial" w:cs="Arial" w:eastAsia="Arial" w:hAnsi="Arial"/>
                <w:b/>
                <w:bCs/>
                <w:color w:val="991B1B"/>
                <w:sz w:val="18"/>
                <w:szCs w:val="18"/>
              </w:rPr>
              <w:t xml:space="preserve">Engine customer?</w:t>
            </w:r>
          </w:p>
          <w:p>
            <w:pPr>
              <w:spacing w:after="0" w:before="0"/>
            </w:pPr>
            <w:r>
              <w:rPr>
                <w:rFonts w:ascii="Arial" w:cs="Arial" w:eastAsia="Arial" w:hAnsi="Arial"/>
                <w:color w:val="374151"/>
                <w:sz w:val="17"/>
                <w:szCs w:val="17"/>
              </w:rPr>
              <w:t xml:space="preserve">Skip permanently — engine_customer flag</w:t>
            </w:r>
          </w:p>
        </w:tc>
        <w:tc>
          <w:tcPr>
            <w:tcW w:type="dxa" w:w="1900"/>
            <w:tcBorders>
              <w:top w:val="single" w:color="BFDBFE" w:sz="4"/>
              <w:left w:val="single" w:color="BFDBFE" w:sz="4"/>
              <w:bottom w:val="single" w:color="BFDBFE" w:sz="4"/>
              <w:right w:val="single" w:color="BFDBFE" w:sz="4"/>
            </w:tcBorders>
            <w:shd w:fill="FEF3C7" w:val="clear"/>
            <w:tcMar>
              <w:top w:type="dxa" w:w="80"/>
              <w:left w:type="dxa" w:w="120"/>
              <w:bottom w:type="dxa" w:w="80"/>
              <w:right w:type="dxa" w:w="120"/>
            </w:tcMar>
          </w:tcPr>
          <w:p>
            <w:pPr>
              <w:spacing w:after="40" w:before="0"/>
            </w:pPr>
            <w:r>
              <w:rPr>
                <w:rFonts w:ascii="Arial" w:cs="Arial" w:eastAsia="Arial" w:hAnsi="Arial"/>
                <w:b/>
                <w:bCs/>
                <w:color w:val="92400E"/>
                <w:sz w:val="18"/>
                <w:szCs w:val="18"/>
              </w:rPr>
              <w:t xml:space="preserve">Active owned account?</w:t>
            </w:r>
          </w:p>
          <w:p>
            <w:pPr>
              <w:spacing w:after="0" w:before="0"/>
            </w:pPr>
            <w:r>
              <w:rPr>
                <w:rFonts w:ascii="Arial" w:cs="Arial" w:eastAsia="Arial" w:hAnsi="Arial"/>
                <w:color w:val="374151"/>
                <w:sz w:val="17"/>
                <w:szCs w:val="17"/>
              </w:rPr>
              <w:t xml:space="preserve">Skip — owned by another rep with recent activity</w:t>
            </w:r>
          </w:p>
        </w:tc>
        <w:tc>
          <w:tcPr>
            <w:tcW w:type="dxa" w:w="1900"/>
            <w:tcBorders>
              <w:top w:val="single" w:color="BFDBFE" w:sz="4"/>
              <w:left w:val="single" w:color="BFDBFE" w:sz="4"/>
              <w:bottom w:val="single" w:color="BFDBFE" w:sz="4"/>
              <w:right w:val="single" w:color="BFDBFE" w:sz="4"/>
            </w:tcBorders>
            <w:shd w:fill="DBEAFE" w:val="clear"/>
            <w:tcMar>
              <w:top w:type="dxa" w:w="80"/>
              <w:left w:type="dxa" w:w="120"/>
              <w:bottom w:type="dxa" w:w="80"/>
              <w:right w:type="dxa" w:w="120"/>
            </w:tcMar>
          </w:tcPr>
          <w:p>
            <w:pPr>
              <w:spacing w:after="40" w:before="0"/>
            </w:pPr>
            <w:r>
              <w:rPr>
                <w:rFonts w:ascii="Arial" w:cs="Arial" w:eastAsia="Arial" w:hAnsi="Arial"/>
                <w:b/>
                <w:bCs/>
                <w:color w:val="1A56DB"/>
                <w:sz w:val="18"/>
                <w:szCs w:val="18"/>
              </w:rPr>
              <w:t xml:space="preserve">Dormant owned account?</w:t>
            </w:r>
          </w:p>
          <w:p>
            <w:pPr>
              <w:spacing w:after="0" w:before="0"/>
            </w:pPr>
            <w:r>
              <w:rPr>
                <w:rFonts w:ascii="Arial" w:cs="Arial" w:eastAsia="Arial" w:hAnsi="Arial"/>
                <w:color w:val="374151"/>
                <w:sz w:val="17"/>
                <w:szCs w:val="17"/>
              </w:rPr>
              <w:t xml:space="preserve">Surface to owner with re-activation draft + research</w:t>
            </w:r>
          </w:p>
        </w:tc>
        <w:tc>
          <w:tcPr>
            <w:tcW w:type="dxa" w:w="1900"/>
            <w:tcBorders>
              <w:top w:val="single" w:color="BFDBFE" w:sz="4"/>
              <w:left w:val="single" w:color="BFDBFE" w:sz="4"/>
              <w:bottom w:val="single" w:color="BFDBFE" w:sz="4"/>
              <w:right w:val="single" w:color="BFDBFE" w:sz="4"/>
            </w:tcBorders>
            <w:shd w:fill="F3F4F6" w:val="clear"/>
            <w:tcMar>
              <w:top w:type="dxa" w:w="80"/>
              <w:left w:type="dxa" w:w="120"/>
              <w:bottom w:type="dxa" w:w="80"/>
              <w:right w:type="dxa" w:w="120"/>
            </w:tcMar>
          </w:tcPr>
          <w:p>
            <w:pPr>
              <w:spacing w:after="40" w:before="0"/>
            </w:pPr>
            <w:r>
              <w:rPr>
                <w:rFonts w:ascii="Arial" w:cs="Arial" w:eastAsia="Arial" w:hAnsi="Arial"/>
                <w:b/>
                <w:bCs/>
                <w:color w:val="374151"/>
                <w:sz w:val="18"/>
                <w:szCs w:val="18"/>
              </w:rPr>
              <w:t xml:space="preserve">In another rep's queue
this month?</w:t>
            </w:r>
          </w:p>
          <w:p>
            <w:pPr>
              <w:spacing w:after="0" w:before="0"/>
            </w:pPr>
            <w:r>
              <w:rPr>
                <w:rFonts w:ascii="Arial" w:cs="Arial" w:eastAsia="Arial" w:hAnsi="Arial"/>
                <w:color w:val="374151"/>
                <w:sz w:val="17"/>
                <w:szCs w:val="17"/>
              </w:rPr>
              <w:t xml:space="preserve">Skip — global 30-day cross-rep dedup</w:t>
            </w:r>
          </w:p>
        </w:tc>
        <w:tc>
          <w:tcPr>
            <w:tcW w:type="dxa" w:w="1900"/>
            <w:tcBorders>
              <w:top w:val="single" w:color="BFDBFE" w:sz="4"/>
              <w:left w:val="single" w:color="BFDBFE" w:sz="4"/>
              <w:bottom w:val="single" w:color="BFDBFE" w:sz="4"/>
              <w:right w:val="single" w:color="BFDBFE" w:sz="4"/>
            </w:tcBorders>
            <w:shd w:fill="D1FAE5" w:val="clear"/>
            <w:tcMar>
              <w:top w:type="dxa" w:w="80"/>
              <w:left w:type="dxa" w:w="120"/>
              <w:bottom w:type="dxa" w:w="80"/>
              <w:right w:type="dxa" w:w="120"/>
            </w:tcMar>
          </w:tcPr>
          <w:p>
            <w:pPr>
              <w:spacing w:after="40" w:before="0"/>
            </w:pPr>
            <w:r>
              <w:rPr>
                <w:rFonts w:ascii="Arial" w:cs="Arial" w:eastAsia="Arial" w:hAnsi="Arial"/>
                <w:b/>
                <w:bCs/>
                <w:color w:val="065F46"/>
                <w:sz w:val="18"/>
                <w:szCs w:val="18"/>
              </w:rPr>
              <w:t xml:space="preserve">Net new?</w:t>
            </w:r>
          </w:p>
          <w:p>
            <w:pPr>
              <w:spacing w:after="0" w:before="0"/>
            </w:pPr>
            <w:r>
              <w:rPr>
                <w:rFonts w:ascii="Arial" w:cs="Arial" w:eastAsia="Arial" w:hAnsi="Arial"/>
                <w:color w:val="374151"/>
                <w:sz w:val="17"/>
                <w:szCs w:val="17"/>
              </w:rPr>
              <w:t xml:space="preserve">Proceed — full research, contact, draft pipeline</w:t>
            </w:r>
          </w:p>
        </w:tc>
      </w:tr>
    </w:tbl>
    <w:p>
      <w:pPr>
        <w:spacing w:after="0" w:before="0" w:line="640"/>
      </w:pPr>
      <w:r>
        <w:t xml:space="preserve"/>
      </w:r>
    </w:p>
    <w:p>
      <w:pPr>
        <w:spacing w:after="60" w:before="220"/>
      </w:pPr>
      <w:r>
        <w:rPr>
          <w:rFonts w:ascii="Arial" w:cs="Arial" w:eastAsia="Arial" w:hAnsi="Arial"/>
          <w:b/>
          <w:bCs/>
          <w:color w:val="1A56DB"/>
          <w:spacing w:val="80"/>
          <w:sz w:val="16"/>
          <w:szCs w:val="16"/>
        </w:rPr>
        <w:t xml:space="preserve">WHAT NEEDS TO BE BUILT</w:t>
      </w:r>
    </w:p>
    <w:p>
      <w:pPr>
        <w:pBdr>
          <w:bottom w:val="single" w:color="1A56DB" w:sz="12" w:space="1"/>
        </w:pBd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10"/>
        <w:gridCol w:w="180"/>
        <w:gridCol w:w="4410"/>
      </w:tblGrid>
      <w:tr>
        <w:tc>
          <w:tcPr>
            <w:tcW w:type="dxa" w:w="4410"/>
            <w:tcBorders>
              <w:top w:val="none" w:color="FFFFFF" w:sz="0"/>
              <w:left w:val="none" w:color="FFFFFF" w:sz="0"/>
              <w:bottom w:val="none" w:color="FFFFFF" w:sz="0"/>
              <w:right w:val="none" w:color="FFFFFF" w:sz="0"/>
            </w:tcBorders>
            <w:tcMar>
              <w:top w:type="dxa" w:w="0"/>
              <w:left w:type="dxa" w:w="0"/>
              <w:bottom w:type="dxa" w:w="0"/>
              <w:right w:type="dxa" w:w="180"/>
            </w:tcMar>
          </w:tcPr>
          <w:p>
            <w:pPr>
              <w:spacing w:after="80" w:before="200"/>
            </w:pPr>
            <w:r>
              <w:rPr>
                <w:rFonts w:ascii="Arial" w:cs="Arial" w:eastAsia="Arial" w:hAnsi="Arial"/>
                <w:b/>
                <w:bCs/>
                <w:color w:val="0B2545"/>
                <w:sz w:val="24"/>
                <w:szCs w:val="24"/>
              </w:rPr>
              <w:t xml:space="preserve">Build sequence</w:t>
            </w:r>
          </w:p>
          <w:p>
            <w:pPr>
              <w:pStyle w:val="ListParagraph"/>
              <w:numPr>
                <w:ilvl w:val="0"/>
                <w:numId w:val="2"/>
              </w:numPr>
              <w:spacing w:after="40" w:before="40"/>
            </w:pPr>
            <w:r>
              <w:rPr>
                <w:rFonts w:ascii="Arial" w:cs="Arial" w:eastAsia="Arial" w:hAnsi="Arial"/>
                <w:b/>
                <w:bCs/>
                <w:color w:val="0B2545"/>
                <w:sz w:val="20"/>
                <w:szCs w:val="20"/>
              </w:rPr>
              <w:t xml:space="preserve">1.  </w:t>
            </w:r>
            <w:r>
              <w:rPr>
                <w:rFonts w:ascii="Arial" w:cs="Arial" w:eastAsia="Arial" w:hAnsi="Arial"/>
                <w:color w:val="374151"/>
                <w:sz w:val="20"/>
                <w:szCs w:val="20"/>
              </w:rPr>
              <w:t xml:space="preserve">Salesforce bidirectional sync — customers out, activities in, dormancy index. This must come first.</w:t>
            </w:r>
          </w:p>
          <w:p>
            <w:pPr>
              <w:pStyle w:val="ListParagraph"/>
              <w:numPr>
                <w:ilvl w:val="0"/>
                <w:numId w:val="2"/>
              </w:numPr>
              <w:spacing w:after="40" w:before="40"/>
            </w:pPr>
            <w:r>
              <w:rPr>
                <w:rFonts w:ascii="Arial" w:cs="Arial" w:eastAsia="Arial" w:hAnsi="Arial"/>
                <w:b/>
                <w:bCs/>
                <w:color w:val="0B2545"/>
                <w:sz w:val="20"/>
                <w:szCs w:val="20"/>
              </w:rPr>
              <w:t xml:space="preserve">2.  </w:t>
            </w:r>
            <w:r>
              <w:rPr>
                <w:rFonts w:ascii="Arial" w:cs="Arial" w:eastAsia="Arial" w:hAnsi="Arial"/>
                <w:color w:val="374151"/>
                <w:sz w:val="20"/>
                <w:szCs w:val="20"/>
              </w:rPr>
              <w:t xml:space="preserve">ZoomInfo API integration — replace web-search contact finding with verified emails and intent signals for the sales motion.</w:t>
            </w:r>
          </w:p>
          <w:p>
            <w:pPr>
              <w:pStyle w:val="ListParagraph"/>
              <w:numPr>
                <w:ilvl w:val="0"/>
                <w:numId w:val="2"/>
              </w:numPr>
              <w:spacing w:after="40" w:before="40"/>
            </w:pPr>
            <w:r>
              <w:rPr>
                <w:rFonts w:ascii="Arial" w:cs="Arial" w:eastAsia="Arial" w:hAnsi="Arial"/>
                <w:b/>
                <w:bCs/>
                <w:color w:val="0B2545"/>
                <w:sz w:val="20"/>
                <w:szCs w:val="20"/>
              </w:rPr>
              <w:t xml:space="preserve">3.  </w:t>
            </w:r>
            <w:r>
              <w:rPr>
                <w:rFonts w:ascii="Arial" w:cs="Arial" w:eastAsia="Arial" w:hAnsi="Arial"/>
                <w:color w:val="374151"/>
                <w:sz w:val="20"/>
                <w:szCs w:val="20"/>
              </w:rPr>
              <w:t xml:space="preserve">Global account resolution layer — cross-rep dedup registry, ownership routing, customer exclusion at company level.</w:t>
            </w:r>
          </w:p>
          <w:p>
            <w:pPr>
              <w:pStyle w:val="ListParagraph"/>
              <w:numPr>
                <w:ilvl w:val="0"/>
                <w:numId w:val="2"/>
              </w:numPr>
              <w:spacing w:after="40" w:before="40"/>
            </w:pPr>
            <w:r>
              <w:rPr>
                <w:rFonts w:ascii="Arial" w:cs="Arial" w:eastAsia="Arial" w:hAnsi="Arial"/>
                <w:b/>
                <w:bCs/>
                <w:color w:val="0B2545"/>
                <w:sz w:val="20"/>
                <w:szCs w:val="20"/>
              </w:rPr>
              <w:t xml:space="preserve">4.  </w:t>
            </w:r>
            <w:r>
              <w:rPr>
                <w:rFonts w:ascii="Arial" w:cs="Arial" w:eastAsia="Arial" w:hAnsi="Arial"/>
                <w:color w:val="374151"/>
                <w:sz w:val="20"/>
                <w:szCs w:val="20"/>
              </w:rPr>
              <w:t xml:space="preserve">Job queue architecture — replace single cron with Inngest or Trigger.dev, stagger 200 reps by timezone, independent per-rep jobs.</w:t>
            </w:r>
          </w:p>
          <w:p>
            <w:pPr>
              <w:pStyle w:val="ListParagraph"/>
              <w:numPr>
                <w:ilvl w:val="0"/>
                <w:numId w:val="2"/>
              </w:numPr>
              <w:spacing w:after="40" w:before="40"/>
            </w:pPr>
            <w:r>
              <w:rPr>
                <w:rFonts w:ascii="Arial" w:cs="Arial" w:eastAsia="Arial" w:hAnsi="Arial"/>
                <w:b/>
                <w:bCs/>
                <w:color w:val="0B2545"/>
                <w:sz w:val="20"/>
                <w:szCs w:val="20"/>
              </w:rPr>
              <w:t xml:space="preserve">5.  </w:t>
            </w:r>
            <w:r>
              <w:rPr>
                <w:rFonts w:ascii="Arial" w:cs="Arial" w:eastAsia="Arial" w:hAnsi="Arial"/>
                <w:color w:val="374151"/>
                <w:sz w:val="20"/>
                <w:szCs w:val="20"/>
              </w:rPr>
              <w:t xml:space="preserve">Rep onboarding flow — self-service profile setup, motion type selector (partnership vs. sales), writing sample or style archetype bootstrap.</w:t>
            </w:r>
          </w:p>
          <w:p>
            <w:pPr>
              <w:pStyle w:val="ListParagraph"/>
              <w:numPr>
                <w:ilvl w:val="0"/>
                <w:numId w:val="2"/>
              </w:numPr>
              <w:spacing w:after="40" w:before="40"/>
            </w:pPr>
            <w:r>
              <w:rPr>
                <w:rFonts w:ascii="Arial" w:cs="Arial" w:eastAsia="Arial" w:hAnsi="Arial"/>
                <w:b/>
                <w:bCs/>
                <w:color w:val="0B2545"/>
                <w:sz w:val="20"/>
                <w:szCs w:val="20"/>
              </w:rPr>
              <w:t xml:space="preserve">6.  </w:t>
            </w:r>
            <w:r>
              <w:rPr>
                <w:rFonts w:ascii="Arial" w:cs="Arial" w:eastAsia="Arial" w:hAnsi="Arial"/>
                <w:color w:val="374151"/>
                <w:sz w:val="20"/>
                <w:szCs w:val="20"/>
              </w:rPr>
              <w:t xml:space="preserve">Team learning layer — A/B subject line tracking by segment, shared style patterns, manager visibility dashboard.</w:t>
            </w:r>
          </w:p>
        </w:tc>
        <w:tc>
          <w:tcPr>
            <w:tcW w:type="dxa" w:w="180"/>
            <w:tcBorders>
              <w:top w:val="none" w:color="FFFFFF" w:sz="0"/>
              <w:left w:val="none" w:color="FFFFFF" w:sz="0"/>
              <w:bottom w:val="none" w:color="FFFFFF" w:sz="0"/>
              <w:right w:val="none" w:color="FFFFFF" w:sz="0"/>
            </w:tcBorders>
            <w:shd w:fill="FFFFFF" w:val="clear"/>
          </w:tcPr>
          <w:p/>
        </w:tc>
        <w:tc>
          <w:tcPr>
            <w:tcW w:type="dxa" w:w="4410"/>
            <w:tcBorders>
              <w:top w:val="none" w:color="FFFFFF" w:sz="0"/>
              <w:left w:val="none" w:color="FFFFFF" w:sz="0"/>
              <w:bottom w:val="none" w:color="FFFFFF" w:sz="0"/>
              <w:right w:val="none" w:color="FFFFFF" w:sz="0"/>
            </w:tcBorders>
            <w:tcMar>
              <w:top w:type="dxa" w:w="0"/>
              <w:left w:type="dxa" w:w="180"/>
              <w:bottom w:type="dxa" w:w="0"/>
              <w:right w:type="dxa" w:w="0"/>
            </w:tcMar>
          </w:tcPr>
          <w:p>
            <w:pPr>
              <w:spacing w:after="80" w:before="200"/>
            </w:pPr>
            <w:r>
              <w:rPr>
                <w:rFonts w:ascii="Arial" w:cs="Arial" w:eastAsia="Arial" w:hAnsi="Arial"/>
                <w:b/>
                <w:bCs/>
                <w:color w:val="0B2545"/>
                <w:sz w:val="24"/>
                <w:szCs w:val="24"/>
              </w:rPr>
              <w:t xml:space="preserve">What already works</w:t>
            </w:r>
          </w:p>
          <w:p>
            <w:pPr>
              <w:pStyle w:val="ListParagraph"/>
              <w:numPr>
                <w:ilvl w:val="0"/>
                <w:numId w:val="2"/>
              </w:numPr>
              <w:spacing w:after="40" w:before="40"/>
            </w:pPr>
            <w:r>
              <w:rPr>
                <w:rFonts w:ascii="Arial" w:cs="Arial" w:eastAsia="Arial" w:hAnsi="Arial"/>
                <w:color w:val="374151"/>
                <w:sz w:val="20"/>
                <w:szCs w:val="20"/>
              </w:rPr>
              <w:t xml:space="preserve">Full research pipeline — web search, org facts, travel signals, website contact scraping</w:t>
            </w:r>
          </w:p>
          <w:p>
            <w:pPr>
              <w:pStyle w:val="ListParagraph"/>
              <w:numPr>
                <w:ilvl w:val="0"/>
                <w:numId w:val="2"/>
              </w:numPr>
              <w:spacing w:after="40" w:before="40"/>
            </w:pPr>
            <w:r>
              <w:rPr>
                <w:rFonts w:ascii="Arial" w:cs="Arial" w:eastAsia="Arial" w:hAnsi="Arial"/>
                <w:color w:val="374151"/>
                <w:sz w:val="20"/>
                <w:szCs w:val="20"/>
              </w:rPr>
              <w:t xml:space="preserve">AI email drafting — rep voice matching, A/B subject lines, cross-contact notes</w:t>
            </w:r>
          </w:p>
          <w:p>
            <w:pPr>
              <w:pStyle w:val="ListParagraph"/>
              <w:numPr>
                <w:ilvl w:val="0"/>
                <w:numId w:val="2"/>
              </w:numPr>
              <w:spacing w:after="40" w:before="40"/>
            </w:pPr>
            <w:r>
              <w:rPr>
                <w:rFonts w:ascii="Arial" w:cs="Arial" w:eastAsia="Arial" w:hAnsi="Arial"/>
                <w:color w:val="374151"/>
                <w:sz w:val="20"/>
                <w:szCs w:val="20"/>
              </w:rPr>
              <w:t xml:space="preserve">Follow-up automation — pre-drafted FU1/FU2/FU3 in rep queue each morning</w:t>
            </w:r>
          </w:p>
          <w:p>
            <w:pPr>
              <w:pStyle w:val="ListParagraph"/>
              <w:numPr>
                <w:ilvl w:val="0"/>
                <w:numId w:val="2"/>
              </w:numPr>
              <w:spacing w:after="40" w:before="40"/>
            </w:pPr>
            <w:r>
              <w:rPr>
                <w:rFonts w:ascii="Arial" w:cs="Arial" w:eastAsia="Arial" w:hAnsi="Arial"/>
                <w:color w:val="374151"/>
                <w:sz w:val="20"/>
                <w:szCs w:val="20"/>
              </w:rPr>
              <w:t xml:space="preserve">Reply detection infrastructure — Gmail OAuth layer ready, awaiting activation</w:t>
            </w:r>
          </w:p>
          <w:p>
            <w:pPr>
              <w:pStyle w:val="ListParagraph"/>
              <w:numPr>
                <w:ilvl w:val="0"/>
                <w:numId w:val="2"/>
              </w:numPr>
              <w:spacing w:after="40" w:before="40"/>
            </w:pPr>
            <w:r>
              <w:rPr>
                <w:rFonts w:ascii="Arial" w:cs="Arial" w:eastAsia="Arial" w:hAnsi="Arial"/>
                <w:color w:val="374151"/>
                <w:sz w:val="20"/>
                <w:szCs w:val="20"/>
              </w:rPr>
              <w:t xml:space="preserve">Self-learning style — rolling edit history adapts to each rep's voice over time</w:t>
            </w:r>
          </w:p>
          <w:p>
            <w:pPr>
              <w:pStyle w:val="ListParagraph"/>
              <w:numPr>
                <w:ilvl w:val="0"/>
                <w:numId w:val="2"/>
              </w:numPr>
              <w:spacing w:after="40" w:before="40"/>
            </w:pPr>
            <w:r>
              <w:rPr>
                <w:rFonts w:ascii="Arial" w:cs="Arial" w:eastAsia="Arial" w:hAnsi="Arial"/>
                <w:color w:val="374151"/>
                <w:sz w:val="20"/>
                <w:szCs w:val="20"/>
              </w:rPr>
              <w:t xml:space="preserve">Dismiss logic — engine_customer, wrong org, bad draft flags with correct dedup behavior</w:t>
            </w:r>
          </w:p>
          <w:p>
            <w:pPr>
              <w:pStyle w:val="ListParagraph"/>
              <w:numPr>
                <w:ilvl w:val="0"/>
                <w:numId w:val="2"/>
              </w:numPr>
              <w:spacing w:after="40" w:before="40"/>
            </w:pPr>
            <w:r>
              <w:rPr>
                <w:rFonts w:ascii="Arial" w:cs="Arial" w:eastAsia="Arial" w:hAnsi="Arial"/>
                <w:color w:val="374151"/>
                <w:sz w:val="20"/>
                <w:szCs w:val="20"/>
              </w:rPr>
              <w:t xml:space="preserve">Batch parallel orchestration — 5 orgs at a time, proven at single-rep scale</w:t>
            </w:r>
          </w:p>
        </w:tc>
      </w:tr>
    </w:tbl>
    <w:p>
      <w:pPr>
        <w:spacing w:after="0" w:before="0" w:line="640"/>
      </w:pPr>
      <w:r>
        <w:t xml:space="preserve"/>
      </w:r>
    </w:p>
    <w:p>
      <w:pPr>
        <w:spacing w:after="60" w:before="220"/>
      </w:pPr>
      <w:r>
        <w:rPr>
          <w:rFonts w:ascii="Arial" w:cs="Arial" w:eastAsia="Arial" w:hAnsi="Arial"/>
          <w:b/>
          <w:bCs/>
          <w:color w:val="1A56DB"/>
          <w:spacing w:val="80"/>
          <w:sz w:val="16"/>
          <w:szCs w:val="16"/>
        </w:rPr>
        <w:t xml:space="preserve">THE SELF-LEARNING FLYWHEEL</w:t>
      </w:r>
    </w:p>
    <w:p>
      <w:pPr>
        <w:pBdr>
          <w:bottom w:val="single" w:color="1A56DB" w:sz="12" w:space="1"/>
        </w:pBdr>
        <w:spacing w:after="80" w:before="0"/>
      </w:pPr>
      <w:r>
        <w:t xml:space="preserve"/>
      </w:r>
    </w:p>
    <w:p>
      <w:pPr>
        <w:spacing w:after="100" w:before="0"/>
      </w:pPr>
      <w:r>
        <w:rPr>
          <w:rFonts w:ascii="Arial" w:cs="Arial" w:eastAsia="Arial" w:hAnsi="Arial"/>
          <w:color w:val="374151"/>
          <w:sz w:val="20"/>
          <w:szCs w:val="20"/>
        </w:rPr>
        <w:t xml:space="preserve">This is where scale changes the nature of the tool. A single rep's edits train their own style. Two hundred reps' reply rates, edits, and outcomes build something more valuable — a continuously improving model of what works across Engine's entire go-to-market.</w:t>
      </w:r>
    </w:p>
    <w:p>
      <w:pPr>
        <w:spacing w:after="0" w:before="0" w:line="4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40"/>
        <w:gridCol w:w="3140"/>
        <w:gridCol w:w="3140"/>
        <w:gridCol w:w="300"/>
        <w:gridCol w:w="300"/>
        <w:gridCol w:w="60"/>
      </w:tblGrid>
      <w:tr>
        <w:tc>
          <w:tcPr>
            <w:tcW w:type="dxa" w:w="441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tcPr>
          <w:p>
            <w:pPr>
              <w:spacing w:after="80" w:before="0"/>
            </w:pPr>
            <w:r>
              <w:rPr>
                <w:rFonts w:ascii="Arial" w:cs="Arial" w:eastAsia="Arial" w:hAnsi="Arial"/>
                <w:b/>
                <w:bCs/>
                <w:color w:val="1A56DB"/>
                <w:sz w:val="20"/>
                <w:szCs w:val="20"/>
              </w:rPr>
              <w:t xml:space="preserve">Individual</w:t>
            </w:r>
          </w:p>
          <w:p>
            <w:pPr>
              <w:spacing w:after="60" w:before="0"/>
            </w:pPr>
            <w:r>
              <w:rPr>
                <w:rFonts w:ascii="Arial" w:cs="Arial" w:eastAsia="Arial" w:hAnsi="Arial"/>
                <w:color w:val="374151"/>
                <w:sz w:val="19"/>
                <w:szCs w:val="19"/>
              </w:rPr>
              <w:t xml:space="preserve">Rep edits a draft</w:t>
            </w:r>
          </w:p>
          <w:p>
            <w:pPr>
              <w:spacing w:after="60" w:before="0"/>
            </w:pPr>
            <w:r>
              <w:rPr>
                <w:rFonts w:ascii="Arial" w:cs="Arial" w:eastAsia="Arial" w:hAnsi="Arial"/>
                <w:color w:val="374151"/>
                <w:sz w:val="19"/>
                <w:szCs w:val="19"/>
              </w:rPr>
              <w:t xml:space="preserve">Style adapts in real time</w:t>
            </w:r>
          </w:p>
          <w:p>
            <w:pPr>
              <w:spacing w:after="60" w:before="0"/>
            </w:pPr>
            <w:r>
              <w:rPr>
                <w:rFonts w:ascii="Arial" w:cs="Arial" w:eastAsia="Arial" w:hAnsi="Arial"/>
                <w:color w:val="374151"/>
                <w:sz w:val="19"/>
                <w:szCs w:val="19"/>
              </w:rPr>
              <w:t xml:space="preserve">Next draft sounds more</w:t>
            </w:r>
          </w:p>
          <w:p>
            <w:pPr>
              <w:spacing w:after="60" w:before="0"/>
            </w:pPr>
            <w:r>
              <w:rPr>
                <w:rFonts w:ascii="Arial" w:cs="Arial" w:eastAsia="Arial" w:hAnsi="Arial"/>
                <w:color w:val="374151"/>
                <w:sz w:val="19"/>
                <w:szCs w:val="19"/>
              </w:rPr>
              <w:t xml:space="preserve">like them — less editing</w:t>
            </w:r>
          </w:p>
          <w:p>
            <w:pPr>
              <w:spacing w:after="60" w:before="0"/>
            </w:pPr>
            <w:r>
              <w:rPr>
                <w:rFonts w:ascii="Arial" w:cs="Arial" w:eastAsia="Arial" w:hAnsi="Arial"/>
                <w:color w:val="374151"/>
                <w:sz w:val="19"/>
                <w:szCs w:val="19"/>
              </w:rPr>
              <w:t xml:space="preserve">required over time</w:t>
            </w:r>
          </w:p>
        </w:tc>
        <w:tc>
          <w:tcPr>
            <w:tcW w:type="dxa" w:w="300"/>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1A56DB"/>
                <w:sz w:val="36"/>
                <w:szCs w:val="36"/>
              </w:rPr>
              <w:t xml:space="preserve">›</w:t>
            </w:r>
          </w:p>
        </w:tc>
        <w:tc>
          <w:tcPr>
            <w:tcW w:type="dxa" w:w="441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tcPr>
          <w:p>
            <w:pPr>
              <w:spacing w:after="80" w:before="0"/>
            </w:pPr>
            <w:r>
              <w:rPr>
                <w:rFonts w:ascii="Arial" w:cs="Arial" w:eastAsia="Arial" w:hAnsi="Arial"/>
                <w:b/>
                <w:bCs/>
                <w:color w:val="0B2545"/>
                <w:sz w:val="20"/>
                <w:szCs w:val="20"/>
              </w:rPr>
              <w:t xml:space="preserve">Team</w:t>
            </w:r>
          </w:p>
          <w:p>
            <w:pPr>
              <w:spacing w:after="60" w:before="0"/>
            </w:pPr>
            <w:r>
              <w:rPr>
                <w:rFonts w:ascii="Arial" w:cs="Arial" w:eastAsia="Arial" w:hAnsi="Arial"/>
                <w:color w:val="374151"/>
                <w:sz w:val="19"/>
                <w:szCs w:val="19"/>
              </w:rPr>
              <w:t xml:space="preserve">Reply rates tracked by</w:t>
            </w:r>
          </w:p>
          <w:p>
            <w:pPr>
              <w:spacing w:after="60" w:before="0"/>
            </w:pPr>
            <w:r>
              <w:rPr>
                <w:rFonts w:ascii="Arial" w:cs="Arial" w:eastAsia="Arial" w:hAnsi="Arial"/>
                <w:color w:val="374151"/>
                <w:sz w:val="19"/>
                <w:szCs w:val="19"/>
              </w:rPr>
              <w:t xml:space="preserve">segment + subject style</w:t>
            </w:r>
          </w:p>
          <w:p>
            <w:pPr>
              <w:spacing w:after="60" w:before="0"/>
            </w:pPr>
            <w:r>
              <w:rPr>
                <w:rFonts w:ascii="Arial" w:cs="Arial" w:eastAsia="Arial" w:hAnsi="Arial"/>
                <w:color w:val="374151"/>
                <w:sz w:val="19"/>
                <w:szCs w:val="19"/>
              </w:rPr>
              <w:t xml:space="preserve">Winning angles fed back</w:t>
            </w:r>
          </w:p>
          <w:p>
            <w:pPr>
              <w:spacing w:after="60" w:before="0"/>
            </w:pPr>
            <w:r>
              <w:rPr>
                <w:rFonts w:ascii="Arial" w:cs="Arial" w:eastAsia="Arial" w:hAnsi="Arial"/>
                <w:color w:val="374151"/>
                <w:sz w:val="19"/>
                <w:szCs w:val="19"/>
              </w:rPr>
              <w:t xml:space="preserve">to all reps in that vertical</w:t>
            </w:r>
          </w:p>
          <w:p>
            <w:pPr>
              <w:spacing w:after="60" w:before="0"/>
            </w:pPr>
            <w:r>
              <w:rPr>
                <w:rFonts w:ascii="Arial" w:cs="Arial" w:eastAsia="Arial" w:hAnsi="Arial"/>
                <w:color w:val="374151"/>
                <w:sz w:val="19"/>
                <w:szCs w:val="19"/>
              </w:rPr>
              <w:t xml:space="preserve">New reps start with</w:t>
            </w:r>
          </w:p>
          <w:p>
            <w:pPr>
              <w:spacing w:after="60" w:before="0"/>
            </w:pPr>
            <w:r>
              <w:rPr>
                <w:rFonts w:ascii="Arial" w:cs="Arial" w:eastAsia="Arial" w:hAnsi="Arial"/>
                <w:color w:val="374151"/>
                <w:sz w:val="19"/>
                <w:szCs w:val="19"/>
              </w:rPr>
              <w:t xml:space="preserve">proven patterns</w:t>
            </w:r>
          </w:p>
        </w:tc>
        <w:tc>
          <w:tcPr>
            <w:tcW w:type="dxa" w:w="300"/>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1A56DB"/>
                <w:sz w:val="36"/>
                <w:szCs w:val="36"/>
              </w:rPr>
              <w:t xml:space="preserve">›</w:t>
            </w:r>
          </w:p>
        </w:tc>
        <w:tc>
          <w:tcPr>
            <w:tcW w:type="dxa" w:w="441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tcPr>
          <w:p>
            <w:pPr>
              <w:spacing w:after="80" w:before="0"/>
            </w:pPr>
            <w:r>
              <w:rPr>
                <w:rFonts w:ascii="Arial" w:cs="Arial" w:eastAsia="Arial" w:hAnsi="Arial"/>
                <w:b/>
                <w:bCs/>
                <w:color w:val="065F46"/>
                <w:sz w:val="20"/>
                <w:szCs w:val="20"/>
              </w:rPr>
              <w:t xml:space="preserve">Company</w:t>
            </w:r>
          </w:p>
          <w:p>
            <w:pPr>
              <w:spacing w:after="60" w:before="0"/>
            </w:pPr>
            <w:r>
              <w:rPr>
                <w:rFonts w:ascii="Arial" w:cs="Arial" w:eastAsia="Arial" w:hAnsi="Arial"/>
                <w:color w:val="374151"/>
                <w:sz w:val="19"/>
                <w:szCs w:val="19"/>
              </w:rPr>
              <w:t xml:space="preserve">ZoomInfo intent signals</w:t>
            </w:r>
          </w:p>
          <w:p>
            <w:pPr>
              <w:spacing w:after="60" w:before="0"/>
            </w:pPr>
            <w:r>
              <w:rPr>
                <w:rFonts w:ascii="Arial" w:cs="Arial" w:eastAsia="Arial" w:hAnsi="Arial"/>
                <w:color w:val="374151"/>
                <w:sz w:val="19"/>
                <w:szCs w:val="19"/>
              </w:rPr>
              <w:t xml:space="preserve">surface warm accounts daily</w:t>
            </w:r>
          </w:p>
          <w:p>
            <w:pPr>
              <w:spacing w:after="60" w:before="0"/>
            </w:pPr>
            <w:r>
              <w:rPr>
                <w:rFonts w:ascii="Arial" w:cs="Arial" w:eastAsia="Arial" w:hAnsi="Arial"/>
                <w:color w:val="374151"/>
                <w:sz w:val="19"/>
                <w:szCs w:val="19"/>
              </w:rPr>
              <w:t xml:space="preserve">Market coverage tracked —</w:t>
            </w:r>
          </w:p>
          <w:p>
            <w:pPr>
              <w:spacing w:after="60" w:before="0"/>
            </w:pPr>
            <w:r>
              <w:rPr>
                <w:rFonts w:ascii="Arial" w:cs="Arial" w:eastAsia="Arial" w:hAnsi="Arial"/>
                <w:color w:val="374151"/>
                <w:sz w:val="19"/>
                <w:szCs w:val="19"/>
              </w:rPr>
              <w:t xml:space="preserve">no segment worked twice</w:t>
            </w:r>
          </w:p>
          <w:p>
            <w:pPr>
              <w:spacing w:after="60" w:before="0"/>
            </w:pPr>
            <w:r>
              <w:rPr>
                <w:rFonts w:ascii="Arial" w:cs="Arial" w:eastAsia="Arial" w:hAnsi="Arial"/>
                <w:color w:val="374151"/>
                <w:sz w:val="19"/>
                <w:szCs w:val="19"/>
              </w:rPr>
              <w:t xml:space="preserve">Dormant account re-activation</w:t>
            </w:r>
          </w:p>
          <w:p>
            <w:pPr>
              <w:spacing w:after="60" w:before="0"/>
            </w:pPr>
            <w:r>
              <w:rPr>
                <w:rFonts w:ascii="Arial" w:cs="Arial" w:eastAsia="Arial" w:hAnsi="Arial"/>
                <w:color w:val="374151"/>
                <w:sz w:val="19"/>
                <w:szCs w:val="19"/>
              </w:rPr>
              <w:t xml:space="preserve">triggered by growth signals</w:t>
            </w:r>
          </w:p>
        </w:tc>
        <w:tc>
          <w:tcPr>
            <w:tcW w:type="dxa" w:w="60"/>
            <w:tcBorders>
              <w:top w:val="none" w:color="FFFFFF" w:sz="0"/>
              <w:left w:val="none" w:color="FFFFFF" w:sz="0"/>
              <w:bottom w:val="none" w:color="FFFFFF" w:sz="0"/>
              <w:right w:val="none" w:color="FFFFFF" w:sz="0"/>
            </w:tcBorders>
            <w:shd w:fill="FFFFFF" w:val="clear"/>
          </w:tcPr>
          <w:p/>
        </w:tc>
      </w:tr>
    </w:tbl>
    <w:p>
      <w:pPr>
        <w:spacing w:after="0" w:before="0" w:line="640"/>
      </w:pPr>
      <w:r>
        <w:t xml:space="preserve"/>
      </w:r>
    </w:p>
    <w:p>
      <w:pPr>
        <w:spacing w:after="60" w:before="220"/>
      </w:pPr>
      <w:r>
        <w:rPr>
          <w:rFonts w:ascii="Arial" w:cs="Arial" w:eastAsia="Arial" w:hAnsi="Arial"/>
          <w:b/>
          <w:bCs/>
          <w:color w:val="1A56DB"/>
          <w:spacing w:val="80"/>
          <w:sz w:val="16"/>
          <w:szCs w:val="16"/>
        </w:rPr>
        <w:t xml:space="preserve">WHAT THIS LOOKS LIKE AT 200 REPS</w:t>
      </w:r>
    </w:p>
    <w:p>
      <w:pPr>
        <w:pBdr>
          <w:bottom w:val="single" w:color="1A56DB" w:sz="12" w:space="1"/>
        </w:pBdr>
        <w:spacing w:after="80" w:before="0"/>
      </w:pPr>
      <w:r>
        <w:t xml:space="preserve"/>
      </w:r>
    </w:p>
    <w:p>
      <w:pPr>
        <w:spacing w:after="100" w:before="0"/>
      </w:pPr>
      <w:r>
        <w:rPr>
          <w:rFonts w:ascii="Arial" w:cs="Arial" w:eastAsia="Arial" w:hAnsi="Arial"/>
          <w:color w:val="374151"/>
          <w:sz w:val="20"/>
          <w:szCs w:val="20"/>
        </w:rPr>
        <w:t xml:space="preserve">These are conservative estimates based on the current architecture running at one rep.</w:t>
      </w:r>
    </w:p>
    <w:p>
      <w:pPr>
        <w:spacing w:after="0" w:before="0" w:line="4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FDBFE" w:sz="4"/>
              <w:left w:val="single" w:color="BFDBFE" w:sz="4"/>
              <w:bottom w:val="single" w:color="BFDBFE" w:sz="4"/>
              <w:right w:val="single" w:color="BFDBFE" w:sz="4"/>
            </w:tcBorders>
            <w:shd w:fill="0B2545"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56"/>
                <w:szCs w:val="56"/>
              </w:rPr>
              <w:t xml:space="preserve">600</w:t>
            </w:r>
          </w:p>
          <w:p>
            <w:pPr>
              <w:jc w:val="center"/>
            </w:pPr>
            <w:r>
              <w:rPr>
                <w:rFonts w:ascii="Arial" w:cs="Arial" w:eastAsia="Arial" w:hAnsi="Arial"/>
                <w:color w:val="93C5FD"/>
                <w:sz w:val="18"/>
                <w:szCs w:val="18"/>
              </w:rPr>
              <w:t xml:space="preserve">new org outreaches/day</w:t>
            </w:r>
          </w:p>
        </w:tc>
        <w:tc>
          <w:tcPr>
            <w:tcW w:type="dxa" w:w="252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vAlign w:val="center"/>
          </w:tcPr>
          <w:p>
            <w:pPr>
              <w:spacing w:after="60" w:before="0"/>
              <w:jc w:val="center"/>
            </w:pPr>
            <w:r>
              <w:rPr>
                <w:rFonts w:ascii="Arial" w:cs="Arial" w:eastAsia="Arial" w:hAnsi="Arial"/>
                <w:b/>
                <w:bCs/>
                <w:color w:val="0B2545"/>
                <w:sz w:val="56"/>
                <w:szCs w:val="56"/>
              </w:rPr>
              <w:t xml:space="preserve">~$20</w:t>
            </w:r>
          </w:p>
          <w:p>
            <w:pPr>
              <w:jc w:val="center"/>
            </w:pPr>
            <w:r>
              <w:rPr>
                <w:rFonts w:ascii="Arial" w:cs="Arial" w:eastAsia="Arial" w:hAnsi="Arial"/>
                <w:color w:val="374151"/>
                <w:sz w:val="18"/>
                <w:szCs w:val="18"/>
              </w:rPr>
              <w:t xml:space="preserve">AI cost per day (Haiku)</w:t>
            </w:r>
          </w:p>
        </w:tc>
        <w:tc>
          <w:tcPr>
            <w:tcW w:type="dxa" w:w="252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vAlign w:val="center"/>
          </w:tcPr>
          <w:p>
            <w:pPr>
              <w:spacing w:after="60" w:before="0"/>
              <w:jc w:val="center"/>
            </w:pPr>
            <w:r>
              <w:rPr>
                <w:rFonts w:ascii="Arial" w:cs="Arial" w:eastAsia="Arial" w:hAnsi="Arial"/>
                <w:b/>
                <w:bCs/>
                <w:color w:val="0B2545"/>
                <w:sz w:val="40"/>
                <w:szCs w:val="40"/>
              </w:rPr>
              <w:t xml:space="preserve">60 days</w:t>
            </w:r>
          </w:p>
          <w:p>
            <w:pPr>
              <w:jc w:val="center"/>
            </w:pPr>
            <w:r>
              <w:rPr>
                <w:rFonts w:ascii="Arial" w:cs="Arial" w:eastAsia="Arial" w:hAnsi="Arial"/>
                <w:color w:val="374151"/>
                <w:sz w:val="18"/>
                <w:szCs w:val="18"/>
              </w:rPr>
              <w:t xml:space="preserve">to statistically meaningful A/B data by segment</w:t>
            </w:r>
          </w:p>
        </w:tc>
        <w:tc>
          <w:tcPr>
            <w:tcW w:type="dxa" w:w="2520"/>
            <w:tcBorders>
              <w:top w:val="single" w:color="BFDBFE" w:sz="4"/>
              <w:left w:val="single" w:color="BFDBFE" w:sz="4"/>
              <w:bottom w:val="single" w:color="BFDBFE" w:sz="4"/>
              <w:right w:val="single" w:color="BFDBFE" w:sz="4"/>
            </w:tcBorders>
            <w:shd w:fill="EFF6FF" w:val="clear"/>
            <w:tcMar>
              <w:top w:type="dxa" w:w="120"/>
              <w:left w:type="dxa" w:w="160"/>
              <w:bottom w:type="dxa" w:w="120"/>
              <w:right w:type="dxa" w:w="160"/>
            </w:tcMar>
            <w:vAlign w:val="center"/>
          </w:tcPr>
          <w:p>
            <w:pPr>
              <w:spacing w:after="60" w:before="0"/>
              <w:jc w:val="center"/>
            </w:pPr>
            <w:r>
              <w:rPr>
                <w:rFonts w:ascii="Arial" w:cs="Arial" w:eastAsia="Arial" w:hAnsi="Arial"/>
                <w:b/>
                <w:bCs/>
                <w:color w:val="0B2545"/>
                <w:sz w:val="40"/>
                <w:szCs w:val="40"/>
              </w:rPr>
              <w:t xml:space="preserve">$50–80k</w:t>
            </w:r>
          </w:p>
          <w:p>
            <w:pPr>
              <w:jc w:val="center"/>
            </w:pPr>
            <w:r>
              <w:rPr>
                <w:rFonts w:ascii="Arial" w:cs="Arial" w:eastAsia="Arial" w:hAnsi="Arial"/>
                <w:color w:val="374151"/>
                <w:sz w:val="18"/>
                <w:szCs w:val="18"/>
              </w:rPr>
              <w:t xml:space="preserve">estimated annual infra + data (ZoomInfo, Vercel, Supabase)</w:t>
            </w:r>
          </w:p>
        </w:tc>
      </w:tr>
    </w:tbl>
    <w:p>
      <w:pPr>
        <w:spacing w:after="0" w:before="0" w:line="6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FDBFE" w:sz="6"/>
              <w:left w:val="none" w:color="FFFFFF" w:sz="0"/>
              <w:bottom w:val="none" w:color="FFFFFF" w:sz="0"/>
              <w:right w:val="none" w:color="FFFFFF" w:sz="0"/>
            </w:tcBorders>
            <w:shd w:fill="FFFFFF" w:val="clear"/>
            <w:tcMar>
              <w:top w:type="dxa" w:w="120"/>
              <w:left w:type="dxa" w:w="0"/>
              <w:bottom w:type="dxa" w:w="0"/>
              <w:right w:type="dxa" w:w="0"/>
            </w:tcMar>
          </w:tcPr>
          <w:p>
            <w:r>
              <w:rPr>
                <w:rFonts w:ascii="Arial" w:cs="Arial" w:eastAsia="Arial" w:hAnsi="Arial"/>
                <w:i/>
                <w:iCs/>
                <w:color w:val="374151"/>
                <w:sz w:val="18"/>
                <w:szCs w:val="18"/>
              </w:rPr>
              <w:t xml:space="preserve">The core research, drafting, and learning pipeline is already built and running. The work to scale is infrastructure and data governance, not a rewrite.</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2026-05-18T18:44:28.179Z</dcterms:created>
  <dcterms:modified xsi:type="dcterms:W3CDTF">2026-05-18T18:44:28.185Z</dcterms:modified>
</cp:coreProperties>
</file>

<file path=docProps/custom.xml><?xml version="1.0" encoding="utf-8"?>
<Properties xmlns="http://schemas.openxmlformats.org/officeDocument/2006/custom-properties" xmlns:vt="http://schemas.openxmlformats.org/officeDocument/2006/docPropsVTypes"/>
</file>