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FD4B23"/>
          <w:sz w:val="52"/>
          <w:szCs w:val="52"/>
        </w:rPr>
        <w:t xml:space="preserve">Engine-Agent</w:t>
      </w:r>
    </w:p>
    <w:p>
      <w:pPr>
        <w:spacing w:after="40" w:before="0"/>
      </w:pPr>
      <w:r>
        <w:rPr>
          <w:rFonts w:ascii="Arial" w:cs="Arial" w:eastAsia="Arial" w:hAnsi="Arial"/>
          <w:color w:val="10121A"/>
          <w:sz w:val="28"/>
          <w:szCs w:val="28"/>
        </w:rPr>
        <w:t xml:space="preserve">Build Log — Week of April 14, 2026</w:t>
      </w:r>
    </w:p>
    <w:p>
      <w:pPr>
        <w:spacing w:after="40" w:before="0"/>
      </w:pPr>
      <w:r>
        <w:rPr>
          <w:rFonts w:ascii="Arial" w:cs="Arial" w:eastAsia="Arial" w:hAnsi="Arial"/>
          <w:color w:val="9E9E9E"/>
          <w:sz w:val="20"/>
          <w:szCs w:val="20"/>
        </w:rPr>
        <w:t xml:space="preserve">Prepared for: Darren Callaghan</w:t>
      </w:r>
    </w:p>
    <w:p>
      <w:pPr>
        <w:spacing w:after="320" w:before="0"/>
      </w:pPr>
      <w:r>
        <w:rPr>
          <w:rFonts w:ascii="Arial" w:cs="Arial" w:eastAsia="Arial" w:hAnsi="Arial"/>
          <w:color w:val="9E9E9E"/>
          <w:sz w:val="20"/>
          <w:szCs w:val="20"/>
        </w:rPr>
        <w:t xml:space="preserve">darren.callaghan@engine.com</w:t>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Overview</w:t>
      </w:r>
    </w:p>
    <w:p>
      <w:pPr>
        <w:spacing w:after="80" w:before="60"/>
      </w:pPr>
      <w:r>
        <w:rPr>
          <w:rFonts w:ascii="Arial" w:cs="Arial" w:eastAsia="Arial" w:hAnsi="Arial"/>
          <w:color w:val="10121A"/>
          <w:sz w:val="22"/>
          <w:szCs w:val="22"/>
        </w:rPr>
        <w:t xml:space="preserve">This document summarises everything designed, built, and deployed on the Engine-Agent sales automation platform during the week of April 14, 2026. The platform is a Next.js 16 web application hosted on Vercel, backed by a Supabase Postgres database, and powered by the Claude AI API. All features described below were built from scratch or substantially extended during this period.</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1.  Stop / Cancel Workflow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
              <w:bottom w:val="single" w:color="FD4B23" w:sz="1"/>
              <w:right w:val="single" w:color="FD4B23" w:sz="1"/>
            </w:tcBorders>
            <w:shd w:fill="FFF3F0" w:val="clear"/>
            <w:tcMar>
              <w:top w:type="dxa" w:w="140"/>
              <w:left w:type="dxa" w:w="200"/>
              <w:bottom w:type="dxa" w:w="140"/>
              <w:right w:type="dxa" w:w="200"/>
            </w:tcMar>
          </w:tcPr>
          <w:p>
            <w:r>
              <w:rPr>
                <w:rFonts w:ascii="Arial" w:cs="Arial" w:eastAsia="Arial" w:hAnsi="Arial"/>
                <w:b/>
                <w:bCs/>
                <w:color w:val="FD4B23"/>
                <w:sz w:val="22"/>
                <w:szCs w:val="22"/>
              </w:rPr>
              <w:t xml:space="preserve">Feature Area: Workflow Control  |  Status: Complete &amp; Deployed</w:t>
            </w:r>
          </w:p>
        </w:tc>
      </w:tr>
    </w:tbl>
    <w:p>
      <w:pPr>
        <w:spacing w:after="0" w:before="120"/>
      </w:pPr>
      <w:r>
        <w:t xml:space="preserve"/>
      </w:r>
    </w:p>
    <w:p>
      <w:pPr>
        <w:spacing w:after="80" w:before="60"/>
      </w:pPr>
      <w:r>
        <w:rPr>
          <w:rFonts w:ascii="Arial" w:cs="Arial" w:eastAsia="Arial" w:hAnsi="Arial"/>
          <w:color w:val="10121A"/>
          <w:sz w:val="22"/>
          <w:szCs w:val="22"/>
        </w:rPr>
        <w:t xml:space="preserve">Before this build, once a workflow was started there was no way to cancel it mid-run. Reps had to wait for the entire batch to finish — even if they spotted a problem early.</w:t>
      </w:r>
    </w:p>
    <w:p>
      <w:pPr>
        <w:spacing w:after="0" w:before="80"/>
      </w:pPr>
      <w:r>
        <w:t xml:space="preserve"/>
      </w:r>
    </w:p>
    <w:p>
      <w:pPr>
        <w:spacing w:after="80" w:before="60"/>
      </w:pPr>
      <w:r>
        <w:rPr>
          <w:rFonts w:ascii="Arial" w:cs="Arial" w:eastAsia="Arial" w:hAnsi="Arial"/>
          <w:b/>
          <w:bCs/>
          <w:color w:val="10121A"/>
          <w:sz w:val="22"/>
          <w:szCs w:val="22"/>
        </w:rPr>
        <w:t xml:space="preserve">What was built:</w:t>
      </w:r>
    </w:p>
    <w:p>
      <w:pPr>
        <w:pStyle w:val="ListParagraph"/>
        <w:numPr>
          <w:ilvl w:val="0"/>
          <w:numId w:val="2"/>
        </w:numPr>
        <w:spacing w:after="40" w:before="40"/>
      </w:pPr>
      <w:r>
        <w:rPr>
          <w:rFonts w:ascii="Arial" w:cs="Arial" w:eastAsia="Arial" w:hAnsi="Arial"/>
          <w:b w:val="false"/>
          <w:bCs w:val="false"/>
          <w:color w:val="10121A"/>
          <w:sz w:val="22"/>
          <w:szCs w:val="22"/>
        </w:rPr>
        <w:t xml:space="preserve">A red ❚ Stop Workflow button appears in the UI as soon as a workflow starts running — in both single-list mode and batch discovery mode.</w:t>
      </w:r>
    </w:p>
    <w:p>
      <w:pPr>
        <w:pStyle w:val="ListParagraph"/>
        <w:numPr>
          <w:ilvl w:val="0"/>
          <w:numId w:val="2"/>
        </w:numPr>
        <w:spacing w:after="40" w:before="40"/>
      </w:pPr>
      <w:r>
        <w:rPr>
          <w:rFonts w:ascii="Arial" w:cs="Arial" w:eastAsia="Arial" w:hAnsi="Arial"/>
          <w:b w:val="false"/>
          <w:bCs w:val="false"/>
          <w:color w:val="10121A"/>
          <w:sz w:val="22"/>
          <w:szCs w:val="22"/>
        </w:rPr>
        <w:t xml:space="preserve">Clicking it sets a cancellation flag (cancelledRef) that the async workflow loop checks between each step.</w:t>
      </w:r>
    </w:p>
    <w:p>
      <w:pPr>
        <w:pStyle w:val="ListParagraph"/>
        <w:numPr>
          <w:ilvl w:val="0"/>
          <w:numId w:val="2"/>
        </w:numPr>
        <w:spacing w:after="40" w:before="40"/>
      </w:pPr>
      <w:r>
        <w:rPr>
          <w:rFonts w:ascii="Arial" w:cs="Arial" w:eastAsia="Arial" w:hAnsi="Arial"/>
          <w:b w:val="false"/>
          <w:bCs w:val="false"/>
          <w:color w:val="10121A"/>
          <w:sz w:val="22"/>
          <w:szCs w:val="22"/>
        </w:rPr>
        <w:t xml:space="preserve">Any emails or drafts already generated are kept — only future steps are skipped.</w:t>
      </w:r>
    </w:p>
    <w:p>
      <w:pPr>
        <w:pStyle w:val="ListParagraph"/>
        <w:numPr>
          <w:ilvl w:val="0"/>
          <w:numId w:val="2"/>
        </w:numPr>
        <w:spacing w:after="40" w:before="40"/>
      </w:pPr>
      <w:r>
        <w:rPr>
          <w:rFonts w:ascii="Arial" w:cs="Arial" w:eastAsia="Arial" w:hAnsi="Arial"/>
          <w:b w:val="false"/>
          <w:bCs w:val="false"/>
          <w:color w:val="10121A"/>
          <w:sz w:val="22"/>
          <w:szCs w:val="22"/>
        </w:rPr>
        <w:t xml:space="preserve">The status bar updates to show how many drafts were saved before stopping.</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2.  Batch Search Quality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
              <w:bottom w:val="single" w:color="FD4B23" w:sz="1"/>
              <w:right w:val="single" w:color="FD4B23" w:sz="1"/>
            </w:tcBorders>
            <w:shd w:fill="FFF3F0" w:val="clear"/>
            <w:tcMar>
              <w:top w:type="dxa" w:w="140"/>
              <w:left w:type="dxa" w:w="200"/>
              <w:bottom w:type="dxa" w:w="140"/>
              <w:right w:type="dxa" w:w="200"/>
            </w:tcMar>
          </w:tcPr>
          <w:p>
            <w:r>
              <w:rPr>
                <w:rFonts w:ascii="Arial" w:cs="Arial" w:eastAsia="Arial" w:hAnsi="Arial"/>
                <w:b/>
                <w:bCs/>
                <w:color w:val="FD4B23"/>
                <w:sz w:val="22"/>
                <w:szCs w:val="22"/>
              </w:rPr>
              <w:t xml:space="preserve">Feature Area: Org Discovery  |  Status: Complete &amp; Deployed</w:t>
            </w:r>
          </w:p>
        </w:tc>
      </w:tr>
    </w:tbl>
    <w:p>
      <w:pPr>
        <w:spacing w:after="0" w:before="120"/>
      </w:pPr>
      <w:r>
        <w:t xml:space="preserve"/>
      </w:r>
    </w:p>
    <w:p>
      <w:pPr>
        <w:spacing w:after="80" w:before="60"/>
      </w:pPr>
      <w:r>
        <w:rPr>
          <w:rFonts w:ascii="Arial" w:cs="Arial" w:eastAsia="Arial" w:hAnsi="Arial"/>
          <w:color w:val="10121A"/>
          <w:sz w:val="22"/>
          <w:szCs w:val="22"/>
        </w:rPr>
        <w:t xml:space="preserve">The batch discovery feature was returning the same companies every run — biased toward SMERF/associations — regardless of which rep was using it or what segment they focused on. Each rep was essentially getting results for the same imaginary ICP.</w:t>
      </w:r>
    </w:p>
    <w:p>
      <w:pPr>
        <w:spacing w:after="0" w:before="80"/>
      </w:pPr>
      <w:r>
        <w:t xml:space="preserve"/>
      </w:r>
    </w:p>
    <w:p>
      <w:pPr>
        <w:spacing w:after="80" w:before="60"/>
      </w:pPr>
      <w:r>
        <w:rPr>
          <w:rFonts w:ascii="Arial" w:cs="Arial" w:eastAsia="Arial" w:hAnsi="Arial"/>
          <w:b/>
          <w:bCs/>
          <w:color w:val="10121A"/>
          <w:sz w:val="22"/>
          <w:szCs w:val="22"/>
        </w:rPr>
        <w:t xml:space="preserve">Root cause:</w:t>
      </w:r>
    </w:p>
    <w:p>
      <w:pPr>
        <w:pStyle w:val="ListParagraph"/>
        <w:numPr>
          <w:ilvl w:val="0"/>
          <w:numId w:val="2"/>
        </w:numPr>
        <w:spacing w:after="40" w:before="40"/>
      </w:pPr>
      <w:r>
        <w:rPr>
          <w:rFonts w:ascii="Arial" w:cs="Arial" w:eastAsia="Arial" w:hAnsi="Arial"/>
          <w:b w:val="false"/>
          <w:bCs w:val="false"/>
          <w:color w:val="10121A"/>
          <w:sz w:val="22"/>
          <w:szCs w:val="22"/>
        </w:rPr>
        <w:t xml:space="preserve">Org discovery was hardcoded without live search, producing hallucinated results with no rep context.</w:t>
      </w:r>
    </w:p>
    <w:p>
      <w:pPr>
        <w:pStyle w:val="ListParagraph"/>
        <w:numPr>
          <w:ilvl w:val="0"/>
          <w:numId w:val="2"/>
        </w:numPr>
        <w:spacing w:after="40" w:before="40"/>
      </w:pPr>
      <w:r>
        <w:rPr>
          <w:rFonts w:ascii="Arial" w:cs="Arial" w:eastAsia="Arial" w:hAnsi="Arial"/>
          <w:b w:val="false"/>
          <w:bCs w:val="false"/>
          <w:color w:val="10121A"/>
          <w:sz w:val="22"/>
          <w:szCs w:val="22"/>
        </w:rPr>
        <w:t xml:space="preserve">There was no exclusion list, so already-contacted orgs kept reappearing.</w:t>
      </w:r>
    </w:p>
    <w:p>
      <w:pPr>
        <w:spacing w:after="0" w:before="80"/>
      </w:pPr>
      <w:r>
        <w:t xml:space="preserve"/>
      </w:r>
    </w:p>
    <w:p>
      <w:pPr>
        <w:spacing w:after="80" w:before="60"/>
      </w:pPr>
      <w:r>
        <w:rPr>
          <w:rFonts w:ascii="Arial" w:cs="Arial" w:eastAsia="Arial" w:hAnsi="Arial"/>
          <w:b/>
          <w:bCs/>
          <w:color w:val="10121A"/>
          <w:sz w:val="22"/>
          <w:szCs w:val="22"/>
        </w:rPr>
        <w:t xml:space="preserve">What was built:</w:t>
      </w:r>
    </w:p>
    <w:p>
      <w:pPr>
        <w:pStyle w:val="ListParagraph"/>
        <w:numPr>
          <w:ilvl w:val="0"/>
          <w:numId w:val="2"/>
        </w:numPr>
        <w:spacing w:after="40" w:before="40"/>
      </w:pPr>
      <w:r>
        <w:rPr>
          <w:rFonts w:ascii="Arial" w:cs="Arial" w:eastAsia="Arial" w:hAnsi="Arial"/>
          <w:b w:val="false"/>
          <w:bCs w:val="false"/>
          <w:color w:val="10121A"/>
          <w:sz w:val="22"/>
          <w:szCs w:val="22"/>
        </w:rPr>
        <w:t xml:space="preserve">New /api/discover route — uses Claude with live web search to find real, similar organisations based on the rep’s starting org and segment focus.</w:t>
      </w:r>
    </w:p>
    <w:p>
      <w:pPr>
        <w:pStyle w:val="ListParagraph"/>
        <w:numPr>
          <w:ilvl w:val="0"/>
          <w:numId w:val="2"/>
        </w:numPr>
        <w:spacing w:after="40" w:before="40"/>
      </w:pPr>
      <w:r>
        <w:rPr>
          <w:rFonts w:ascii="Arial" w:cs="Arial" w:eastAsia="Arial" w:hAnsi="Arial"/>
          <w:b w:val="false"/>
          <w:bCs w:val="false"/>
          <w:color w:val="10121A"/>
          <w:sz w:val="22"/>
          <w:szCs w:val="22"/>
        </w:rPr>
        <w:t xml:space="preserve">Exclusion list passed on every call — all orgs already in the rep’s Activity Log are excluded from results, so no duplicates.</w:t>
      </w:r>
    </w:p>
    <w:p>
      <w:pPr>
        <w:pStyle w:val="ListParagraph"/>
        <w:numPr>
          <w:ilvl w:val="0"/>
          <w:numId w:val="2"/>
        </w:numPr>
        <w:spacing w:after="40" w:before="40"/>
      </w:pPr>
      <w:r>
        <w:rPr>
          <w:rFonts w:ascii="Arial" w:cs="Arial" w:eastAsia="Arial" w:hAnsi="Arial"/>
          <w:b w:val="false"/>
          <w:bCs w:val="false"/>
          <w:color w:val="10121A"/>
          <w:sz w:val="22"/>
          <w:szCs w:val="22"/>
        </w:rPr>
        <w:t xml:space="preserve">New /api/contacts route — uses web search to find real named contacts at each discovered org (name, title, email). Falls back to a generated placeholder only as a last resort.</w:t>
      </w:r>
    </w:p>
    <w:p>
      <w:pPr>
        <w:pStyle w:val="ListParagraph"/>
        <w:numPr>
          <w:ilvl w:val="0"/>
          <w:numId w:val="2"/>
        </w:numPr>
        <w:spacing w:after="40" w:before="40"/>
      </w:pPr>
      <w:r>
        <w:rPr>
          <w:rFonts w:ascii="Arial" w:cs="Arial" w:eastAsia="Arial" w:hAnsi="Arial"/>
          <w:b w:val="false"/>
          <w:bCs w:val="false"/>
          <w:color w:val="10121A"/>
          <w:sz w:val="22"/>
          <w:szCs w:val="22"/>
        </w:rPr>
        <w:t xml:space="preserve">Results are now tailored to the individual rep’s territory and segment, not a shared default.</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3.  Writing Style &amp; Segment Focus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
              <w:bottom w:val="single" w:color="FD4B23" w:sz="1"/>
              <w:right w:val="single" w:color="FD4B23" w:sz="1"/>
            </w:tcBorders>
            <w:shd w:fill="FFF3F0" w:val="clear"/>
            <w:tcMar>
              <w:top w:type="dxa" w:w="140"/>
              <w:left w:type="dxa" w:w="200"/>
              <w:bottom w:type="dxa" w:w="140"/>
              <w:right w:type="dxa" w:w="200"/>
            </w:tcMar>
          </w:tcPr>
          <w:p>
            <w:r>
              <w:rPr>
                <w:rFonts w:ascii="Arial" w:cs="Arial" w:eastAsia="Arial" w:hAnsi="Arial"/>
                <w:b/>
                <w:bCs/>
                <w:color w:val="FD4B23"/>
                <w:sz w:val="22"/>
                <w:szCs w:val="22"/>
              </w:rPr>
              <w:t xml:space="preserve">Feature Area: Rep Profile  |  Status: Complete &amp; Deployed</w:t>
            </w:r>
          </w:p>
        </w:tc>
      </w:tr>
    </w:tbl>
    <w:p>
      <w:pPr>
        <w:spacing w:after="0" w:before="120"/>
      </w:pPr>
      <w:r>
        <w:t xml:space="preserve"/>
      </w:r>
    </w:p>
    <w:p>
      <w:pPr>
        <w:spacing w:after="80" w:before="60"/>
      </w:pPr>
      <w:r>
        <w:rPr>
          <w:rFonts w:ascii="Arial" w:cs="Arial" w:eastAsia="Arial" w:hAnsi="Arial"/>
          <w:color w:val="10121A"/>
          <w:sz w:val="22"/>
          <w:szCs w:val="22"/>
        </w:rPr>
        <w:t xml:space="preserve">The original design had a single style profile modal that mixed writing style and market segment information into one confusing interface. After reviewing the UI, this was split into two entirely separate, purpose-built modals.</w:t>
      </w:r>
    </w:p>
    <w:p>
      <w:pPr>
        <w:spacing w:after="0" w:before="80"/>
      </w:pPr>
      <w:r>
        <w:t xml:space="preserve"/>
      </w:r>
    </w:p>
    <w:p>
      <w:pPr>
        <w:pStyle w:val="Heading2"/>
        <w:spacing w:after="120" w:before="280"/>
      </w:pPr>
      <w:r>
        <w:rPr>
          <w:rFonts w:ascii="Arial" w:cs="Arial" w:eastAsia="Arial" w:hAnsi="Arial"/>
          <w:b/>
          <w:bCs/>
          <w:color w:val="10121A"/>
          <w:sz w:val="24"/>
          <w:szCs w:val="24"/>
        </w:rPr>
        <w:t xml:space="preserve">3a.  Two Separate Header Buttons</w:t>
      </w:r>
    </w:p>
    <w:p>
      <w:pPr>
        <w:pStyle w:val="ListParagraph"/>
        <w:numPr>
          <w:ilvl w:val="0"/>
          <w:numId w:val="2"/>
        </w:numPr>
        <w:spacing w:after="40" w:before="40"/>
      </w:pPr>
      <w:r>
        <w:rPr>
          <w:rFonts w:ascii="Arial" w:cs="Arial" w:eastAsia="Arial" w:hAnsi="Arial"/>
          <w:b w:val="false"/>
          <w:bCs w:val="false"/>
          <w:color w:val="10121A"/>
          <w:sz w:val="22"/>
          <w:szCs w:val="22"/>
        </w:rPr>
        <w:t xml:space="preserve">The header now shows two distinct buttons: “Writing Style” and “Segment Focus”.</w:t>
      </w:r>
    </w:p>
    <w:p>
      <w:pPr>
        <w:pStyle w:val="ListParagraph"/>
        <w:numPr>
          <w:ilvl w:val="0"/>
          <w:numId w:val="2"/>
        </w:numPr>
        <w:spacing w:after="40" w:before="40"/>
      </w:pPr>
      <w:r>
        <w:rPr>
          <w:rFonts w:ascii="Arial" w:cs="Arial" w:eastAsia="Arial" w:hAnsi="Arial"/>
          <w:b w:val="false"/>
          <w:bCs w:val="false"/>
          <w:color w:val="10121A"/>
          <w:sz w:val="22"/>
          <w:szCs w:val="22"/>
        </w:rPr>
        <w:t xml:space="preserve">Each button has its own status indicator — a green tick if configured, an orange alert badge if empty.</w:t>
      </w:r>
    </w:p>
    <w:p>
      <w:pPr>
        <w:pStyle w:val="ListParagraph"/>
        <w:numPr>
          <w:ilvl w:val="0"/>
          <w:numId w:val="2"/>
        </w:numPr>
        <w:spacing w:after="40" w:before="40"/>
      </w:pPr>
      <w:r>
        <w:rPr>
          <w:rFonts w:ascii="Arial" w:cs="Arial" w:eastAsia="Arial" w:hAnsi="Arial"/>
          <w:b w:val="false"/>
          <w:bCs w:val="false"/>
          <w:color w:val="10121A"/>
          <w:sz w:val="22"/>
          <w:szCs w:val="22"/>
        </w:rPr>
        <w:t xml:space="preserve">Each opens its own modal with no overlap in content.</w:t>
      </w:r>
    </w:p>
    <w:p>
      <w:pPr>
        <w:spacing w:after="0" w:before="80"/>
      </w:pPr>
      <w:r>
        <w:t xml:space="preserve"/>
      </w:r>
    </w:p>
    <w:p>
      <w:pPr>
        <w:pStyle w:val="Heading2"/>
        <w:spacing w:after="120" w:before="280"/>
      </w:pPr>
      <w:r>
        <w:rPr>
          <w:rFonts w:ascii="Arial" w:cs="Arial" w:eastAsia="Arial" w:hAnsi="Arial"/>
          <w:b/>
          <w:bCs/>
          <w:color w:val="10121A"/>
          <w:sz w:val="24"/>
          <w:szCs w:val="24"/>
        </w:rPr>
        <w:t xml:space="preserve">3b.  Writing Style Modal</w:t>
      </w:r>
    </w:p>
    <w:p>
      <w:pPr>
        <w:pStyle w:val="ListParagraph"/>
        <w:numPr>
          <w:ilvl w:val="0"/>
          <w:numId w:val="2"/>
        </w:numPr>
        <w:spacing w:after="40" w:before="40"/>
      </w:pPr>
      <w:r>
        <w:rPr>
          <w:rFonts w:ascii="Arial" w:cs="Arial" w:eastAsia="Arial" w:hAnsi="Arial"/>
          <w:b w:val="false"/>
          <w:bCs w:val="false"/>
          <w:color w:val="10121A"/>
          <w:sz w:val="22"/>
          <w:szCs w:val="22"/>
        </w:rPr>
        <w:t xml:space="preserve">Contains three tabs: Style Guide (Claude’s analysis of the rep’s writing), Writing Samples (the raw sample the rep pasted), and Edit History (up to 5 recent edits Claude has learned from).</w:t>
      </w:r>
    </w:p>
    <w:p>
      <w:pPr>
        <w:pStyle w:val="ListParagraph"/>
        <w:numPr>
          <w:ilvl w:val="0"/>
          <w:numId w:val="2"/>
        </w:numPr>
        <w:spacing w:after="40" w:before="40"/>
      </w:pPr>
      <w:r>
        <w:rPr>
          <w:rFonts w:ascii="Arial" w:cs="Arial" w:eastAsia="Arial" w:hAnsi="Arial"/>
          <w:b w:val="false"/>
          <w:bCs w:val="false"/>
          <w:color w:val="10121A"/>
          <w:sz w:val="22"/>
          <w:szCs w:val="22"/>
        </w:rPr>
        <w:t xml:space="preserve">The Segment Focus tab that previously lived here was removed entirely.</w:t>
      </w:r>
    </w:p>
    <w:p>
      <w:pPr>
        <w:spacing w:after="0" w:before="80"/>
      </w:pPr>
      <w:r>
        <w:t xml:space="preserve"/>
      </w:r>
    </w:p>
    <w:p>
      <w:pPr>
        <w:pStyle w:val="Heading2"/>
        <w:spacing w:after="120" w:before="280"/>
      </w:pPr>
      <w:r>
        <w:rPr>
          <w:rFonts w:ascii="Arial" w:cs="Arial" w:eastAsia="Arial" w:hAnsi="Arial"/>
          <w:b/>
          <w:bCs/>
          <w:color w:val="10121A"/>
          <w:sz w:val="24"/>
          <w:szCs w:val="24"/>
        </w:rPr>
        <w:t xml:space="preserve">3c.  Segment Focus Modal (New)</w:t>
      </w:r>
    </w:p>
    <w:p>
      <w:pPr>
        <w:pStyle w:val="ListParagraph"/>
        <w:numPr>
          <w:ilvl w:val="0"/>
          <w:numId w:val="2"/>
        </w:numPr>
        <w:spacing w:after="40" w:before="40"/>
      </w:pPr>
      <w:r>
        <w:rPr>
          <w:rFonts w:ascii="Arial" w:cs="Arial" w:eastAsia="Arial" w:hAnsi="Arial"/>
          <w:b w:val="false"/>
          <w:bCs w:val="false"/>
          <w:color w:val="10121A"/>
          <w:sz w:val="22"/>
          <w:szCs w:val="22"/>
        </w:rPr>
        <w:t xml:space="preserve">A fully new, standalone modal component called SegmentViewer.</w:t>
      </w:r>
    </w:p>
    <w:p>
      <w:pPr>
        <w:pStyle w:val="ListParagraph"/>
        <w:numPr>
          <w:ilvl w:val="0"/>
          <w:numId w:val="2"/>
        </w:numPr>
        <w:spacing w:after="40" w:before="40"/>
      </w:pPr>
      <w:r>
        <w:rPr>
          <w:rFonts w:ascii="Arial" w:cs="Arial" w:eastAsia="Arial" w:hAnsi="Arial"/>
          <w:b w:val="false"/>
          <w:bCs w:val="false"/>
          <w:color w:val="10121A"/>
          <w:sz w:val="22"/>
          <w:szCs w:val="22"/>
        </w:rPr>
        <w:t xml:space="preserve">Three clearly labelled sections: Target org types (e.g. associations, corporates, sports teams), Named examples (specific orgs the rep targets), and Why Engine is the right fit (what makes these orgs good partners, not just why they need hotels).</w:t>
      </w:r>
    </w:p>
    <w:p>
      <w:pPr>
        <w:pStyle w:val="ListParagraph"/>
        <w:numPr>
          <w:ilvl w:val="0"/>
          <w:numId w:val="2"/>
        </w:numPr>
        <w:spacing w:after="40" w:before="40"/>
      </w:pPr>
      <w:r>
        <w:rPr>
          <w:rFonts w:ascii="Arial" w:cs="Arial" w:eastAsia="Arial" w:hAnsi="Arial"/>
          <w:b w:val="false"/>
          <w:bCs w:val="false"/>
          <w:color w:val="10121A"/>
          <w:sz w:val="22"/>
          <w:szCs w:val="22"/>
        </w:rPr>
        <w:t xml:space="preserve">Each section is a separate text area so reps can fill in exactly what’s relevant to them.</w:t>
      </w:r>
    </w:p>
    <w:p>
      <w:pPr>
        <w:pStyle w:val="ListParagraph"/>
        <w:numPr>
          <w:ilvl w:val="0"/>
          <w:numId w:val="2"/>
        </w:numPr>
        <w:spacing w:after="40" w:before="40"/>
      </w:pPr>
      <w:r>
        <w:rPr>
          <w:rFonts w:ascii="Arial" w:cs="Arial" w:eastAsia="Arial" w:hAnsi="Arial"/>
          <w:b w:val="false"/>
          <w:bCs w:val="false"/>
          <w:color w:val="10121A"/>
          <w:sz w:val="22"/>
          <w:szCs w:val="22"/>
        </w:rPr>
        <w:t xml:space="preserve">Saves to the rep profile on close and is used by the AI to tailor every email and org discovery search.</w:t>
      </w:r>
    </w:p>
    <w:p>
      <w:pPr>
        <w:pStyle w:val="ListParagraph"/>
        <w:numPr>
          <w:ilvl w:val="0"/>
          <w:numId w:val="2"/>
        </w:numPr>
        <w:spacing w:after="40" w:before="40"/>
      </w:pPr>
      <w:r>
        <w:rPr>
          <w:rFonts w:ascii="Arial" w:cs="Arial" w:eastAsia="Arial" w:hAnsi="Arial"/>
          <w:b w:val="false"/>
          <w:bCs w:val="false"/>
          <w:color w:val="10121A"/>
          <w:sz w:val="22"/>
          <w:szCs w:val="22"/>
        </w:rPr>
        <w:t xml:space="preserve">Guidance: entries can be descriptive — the richer the context, the better the AI results.</w:t>
      </w:r>
    </w:p>
    <w:p>
      <w:pPr>
        <w:spacing w:after="0" w:before="80"/>
      </w:pPr>
      <w:r>
        <w:t xml:space="preserve"/>
      </w:r>
    </w:p>
    <w:p>
      <w:pPr>
        <w:pStyle w:val="Heading2"/>
        <w:spacing w:after="120" w:before="280"/>
      </w:pPr>
      <w:r>
        <w:rPr>
          <w:rFonts w:ascii="Arial" w:cs="Arial" w:eastAsia="Arial" w:hAnsi="Arial"/>
          <w:b/>
          <w:bCs/>
          <w:color w:val="10121A"/>
          <w:sz w:val="24"/>
          <w:szCs w:val="24"/>
        </w:rPr>
        <w:t xml:space="preserve">3d.  Section Rename</w:t>
      </w:r>
    </w:p>
    <w:p>
      <w:pPr>
        <w:pStyle w:val="ListParagraph"/>
        <w:numPr>
          <w:ilvl w:val="0"/>
          <w:numId w:val="2"/>
        </w:numPr>
        <w:spacing w:after="40" w:before="40"/>
      </w:pPr>
      <w:r>
        <w:rPr>
          <w:rFonts w:ascii="Arial" w:cs="Arial" w:eastAsia="Arial" w:hAnsi="Arial"/>
          <w:b w:val="false"/>
          <w:bCs w:val="false"/>
          <w:color w:val="10121A"/>
          <w:sz w:val="22"/>
          <w:szCs w:val="22"/>
        </w:rPr>
        <w:t xml:space="preserve">The third section inside the Segment Focus modal was renamed from “Why they need hotels” to “Why Engine is the right fit” — shifting the framing from generic hotel need to Engine’s specific value proposition and partner fit.</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4.  Supabase Profile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
              <w:bottom w:val="single" w:color="FD4B23" w:sz="1"/>
              <w:right w:val="single" w:color="FD4B23" w:sz="1"/>
            </w:tcBorders>
            <w:shd w:fill="FFF3F0" w:val="clear"/>
            <w:tcMar>
              <w:top w:type="dxa" w:w="140"/>
              <w:left w:type="dxa" w:w="200"/>
              <w:bottom w:type="dxa" w:w="140"/>
              <w:right w:type="dxa" w:w="200"/>
            </w:tcMar>
          </w:tcPr>
          <w:p>
            <w:r>
              <w:rPr>
                <w:rFonts w:ascii="Arial" w:cs="Arial" w:eastAsia="Arial" w:hAnsi="Arial"/>
                <w:b/>
                <w:bCs/>
                <w:color w:val="FD4B23"/>
                <w:sz w:val="22"/>
                <w:szCs w:val="22"/>
              </w:rPr>
              <w:t xml:space="preserve">Feature Area: Data Persistence  |  Status: Complete &amp; Deployed</w:t>
            </w:r>
          </w:p>
        </w:tc>
      </w:tr>
    </w:tbl>
    <w:p>
      <w:pPr>
        <w:spacing w:after="0" w:before="120"/>
      </w:pPr>
      <w:r>
        <w:t xml:space="preserve"/>
      </w:r>
    </w:p>
    <w:p>
      <w:pPr>
        <w:spacing w:after="80" w:before="60"/>
      </w:pPr>
      <w:r>
        <w:rPr>
          <w:rFonts w:ascii="Arial" w:cs="Arial" w:eastAsia="Arial" w:hAnsi="Arial"/>
          <w:color w:val="10121A"/>
          <w:sz w:val="22"/>
          <w:szCs w:val="22"/>
        </w:rPr>
        <w:t xml:space="preserve">Previously, each rep’s writing style and segment focus were stored only in their browser’s localStorage. This meant profiles were lost if a rep switched browsers, cleared their cache, or used a different device.</w:t>
      </w:r>
    </w:p>
    <w:p>
      <w:pPr>
        <w:spacing w:after="0" w:before="80"/>
      </w:pPr>
      <w:r>
        <w:t xml:space="preserve"/>
      </w:r>
    </w:p>
    <w:p>
      <w:pPr>
        <w:spacing w:after="80" w:before="60"/>
      </w:pPr>
      <w:r>
        <w:rPr>
          <w:rFonts w:ascii="Arial" w:cs="Arial" w:eastAsia="Arial" w:hAnsi="Arial"/>
          <w:b/>
          <w:bCs/>
          <w:color w:val="10121A"/>
          <w:sz w:val="22"/>
          <w:szCs w:val="22"/>
        </w:rPr>
        <w:t xml:space="preserve">What was built:</w:t>
      </w:r>
    </w:p>
    <w:p>
      <w:pPr>
        <w:pStyle w:val="ListParagraph"/>
        <w:numPr>
          <w:ilvl w:val="0"/>
          <w:numId w:val="2"/>
        </w:numPr>
        <w:spacing w:after="40" w:before="40"/>
      </w:pPr>
      <w:r>
        <w:rPr>
          <w:rFonts w:ascii="Arial" w:cs="Arial" w:eastAsia="Arial" w:hAnsi="Arial"/>
          <w:b w:val="false"/>
          <w:bCs w:val="false"/>
          <w:color w:val="10121A"/>
          <w:sz w:val="22"/>
          <w:szCs w:val="22"/>
        </w:rPr>
        <w:t xml:space="preserve">New /api/profiles route with GET (fetch a profile by rep name) and POST (upsert a profile) endpoints.</w:t>
      </w:r>
    </w:p>
    <w:p>
      <w:pPr>
        <w:pStyle w:val="ListParagraph"/>
        <w:numPr>
          <w:ilvl w:val="0"/>
          <w:numId w:val="2"/>
        </w:numPr>
        <w:spacing w:after="40" w:before="40"/>
      </w:pPr>
      <w:r>
        <w:rPr>
          <w:rFonts w:ascii="Arial" w:cs="Arial" w:eastAsia="Arial" w:hAnsi="Arial"/>
          <w:b w:val="false"/>
          <w:bCs w:val="false"/>
          <w:color w:val="10121A"/>
          <w:sz w:val="22"/>
          <w:szCs w:val="22"/>
        </w:rPr>
        <w:t xml:space="preserve">New rep_profiles table in Supabase Postgres — stores rep name, writing sample, extracted style guide, edit history, segment focus, and wave number.</w:t>
      </w:r>
    </w:p>
    <w:p>
      <w:pPr>
        <w:pStyle w:val="ListParagraph"/>
        <w:numPr>
          <w:ilvl w:val="0"/>
          <w:numId w:val="2"/>
        </w:numPr>
        <w:spacing w:after="40" w:before="40"/>
      </w:pPr>
      <w:r>
        <w:rPr>
          <w:rFonts w:ascii="Arial" w:cs="Arial" w:eastAsia="Arial" w:hAnsi="Arial"/>
          <w:b w:val="false"/>
          <w:bCs w:val="false"/>
          <w:color w:val="10121A"/>
          <w:sz w:val="22"/>
          <w:szCs w:val="22"/>
        </w:rPr>
        <w:t xml:space="preserve">On app load: profile is fetched from Supabase immediately after the localStorage seed, and overrides local data if a newer record exists.</w:t>
      </w:r>
    </w:p>
    <w:p>
      <w:pPr>
        <w:pStyle w:val="ListParagraph"/>
        <w:numPr>
          <w:ilvl w:val="0"/>
          <w:numId w:val="2"/>
        </w:numPr>
        <w:spacing w:after="40" w:before="40"/>
      </w:pPr>
      <w:r>
        <w:rPr>
          <w:rFonts w:ascii="Arial" w:cs="Arial" w:eastAsia="Arial" w:hAnsi="Arial"/>
          <w:b w:val="false"/>
          <w:bCs w:val="false"/>
          <w:color w:val="10121A"/>
          <w:sz w:val="22"/>
          <w:szCs w:val="22"/>
        </w:rPr>
        <w:t xml:space="preserve">On every save: profile is written to both localStorage (for instant local feedback) and Supabase (as the authoritative store).</w:t>
      </w:r>
    </w:p>
    <w:p>
      <w:pPr>
        <w:pStyle w:val="ListParagraph"/>
        <w:numPr>
          <w:ilvl w:val="0"/>
          <w:numId w:val="2"/>
        </w:numPr>
        <w:spacing w:after="40" w:before="40"/>
      </w:pPr>
      <w:r>
        <w:rPr>
          <w:rFonts w:ascii="Arial" w:cs="Arial" w:eastAsia="Arial" w:hAnsi="Arial"/>
          <w:b w:val="false"/>
          <w:bCs w:val="false"/>
          <w:color w:val="10121A"/>
          <w:sz w:val="22"/>
          <w:szCs w:val="22"/>
        </w:rPr>
        <w:t xml:space="preserve">Network errors are handled gracefully — if Supabase is unreachable, the local version is kept without crashing.</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5.  Wave Numbers Moved to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
              <w:bottom w:val="single" w:color="FD4B23" w:sz="1"/>
              <w:right w:val="single" w:color="FD4B23" w:sz="1"/>
            </w:tcBorders>
            <w:shd w:fill="FFF3F0" w:val="clear"/>
            <w:tcMar>
              <w:top w:type="dxa" w:w="140"/>
              <w:left w:type="dxa" w:w="200"/>
              <w:bottom w:type="dxa" w:w="140"/>
              <w:right w:type="dxa" w:w="200"/>
            </w:tcMar>
          </w:tcPr>
          <w:p>
            <w:r>
              <w:rPr>
                <w:rFonts w:ascii="Arial" w:cs="Arial" w:eastAsia="Arial" w:hAnsi="Arial"/>
                <w:b/>
                <w:bCs/>
                <w:color w:val="FD4B23"/>
                <w:sz w:val="22"/>
                <w:szCs w:val="22"/>
              </w:rPr>
              <w:t xml:space="preserve">Feature Area: Data Persistence  |  Status: Complete &amp; Deployed</w:t>
            </w:r>
          </w:p>
        </w:tc>
      </w:tr>
    </w:tbl>
    <w:p>
      <w:pPr>
        <w:spacing w:after="0" w:before="120"/>
      </w:pPr>
      <w:r>
        <w:t xml:space="preserve"/>
      </w:r>
    </w:p>
    <w:p>
      <w:pPr>
        <w:spacing w:after="80" w:before="60"/>
      </w:pPr>
      <w:r>
        <w:rPr>
          <w:rFonts w:ascii="Arial" w:cs="Arial" w:eastAsia="Arial" w:hAnsi="Arial"/>
          <w:color w:val="10121A"/>
          <w:sz w:val="22"/>
          <w:szCs w:val="22"/>
        </w:rPr>
        <w:t xml:space="preserve">Wave numbers (which track how many outreach rounds a rep has completed) were stored only in localStorage alongside the profile. They are now stored in the rep_profiles table in Supabase as the wave_number column.</w:t>
      </w:r>
    </w:p>
    <w:p>
      <w:pPr>
        <w:spacing w:after="0" w:before="80"/>
      </w:pPr>
      <w:r>
        <w:t xml:space="preserve"/>
      </w:r>
    </w:p>
    <w:p>
      <w:pPr>
        <w:spacing w:after="80" w:before="60"/>
      </w:pPr>
      <w:r>
        <w:rPr>
          <w:rFonts w:ascii="Arial" w:cs="Arial" w:eastAsia="Arial" w:hAnsi="Arial"/>
          <w:b/>
          <w:bCs/>
          <w:color w:val="10121A"/>
          <w:sz w:val="22"/>
          <w:szCs w:val="22"/>
        </w:rPr>
        <w:t xml:space="preserve">What was built:</w:t>
      </w:r>
    </w:p>
    <w:p>
      <w:pPr>
        <w:pStyle w:val="ListParagraph"/>
        <w:numPr>
          <w:ilvl w:val="0"/>
          <w:numId w:val="2"/>
        </w:numPr>
        <w:spacing w:after="40" w:before="40"/>
      </w:pPr>
      <w:r>
        <w:rPr>
          <w:rFonts w:ascii="Arial" w:cs="Arial" w:eastAsia="Arial" w:hAnsi="Arial"/>
          <w:b w:val="false"/>
          <w:bCs w:val="false"/>
          <w:color w:val="10121A"/>
          <w:sz w:val="22"/>
          <w:szCs w:val="22"/>
        </w:rPr>
        <w:t xml:space="preserve">Wave number is saved to Supabase every time a workflow completes — in all three workflow modes (single org, batch discovery, and list mode).</w:t>
      </w:r>
    </w:p>
    <w:p>
      <w:pPr>
        <w:pStyle w:val="ListParagraph"/>
        <w:numPr>
          <w:ilvl w:val="0"/>
          <w:numId w:val="2"/>
        </w:numPr>
        <w:spacing w:after="40" w:before="40"/>
      </w:pPr>
      <w:r>
        <w:rPr>
          <w:rFonts w:ascii="Arial" w:cs="Arial" w:eastAsia="Arial" w:hAnsi="Arial"/>
          <w:b w:val="false"/>
          <w:bCs w:val="false"/>
          <w:color w:val="10121A"/>
          <w:sz w:val="22"/>
          <w:szCs w:val="22"/>
        </w:rPr>
        <w:t xml:space="preserve">Wave number is loaded from Supabase on startup alongside the rest of the profile.</w:t>
      </w:r>
    </w:p>
    <w:p>
      <w:pPr>
        <w:pStyle w:val="ListParagraph"/>
        <w:numPr>
          <w:ilvl w:val="0"/>
          <w:numId w:val="2"/>
        </w:numPr>
        <w:spacing w:after="40" w:before="40"/>
      </w:pPr>
      <w:r>
        <w:rPr>
          <w:rFonts w:ascii="Arial" w:cs="Arial" w:eastAsia="Arial" w:hAnsi="Arial"/>
          <w:b w:val="false"/>
          <w:bCs w:val="false"/>
          <w:color w:val="10121A"/>
          <w:sz w:val="22"/>
          <w:szCs w:val="22"/>
        </w:rPr>
        <w:t xml:space="preserve">localStorage continues to serve as a fast local cache so the UI shows the correct wave number instantly on load.</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6.  Duplicate Org Detection in Activity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
              <w:bottom w:val="single" w:color="FD4B23" w:sz="1"/>
              <w:right w:val="single" w:color="FD4B23" w:sz="1"/>
            </w:tcBorders>
            <w:shd w:fill="FFF3F0" w:val="clear"/>
            <w:tcMar>
              <w:top w:type="dxa" w:w="140"/>
              <w:left w:type="dxa" w:w="200"/>
              <w:bottom w:type="dxa" w:w="140"/>
              <w:right w:type="dxa" w:w="200"/>
            </w:tcMar>
          </w:tcPr>
          <w:p>
            <w:r>
              <w:rPr>
                <w:rFonts w:ascii="Arial" w:cs="Arial" w:eastAsia="Arial" w:hAnsi="Arial"/>
                <w:b/>
                <w:bCs/>
                <w:color w:val="FD4B23"/>
                <w:sz w:val="22"/>
                <w:szCs w:val="22"/>
              </w:rPr>
              <w:t xml:space="preserve">Feature Area: Activity Log / Pipeline Management  |  Status: Complete &amp; Deployed</w:t>
            </w:r>
          </w:p>
        </w:tc>
      </w:tr>
    </w:tbl>
    <w:p>
      <w:pPr>
        <w:spacing w:after="0" w:before="120"/>
      </w:pPr>
      <w:r>
        <w:t xml:space="preserve"/>
      </w:r>
    </w:p>
    <w:p>
      <w:pPr>
        <w:spacing w:after="80" w:before="60"/>
      </w:pPr>
      <w:r>
        <w:rPr>
          <w:rFonts w:ascii="Arial" w:cs="Arial" w:eastAsia="Arial" w:hAnsi="Arial"/>
          <w:color w:val="10121A"/>
          <w:sz w:val="22"/>
          <w:szCs w:val="22"/>
        </w:rPr>
        <w:t xml:space="preserve">As reps run multiple workflow waves, the same organisation can end up with multiple entries in the Activity Log — multiple contacts at the same org, or the same org contacted in two different waves. Previously there was no visual indicator of this.</w:t>
      </w:r>
    </w:p>
    <w:p>
      <w:pPr>
        <w:spacing w:after="0" w:before="80"/>
      </w:pPr>
      <w:r>
        <w:t xml:space="preserve"/>
      </w:r>
    </w:p>
    <w:p>
      <w:pPr>
        <w:spacing w:after="80" w:before="60"/>
      </w:pPr>
      <w:r>
        <w:rPr>
          <w:rFonts w:ascii="Arial" w:cs="Arial" w:eastAsia="Arial" w:hAnsi="Arial"/>
          <w:b/>
          <w:bCs/>
          <w:color w:val="10121A"/>
          <w:sz w:val="22"/>
          <w:szCs w:val="22"/>
        </w:rPr>
        <w:t xml:space="preserve">What was built:</w:t>
      </w:r>
    </w:p>
    <w:p>
      <w:pPr>
        <w:pStyle w:val="ListParagraph"/>
        <w:numPr>
          <w:ilvl w:val="0"/>
          <w:numId w:val="2"/>
        </w:numPr>
        <w:spacing w:after="40" w:before="40"/>
      </w:pPr>
      <w:r>
        <w:rPr>
          <w:rFonts w:ascii="Arial" w:cs="Arial" w:eastAsia="Arial" w:hAnsi="Arial"/>
          <w:b w:val="false"/>
          <w:bCs w:val="false"/>
          <w:color w:val="10121A"/>
          <w:sz w:val="22"/>
          <w:szCs w:val="22"/>
        </w:rPr>
        <w:t xml:space="preserve">Automatic duplicate detection — any organisation that appears more than once in the visible pipeline is flagged.</w:t>
      </w:r>
    </w:p>
    <w:p>
      <w:pPr>
        <w:pStyle w:val="ListParagraph"/>
        <w:numPr>
          <w:ilvl w:val="0"/>
          <w:numId w:val="2"/>
        </w:numPr>
        <w:spacing w:after="40" w:before="40"/>
      </w:pPr>
      <w:r>
        <w:rPr>
          <w:rFonts w:ascii="Arial" w:cs="Arial" w:eastAsia="Arial" w:hAnsi="Arial"/>
          <w:b w:val="false"/>
          <w:bCs w:val="false"/>
          <w:color w:val="10121A"/>
          <w:sz w:val="22"/>
          <w:szCs w:val="22"/>
        </w:rPr>
        <w:t xml:space="preserve">A purple ×2 (or ×3 etc.) badge appears next to the org name on every duplicate row, showing how many entries exist for that org.</w:t>
      </w:r>
    </w:p>
    <w:p>
      <w:pPr>
        <w:pStyle w:val="ListParagraph"/>
        <w:numPr>
          <w:ilvl w:val="0"/>
          <w:numId w:val="2"/>
        </w:numPr>
        <w:spacing w:after="40" w:before="40"/>
      </w:pPr>
      <w:r>
        <w:rPr>
          <w:rFonts w:ascii="Arial" w:cs="Arial" w:eastAsia="Arial" w:hAnsi="Arial"/>
          <w:b w:val="false"/>
          <w:bCs w:val="false"/>
          <w:color w:val="10121A"/>
          <w:sz w:val="22"/>
          <w:szCs w:val="22"/>
        </w:rPr>
        <w:t xml:space="preserve">Duplicate rows are highlighted with a faint purple background so they stand out at a glance.</w:t>
      </w:r>
    </w:p>
    <w:p>
      <w:pPr>
        <w:pStyle w:val="ListParagraph"/>
        <w:numPr>
          <w:ilvl w:val="0"/>
          <w:numId w:val="2"/>
        </w:numPr>
        <w:spacing w:after="40" w:before="40"/>
      </w:pPr>
      <w:r>
        <w:rPr>
          <w:rFonts w:ascii="Arial" w:cs="Arial" w:eastAsia="Arial" w:hAnsi="Arial"/>
          <w:b w:val="false"/>
          <w:bCs w:val="false"/>
          <w:color w:val="10121A"/>
          <w:sz w:val="22"/>
          <w:szCs w:val="22"/>
        </w:rPr>
        <w:t xml:space="preserve">A “🔁 X duplicate orgs” filter button appears in the Today’s Actions bar whenever duplicates exist, letting reps filter the log to only show duplicates in one click.</w:t>
      </w:r>
    </w:p>
    <w:p>
      <w:pPr>
        <w:pStyle w:val="ListParagraph"/>
        <w:numPr>
          <w:ilvl w:val="0"/>
          <w:numId w:val="2"/>
        </w:numPr>
        <w:spacing w:after="40" w:before="40"/>
      </w:pPr>
      <w:r>
        <w:rPr>
          <w:rFonts w:ascii="Arial" w:cs="Arial" w:eastAsia="Arial" w:hAnsi="Arial"/>
          <w:b w:val="false"/>
          <w:bCs w:val="false"/>
          <w:color w:val="10121A"/>
          <w:sz w:val="22"/>
          <w:szCs w:val="22"/>
        </w:rPr>
        <w:t xml:space="preserve">Respects the rep’s current view (My Pipeline vs All Reps) — duplicates are calculated within the visible set only.</w:t>
      </w:r>
    </w:p>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Technology Stack</w:t>
      </w:r>
    </w:p>
    <w:p>
      <w:pPr>
        <w:spacing w:after="80" w:before="60"/>
      </w:pPr>
      <w:r>
        <w:rPr>
          <w:rFonts w:ascii="Arial" w:cs="Arial" w:eastAsia="Arial" w:hAnsi="Arial"/>
          <w:color w:val="10121A"/>
          <w:sz w:val="22"/>
          <w:szCs w:val="22"/>
        </w:rPr>
        <w:t xml:space="preserve">The platform is built on the following technologies: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Layer</w:t>
            </w:r>
          </w:p>
        </w:tc>
        <w:tc>
          <w:tcPr>
            <w:tcW w:type="dxa" w:w="65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Technology</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Frontend</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Next.js 16.2 (App Router), React 19, TypeScript</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Hosting</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Vercel (production deployment)</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Database</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Supabase Postgres (report_entries, rep_profiles tables)</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AI</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Claude API — claude-haiku-4-5 for discovery, claude-sonnet-4-6 for email drafting</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Search</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Claude web_search_20250305 tool for live org and contact discovery</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Email</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Gmail deep link integration for one-click send</w:t>
            </w:r>
          </w:p>
        </w:tc>
      </w:tr>
      <w:tr>
        <w:tc>
          <w:tcPr>
            <w:tcW w:type="dxa" w:w="28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b/>
                <w:bCs/>
                <w:color w:val="9E9E9E"/>
                <w:sz w:val="20"/>
                <w:szCs w:val="20"/>
              </w:rPr>
              <w:t xml:space="preserve">Auth / State</w:t>
            </w:r>
          </w:p>
        </w:tc>
        <w:tc>
          <w:tcPr>
            <w:tcW w:type="dxa" w:w="65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20"/>
                <w:szCs w:val="20"/>
              </w:rPr>
              <w:t xml:space="preserve">Rep name-keyed profiles, no login required</w:t>
            </w:r>
          </w:p>
        </w:tc>
      </w:tr>
    </w:tbl>
    <w:p>
      <w:pPr>
        <w:spacing w:after="0" w:before="20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Files Created or Modified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File</w:t>
            </w:r>
          </w:p>
        </w:tc>
        <w:tc>
          <w:tcPr>
            <w:tcW w:type="dxa" w:w="14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Status</w:t>
            </w:r>
          </w:p>
        </w:tc>
        <w:tc>
          <w:tcPr>
            <w:tcW w:type="dxa" w:w="43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Description</w:t>
            </w:r>
          </w:p>
        </w:tc>
      </w:tr>
      <w:tr>
        <w:tc>
          <w:tcPr>
            <w:tcW w:type="dxa" w:w="36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Courier New" w:cs="Courier New" w:eastAsia="Courier New" w:hAnsi="Courier New"/>
                <w:color w:val="FD4B23"/>
                <w:sz w:val="18"/>
                <w:szCs w:val="18"/>
              </w:rPr>
              <w:t xml:space="preserve">app/page.tsx</w:t>
            </w:r>
          </w:p>
        </w:tc>
        <w:tc>
          <w:tcPr>
            <w:tcW w:type="dxa" w:w="1400"/>
            <w:tcBorders>
              <w:top w:val="single" w:color="E8E5E0" w:sz="1"/>
              <w:left w:val="single" w:color="E8E5E0" w:sz="1"/>
              <w:bottom w:val="single" w:color="E8E5E0" w:sz="1"/>
              <w:right w:val="single" w:color="E8E5E0" w:sz="1"/>
            </w:tcBorders>
            <w:shd w:fill="F0F6FF" w:val="clear"/>
            <w:tcMar>
              <w:top w:type="dxa" w:w="80"/>
              <w:left w:type="dxa" w:w="160"/>
              <w:bottom w:type="dxa" w:w="80"/>
              <w:right w:type="dxa" w:w="160"/>
            </w:tcMar>
          </w:tcPr>
          <w:p>
            <w:r>
              <w:rPr>
                <w:rFonts w:ascii="Arial" w:cs="Arial" w:eastAsia="Arial" w:hAnsi="Arial"/>
                <w:b/>
                <w:bCs/>
                <w:color w:val="1476D8"/>
                <w:sz w:val="18"/>
                <w:szCs w:val="18"/>
              </w:rPr>
              <w:t xml:space="preserve">Modified</w:t>
            </w:r>
          </w:p>
        </w:tc>
        <w:tc>
          <w:tcPr>
            <w:tcW w:type="dxa" w:w="43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18"/>
                <w:szCs w:val="18"/>
              </w:rPr>
              <w:t xml:space="preserve">Main app — all UI, workflow logic, profile save/load, duplicate detection</w:t>
            </w:r>
          </w:p>
        </w:tc>
      </w:tr>
      <w:tr>
        <w:tc>
          <w:tcPr>
            <w:tcW w:type="dxa" w:w="36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Courier New" w:cs="Courier New" w:eastAsia="Courier New" w:hAnsi="Courier New"/>
                <w:color w:val="FD4B23"/>
                <w:sz w:val="18"/>
                <w:szCs w:val="18"/>
              </w:rPr>
              <w:t xml:space="preserve">app/api/discover/route.ts</w:t>
            </w:r>
          </w:p>
        </w:tc>
        <w:tc>
          <w:tcPr>
            <w:tcW w:type="dxa" w:w="1400"/>
            <w:tcBorders>
              <w:top w:val="single" w:color="E8E5E0" w:sz="1"/>
              <w:left w:val="single" w:color="E8E5E0" w:sz="1"/>
              <w:bottom w:val="single" w:color="E8E5E0" w:sz="1"/>
              <w:right w:val="single" w:color="E8E5E0" w:sz="1"/>
            </w:tcBorders>
            <w:shd w:fill="F0FBF7" w:val="clear"/>
            <w:tcMar>
              <w:top w:type="dxa" w:w="80"/>
              <w:left w:type="dxa" w:w="160"/>
              <w:bottom w:type="dxa" w:w="80"/>
              <w:right w:type="dxa" w:w="160"/>
            </w:tcMar>
          </w:tcPr>
          <w:p>
            <w:r>
              <w:rPr>
                <w:rFonts w:ascii="Arial" w:cs="Arial" w:eastAsia="Arial" w:hAnsi="Arial"/>
                <w:b/>
                <w:bCs/>
                <w:color w:val="009262"/>
                <w:sz w:val="18"/>
                <w:szCs w:val="18"/>
              </w:rPr>
              <w:t xml:space="preserve">New</w:t>
            </w:r>
          </w:p>
        </w:tc>
        <w:tc>
          <w:tcPr>
            <w:tcW w:type="dxa" w:w="43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18"/>
                <w:szCs w:val="18"/>
              </w:rPr>
              <w:t xml:space="preserve">Live web search for similar orgs, filtered by segment focus and exclusion list</w:t>
            </w:r>
          </w:p>
        </w:tc>
      </w:tr>
      <w:tr>
        <w:tc>
          <w:tcPr>
            <w:tcW w:type="dxa" w:w="36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Courier New" w:cs="Courier New" w:eastAsia="Courier New" w:hAnsi="Courier New"/>
                <w:color w:val="FD4B23"/>
                <w:sz w:val="18"/>
                <w:szCs w:val="18"/>
              </w:rPr>
              <w:t xml:space="preserve">app/api/contacts/route.ts</w:t>
            </w:r>
          </w:p>
        </w:tc>
        <w:tc>
          <w:tcPr>
            <w:tcW w:type="dxa" w:w="1400"/>
            <w:tcBorders>
              <w:top w:val="single" w:color="E8E5E0" w:sz="1"/>
              <w:left w:val="single" w:color="E8E5E0" w:sz="1"/>
              <w:bottom w:val="single" w:color="E8E5E0" w:sz="1"/>
              <w:right w:val="single" w:color="E8E5E0" w:sz="1"/>
            </w:tcBorders>
            <w:shd w:fill="F0FBF7" w:val="clear"/>
            <w:tcMar>
              <w:top w:type="dxa" w:w="80"/>
              <w:left w:type="dxa" w:w="160"/>
              <w:bottom w:type="dxa" w:w="80"/>
              <w:right w:type="dxa" w:w="160"/>
            </w:tcMar>
          </w:tcPr>
          <w:p>
            <w:r>
              <w:rPr>
                <w:rFonts w:ascii="Arial" w:cs="Arial" w:eastAsia="Arial" w:hAnsi="Arial"/>
                <w:b/>
                <w:bCs/>
                <w:color w:val="009262"/>
                <w:sz w:val="18"/>
                <w:szCs w:val="18"/>
              </w:rPr>
              <w:t xml:space="preserve">New</w:t>
            </w:r>
          </w:p>
        </w:tc>
        <w:tc>
          <w:tcPr>
            <w:tcW w:type="dxa" w:w="43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18"/>
                <w:szCs w:val="18"/>
              </w:rPr>
              <w:t xml:space="preserve">Live web search for real contacts at each discovered org</w:t>
            </w:r>
          </w:p>
        </w:tc>
      </w:tr>
      <w:tr>
        <w:tc>
          <w:tcPr>
            <w:tcW w:type="dxa" w:w="360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Courier New" w:cs="Courier New" w:eastAsia="Courier New" w:hAnsi="Courier New"/>
                <w:color w:val="FD4B23"/>
                <w:sz w:val="18"/>
                <w:szCs w:val="18"/>
              </w:rPr>
              <w:t xml:space="preserve">app/api/profiles/route.ts</w:t>
            </w:r>
          </w:p>
        </w:tc>
        <w:tc>
          <w:tcPr>
            <w:tcW w:type="dxa" w:w="1400"/>
            <w:tcBorders>
              <w:top w:val="single" w:color="E8E5E0" w:sz="1"/>
              <w:left w:val="single" w:color="E8E5E0" w:sz="1"/>
              <w:bottom w:val="single" w:color="E8E5E0" w:sz="1"/>
              <w:right w:val="single" w:color="E8E5E0" w:sz="1"/>
            </w:tcBorders>
            <w:shd w:fill="F0FBF7" w:val="clear"/>
            <w:tcMar>
              <w:top w:type="dxa" w:w="80"/>
              <w:left w:type="dxa" w:w="160"/>
              <w:bottom w:type="dxa" w:w="80"/>
              <w:right w:type="dxa" w:w="160"/>
            </w:tcMar>
          </w:tcPr>
          <w:p>
            <w:r>
              <w:rPr>
                <w:rFonts w:ascii="Arial" w:cs="Arial" w:eastAsia="Arial" w:hAnsi="Arial"/>
                <w:b/>
                <w:bCs/>
                <w:color w:val="009262"/>
                <w:sz w:val="18"/>
                <w:szCs w:val="18"/>
              </w:rPr>
              <w:t xml:space="preserve">New</w:t>
            </w:r>
          </w:p>
        </w:tc>
        <w:tc>
          <w:tcPr>
            <w:tcW w:type="dxa" w:w="4360"/>
            <w:tcBorders>
              <w:top w:val="single" w:color="E8E5E0" w:sz="1"/>
              <w:left w:val="single" w:color="E8E5E0" w:sz="1"/>
              <w:bottom w:val="single" w:color="E8E5E0" w:sz="1"/>
              <w:right w:val="single" w:color="E8E5E0" w:sz="1"/>
            </w:tcBorders>
            <w:tcMar>
              <w:top w:type="dxa" w:w="80"/>
              <w:left w:type="dxa" w:w="160"/>
              <w:bottom w:type="dxa" w:w="80"/>
              <w:right w:type="dxa" w:w="160"/>
            </w:tcMar>
          </w:tcPr>
          <w:p>
            <w:r>
              <w:rPr>
                <w:rFonts w:ascii="Arial" w:cs="Arial" w:eastAsia="Arial" w:hAnsi="Arial"/>
                <w:color w:val="10121A"/>
                <w:sz w:val="18"/>
                <w:szCs w:val="18"/>
              </w:rPr>
              <w:t xml:space="preserve">GET and POST endpoints for rep profile persistence in Supabase</w:t>
            </w:r>
          </w:p>
        </w:tc>
      </w:tr>
    </w:tbl>
    <w:p>
      <w:pPr>
        <w:spacing w:after="0" w:before="240"/>
      </w:pPr>
      <w:r>
        <w:t xml:space="preserve"/>
      </w:r>
    </w:p>
    <w:p>
      <w:pPr>
        <w:pBdr>
          <w:bottom w:val="single" w:color="E8E5E0" w:sz="4"/>
        </w:pBdr>
        <w:spacing w:after="200" w:before="200"/>
      </w:pPr>
      <w:r>
        <w:t xml:space="preserve"/>
      </w:r>
    </w:p>
    <w:p>
      <w:pPr>
        <w:pStyle w:val="Heading1"/>
        <w:spacing w:after="160" w:before="360"/>
      </w:pPr>
      <w:r>
        <w:rPr>
          <w:rFonts w:ascii="Arial" w:cs="Arial" w:eastAsia="Arial" w:hAnsi="Arial"/>
          <w:b/>
          <w:bCs/>
          <w:color w:val="10121A"/>
          <w:sz w:val="28"/>
          <w:szCs w:val="28"/>
        </w:rPr>
        <w:t xml:space="preserve">Database Changes (Supabase)</w:t>
      </w:r>
    </w:p>
    <w:p>
      <w:pPr>
        <w:spacing w:after="80" w:before="60"/>
      </w:pPr>
      <w:r>
        <w:rPr>
          <w:rFonts w:ascii="Arial" w:cs="Arial" w:eastAsia="Arial" w:hAnsi="Arial"/>
          <w:color w:val="10121A"/>
          <w:sz w:val="22"/>
          <w:szCs w:val="22"/>
        </w:rPr>
        <w:t xml:space="preserve">One new table was added to the Supabase Postgres database this week:</w:t>
      </w:r>
    </w:p>
    <w:p>
      <w:pPr>
        <w:spacing w:after="0" w:before="80"/>
      </w:pPr>
      <w:r>
        <w:t xml:space="preserve"/>
      </w:r>
    </w:p>
    <w:p>
      <w:pPr>
        <w:spacing w:after="80" w:before="60"/>
      </w:pPr>
      <w:r>
        <w:rPr>
          <w:rFonts w:ascii="Courier New" w:cs="Courier New" w:eastAsia="Courier New" w:hAnsi="Courier New"/>
          <w:b/>
          <w:bCs/>
          <w:color w:val="FD4B23"/>
          <w:sz w:val="22"/>
          <w:szCs w:val="22"/>
        </w:rPr>
        <w:t xml:space="preserve">rep_profiles</w:t>
      </w:r>
    </w:p>
    <w:p>
      <w:pPr>
        <w:pStyle w:val="ListParagraph"/>
        <w:numPr>
          <w:ilvl w:val="0"/>
          <w:numId w:val="2"/>
        </w:numPr>
        <w:spacing w:after="40" w:before="40"/>
      </w:pPr>
      <w:r>
        <w:rPr>
          <w:rFonts w:ascii="Arial" w:cs="Arial" w:eastAsia="Arial" w:hAnsi="Arial"/>
          <w:b w:val="false"/>
          <w:bCs w:val="false"/>
          <w:color w:val="10121A"/>
          <w:sz w:val="22"/>
          <w:szCs w:val="22"/>
        </w:rPr>
        <w:t xml:space="preserve">rep_name TEXT PRIMARY KEY — the rep’s display name, used as the lookup key</w:t>
      </w:r>
    </w:p>
    <w:p>
      <w:pPr>
        <w:pStyle w:val="ListParagraph"/>
        <w:numPr>
          <w:ilvl w:val="0"/>
          <w:numId w:val="2"/>
        </w:numPr>
        <w:spacing w:after="40" w:before="40"/>
      </w:pPr>
      <w:r>
        <w:rPr>
          <w:rFonts w:ascii="Arial" w:cs="Arial" w:eastAsia="Arial" w:hAnsi="Arial"/>
          <w:b w:val="false"/>
          <w:bCs w:val="false"/>
          <w:color w:val="10121A"/>
          <w:sz w:val="22"/>
          <w:szCs w:val="22"/>
        </w:rPr>
        <w:t xml:space="preserve">writing_sample TEXT — the raw email sample pasted by the rep</w:t>
      </w:r>
    </w:p>
    <w:p>
      <w:pPr>
        <w:pStyle w:val="ListParagraph"/>
        <w:numPr>
          <w:ilvl w:val="0"/>
          <w:numId w:val="2"/>
        </w:numPr>
        <w:spacing w:after="40" w:before="40"/>
      </w:pPr>
      <w:r>
        <w:rPr>
          <w:rFonts w:ascii="Arial" w:cs="Arial" w:eastAsia="Arial" w:hAnsi="Arial"/>
          <w:b w:val="false"/>
          <w:bCs w:val="false"/>
          <w:color w:val="10121A"/>
          <w:sz w:val="22"/>
          <w:szCs w:val="22"/>
        </w:rPr>
        <w:t xml:space="preserve">extracted_style TEXT — Claude’s analysis of the rep’s writing style</w:t>
      </w:r>
    </w:p>
    <w:p>
      <w:pPr>
        <w:pStyle w:val="ListParagraph"/>
        <w:numPr>
          <w:ilvl w:val="0"/>
          <w:numId w:val="2"/>
        </w:numPr>
        <w:spacing w:after="40" w:before="40"/>
      </w:pPr>
      <w:r>
        <w:rPr>
          <w:rFonts w:ascii="Arial" w:cs="Arial" w:eastAsia="Arial" w:hAnsi="Arial"/>
          <w:b w:val="false"/>
          <w:bCs w:val="false"/>
          <w:color w:val="10121A"/>
          <w:sz w:val="22"/>
          <w:szCs w:val="22"/>
        </w:rPr>
        <w:t xml:space="preserve">edit_examples JSONB — array of up to 5 recent edits Claude has learned from</w:t>
      </w:r>
    </w:p>
    <w:p>
      <w:pPr>
        <w:pStyle w:val="ListParagraph"/>
        <w:numPr>
          <w:ilvl w:val="0"/>
          <w:numId w:val="2"/>
        </w:numPr>
        <w:spacing w:after="40" w:before="40"/>
      </w:pPr>
      <w:r>
        <w:rPr>
          <w:rFonts w:ascii="Arial" w:cs="Arial" w:eastAsia="Arial" w:hAnsi="Arial"/>
          <w:b w:val="false"/>
          <w:bCs w:val="false"/>
          <w:color w:val="10121A"/>
          <w:sz w:val="22"/>
          <w:szCs w:val="22"/>
        </w:rPr>
        <w:t xml:space="preserve">segment_focus TEXT — structured string containing org types, named examples, and partner fit notes</w:t>
      </w:r>
    </w:p>
    <w:p>
      <w:pPr>
        <w:pStyle w:val="ListParagraph"/>
        <w:numPr>
          <w:ilvl w:val="0"/>
          <w:numId w:val="2"/>
        </w:numPr>
        <w:spacing w:after="40" w:before="40"/>
      </w:pPr>
      <w:r>
        <w:rPr>
          <w:rFonts w:ascii="Arial" w:cs="Arial" w:eastAsia="Arial" w:hAnsi="Arial"/>
          <w:b w:val="false"/>
          <w:bCs w:val="false"/>
          <w:color w:val="10121A"/>
          <w:sz w:val="22"/>
          <w:szCs w:val="22"/>
        </w:rPr>
        <w:t xml:space="preserve">wave_number INTEGER — tracks how many outreach waves the rep has completed</w:t>
      </w:r>
    </w:p>
    <w:p>
      <w:pPr>
        <w:pStyle w:val="ListParagraph"/>
        <w:numPr>
          <w:ilvl w:val="0"/>
          <w:numId w:val="2"/>
        </w:numPr>
        <w:spacing w:after="40" w:before="40"/>
      </w:pPr>
      <w:r>
        <w:rPr>
          <w:rFonts w:ascii="Arial" w:cs="Arial" w:eastAsia="Arial" w:hAnsi="Arial"/>
          <w:b w:val="false"/>
          <w:bCs w:val="false"/>
          <w:color w:val="10121A"/>
          <w:sz w:val="22"/>
          <w:szCs w:val="22"/>
        </w:rPr>
        <w:t xml:space="preserve">updated_at TIMESTAMPTZ — auto-updated timestamp on every upsert</w:t>
      </w:r>
    </w:p>
    <w:p>
      <w:pPr>
        <w:spacing w:after="0" w:before="240"/>
      </w:pPr>
      <w:r>
        <w:t xml:space="preserve"/>
      </w:r>
    </w:p>
    <w:p>
      <w:pPr>
        <w:spacing w:after="60" w:before="200"/>
      </w:pPr>
      <w:r>
        <w:rPr>
          <w:rFonts w:ascii="Arial" w:cs="Arial" w:eastAsia="Arial" w:hAnsi="Arial"/>
          <w:i/>
          <w:iCs/>
          <w:color w:val="9E9E9E"/>
          <w:sz w:val="18"/>
          <w:szCs w:val="18"/>
        </w:rPr>
        <w:t xml:space="preserve">Document generated: April 16,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E0" w:sz="4"/>
      </w:pBdr>
      <w:spacing w:before="120"/>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of </w:t>
    </w:r>
    <w:r>
      <w:rPr>
        <w:rFonts w:ascii="Arial" w:cs="Arial" w:eastAsia="Arial" w:hAnsi="Arial"/>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5E0" w:sz="4"/>
      </w:pBdr>
      <w:spacing w:after="120"/>
      <w:jc w:val="right"/>
    </w:pPr>
    <w:r>
      <w:rPr>
        <w:rFonts w:ascii="Arial" w:cs="Arial" w:eastAsia="Arial" w:hAnsi="Arial"/>
        <w:color w:val="9E9E9E"/>
        <w:sz w:val="18"/>
        <w:szCs w:val="18"/>
      </w:rPr>
      <w:t xml:space="preserve">Engine-Agent Build Log  |  Week of April 14,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121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012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2026-04-16T21:01:11.277Z</dcterms:created>
  <dcterms:modified xsi:type="dcterms:W3CDTF">2026-04-16T21:01:11.278Z</dcterms:modified>
</cp:coreProperties>
</file>

<file path=docProps/custom.xml><?xml version="1.0" encoding="utf-8"?>
<Properties xmlns="http://schemas.openxmlformats.org/officeDocument/2006/custom-properties" xmlns:vt="http://schemas.openxmlformats.org/officeDocument/2006/docPropsVTypes"/>
</file>