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p>
    <w:p>
      <w:pPr>
        <w:spacing w:after="80" w:before="0"/>
        <w:jc w:val="left"/>
      </w:pPr>
      <w:r>
        <w:rPr>
          <w:rFonts w:ascii="Arial" w:cs="Arial" w:eastAsia="Arial" w:hAnsi="Arial"/>
          <w:b/>
          <w:bCs/>
          <w:color w:val="1C3A6B"/>
          <w:sz w:val="64"/>
          <w:szCs w:val="64"/>
        </w:rPr>
        <w:t xml:space="preserve">Engine</w:t>
      </w:r>
    </w:p>
    <w:p>
      <w:pPr>
        <w:spacing w:after="40" w:before="0"/>
      </w:pPr>
      <w:r>
        <w:rPr>
          <w:rFonts w:ascii="Arial" w:cs="Arial" w:eastAsia="Arial" w:hAnsi="Arial"/>
          <w:b/>
          <w:bCs/>
          <w:color w:val="10121A"/>
          <w:sz w:val="48"/>
          <w:szCs w:val="48"/>
        </w:rPr>
        <w:t xml:space="preserve">Partnerships BD Agent</w:t>
      </w:r>
    </w:p>
    <w:p>
      <w:pPr>
        <w:pBdr>
          <w:bottom w:val="single" w:color="FD4B23" w:sz="12" w:space="1"/>
        </w:pBdr>
        <w:spacing w:after="240" w:before="0"/>
      </w:pPr>
      <w:r>
        <w:rPr>
          <w:rFonts w:ascii="Arial" w:cs="Arial" w:eastAsia="Arial" w:hAnsi="Arial"/>
          <w:color w:val="888888"/>
          <w:sz w:val="26"/>
          <w:szCs w:val="26"/>
        </w:rPr>
        <w:t xml:space="preserve">Technical Handoff Document</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C3A6B" w:val="clear"/>
            <w:tcMar>
              <w:top w:type="dxa" w:w="80"/>
              <w:left w:type="dxa" w:w="120"/>
              <w:bottom w:type="dxa" w:w="80"/>
              <w:right w:type="dxa" w:w="120"/>
            </w:tcMar>
          </w:tcPr>
          <w:p>
            <w:r>
              <w:rPr>
                <w:rFonts w:ascii="Arial" w:cs="Arial" w:eastAsia="Arial" w:hAnsi="Arial"/>
                <w:b/>
                <w:bCs/>
                <w:color w:val="FFFFFF"/>
                <w:sz w:val="19"/>
                <w:szCs w:val="19"/>
              </w:rPr>
              <w:t xml:space="preserve">Document Info</w:t>
            </w:r>
          </w:p>
        </w:tc>
        <w:tc>
          <w:tcPr>
            <w:tcW w:type="dxa" w:w="6960"/>
            <w:tcBorders>
              <w:top w:val="single" w:color="CCCCCC" w:sz="1"/>
              <w:left w:val="single" w:color="CCCCCC" w:sz="1"/>
              <w:bottom w:val="single" w:color="CCCCCC" w:sz="1"/>
              <w:right w:val="single" w:color="CCCCCC" w:sz="1"/>
            </w:tcBorders>
            <w:shd w:fill="1C3A6B" w:val="clear"/>
            <w:tcMar>
              <w:top w:type="dxa" w:w="80"/>
              <w:left w:type="dxa" w:w="120"/>
              <w:bottom w:type="dxa" w:w="80"/>
              <w:right w:type="dxa" w:w="120"/>
            </w:tcMar>
          </w:tcPr>
          <w:p>
            <w:r>
              <w:rPr>
                <w:rFonts w:ascii="Arial" w:cs="Arial" w:eastAsia="Arial" w:hAnsi="Arial"/>
                <w:b/>
                <w:bCs/>
                <w:color w:val="FFFFFF"/>
                <w:sz w:val="19"/>
                <w:szCs w:val="19"/>
              </w:rPr>
              <w:t xml:space="preserve"/>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0121A"/>
                <w:sz w:val="19"/>
                <w:szCs w:val="19"/>
              </w:rPr>
              <w:t xml:space="preserve">Prepared For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Director of GTM Systems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0121A"/>
                <w:sz w:val="19"/>
                <w:szCs w:val="19"/>
              </w:rPr>
              <w:t xml:space="preserve">Prepared By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Darren Callaghan, Partnerships BD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0121A"/>
                <w:sz w:val="19"/>
                <w:szCs w:val="19"/>
              </w:rPr>
              <w:t xml:space="preserve">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April 22, 2026</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0121A"/>
                <w:sz w:val="19"/>
                <w:szCs w:val="19"/>
              </w:rPr>
              <w:t xml:space="preserve">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1.0</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0121A"/>
                <w:sz w:val="19"/>
                <w:szCs w:val="19"/>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Ready for Infrastructure Review</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B" w:val="clear"/>
            <w:tcMar>
              <w:top w:type="dxa" w:w="120"/>
              <w:left w:type="dxa" w:w="200"/>
              <w:bottom w:type="dxa" w:w="120"/>
              <w:right w:type="dxa" w:w="200"/>
            </w:tcMar>
          </w:tcPr>
          <w:p>
            <w:pPr>
              <w:spacing w:after="0" w:before="0"/>
            </w:pPr>
            <w:r>
              <w:rPr>
                <w:rFonts w:ascii="Arial" w:cs="Arial" w:eastAsia="Arial" w:hAnsi="Arial"/>
                <w:b/>
                <w:bCs/>
                <w:color w:val="1C3A6B"/>
                <w:sz w:val="20"/>
                <w:szCs w:val="20"/>
              </w:rPr>
              <w:t xml:space="preserve">Purpose: </w:t>
            </w:r>
            <w:r>
              <w:rPr>
                <w:rFonts w:ascii="Arial" w:cs="Arial" w:eastAsia="Arial" w:hAnsi="Arial"/>
                <w:color w:val="10121A"/>
                <w:sz w:val="20"/>
                <w:szCs w:val="20"/>
              </w:rPr>
              <w:t xml:space="preserve">This document covers everything needed to take ownership of, redeploy, or self-host the Engine Partnerships BD Agent on Engine-controlled infrastructure. It includes architecture, file structure, environment variables, database schema, API route map, integration details, and deployment steps.</w:t>
            </w:r>
          </w:p>
        </w:tc>
      </w:tr>
    </w:tbl>
    <w:p>
      <w:r>
        <w:br w:type="page"/>
      </w:r>
    </w:p>
    <w:p>
      <w:pPr>
        <w:pStyle w:val="Heading1"/>
        <w:spacing w:after="160" w:before="360"/>
      </w:pPr>
      <w:r>
        <w:rPr>
          <w:rFonts w:ascii="Arial" w:cs="Arial" w:eastAsia="Arial" w:hAnsi="Arial"/>
          <w:b/>
          <w:bCs/>
          <w:color w:val="1C3A6B"/>
          <w:sz w:val="32"/>
          <w:szCs w:val="32"/>
        </w:rPr>
        <w:t xml:space="preserve">1. System Overview</w:t>
      </w:r>
    </w:p>
    <w:p>
      <w:pPr>
        <w:spacing w:after="100" w:before="60"/>
      </w:pPr>
      <w:r>
        <w:rPr>
          <w:rFonts w:ascii="Arial" w:cs="Arial" w:eastAsia="Arial" w:hAnsi="Arial"/>
          <w:color w:val="10121A"/>
          <w:sz w:val="20"/>
          <w:szCs w:val="20"/>
        </w:rPr>
        <w:t xml:space="preserve">The Engine Partnerships BD Agent is an internal web application built for the Engine Partnerships BD team. It automates the most time-consuming parts of the outreach workflow: finding similar organizations, discovering contacts, researching companies, drafting personalized emails in each rep’s voice, tracking activity, and surfacing partner intelligence from Crossbeam.</w:t>
      </w:r>
    </w:p>
    <w:p>
      <w:pPr>
        <w:spacing w:after="120" w:before="0"/>
      </w:pPr>
    </w:p>
    <w:p>
      <w:pPr>
        <w:pStyle w:val="Heading2"/>
        <w:spacing w:after="120" w:before="280"/>
      </w:pPr>
      <w:r>
        <w:rPr>
          <w:rFonts w:ascii="Arial" w:cs="Arial" w:eastAsia="Arial" w:hAnsi="Arial"/>
          <w:b/>
          <w:bCs/>
          <w:color w:val="10121A"/>
          <w:sz w:val="26"/>
          <w:szCs w:val="26"/>
        </w:rPr>
        <w:t xml:space="preserve">What It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C3A6B" w:val="clear"/>
            <w:tcMar>
              <w:top w:type="dxa" w:w="80"/>
              <w:left w:type="dxa" w:w="120"/>
              <w:bottom w:type="dxa" w:w="80"/>
              <w:right w:type="dxa" w:w="120"/>
            </w:tcMar>
          </w:tcPr>
          <w:p>
            <w:r>
              <w:rPr>
                <w:rFonts w:ascii="Arial" w:cs="Arial" w:eastAsia="Arial" w:hAnsi="Arial"/>
                <w:b/>
                <w:bCs/>
                <w:color w:val="FFFFFF"/>
                <w:sz w:val="19"/>
                <w:szCs w:val="19"/>
              </w:rPr>
              <w:t xml:space="preserve">Capability</w:t>
            </w:r>
          </w:p>
        </w:tc>
        <w:tc>
          <w:tcPr>
            <w:tcW w:type="dxa" w:w="6360"/>
            <w:tcBorders>
              <w:top w:val="single" w:color="CCCCCC" w:sz="1"/>
              <w:left w:val="single" w:color="CCCCCC" w:sz="1"/>
              <w:bottom w:val="single" w:color="CCCCCC" w:sz="1"/>
              <w:right w:val="single" w:color="CCCCCC" w:sz="1"/>
            </w:tcBorders>
            <w:shd w:fill="1C3A6B"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0121A"/>
                <w:sz w:val="19"/>
                <w:szCs w:val="19"/>
              </w:rPr>
              <w:t xml:space="preserve">Org Discovery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Finds 10 similar organizations to a starting company using live web search, filtered by rep segment focus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0121A"/>
                <w:sz w:val="19"/>
                <w:szCs w:val="19"/>
              </w:rPr>
              <w:t xml:space="preserve">Contact Discovery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Finds decision-maker contacts at each org using ZoomInfo MCP and web search with email verification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0121A"/>
                <w:sz w:val="19"/>
                <w:szCs w:val="19"/>
              </w:rPr>
              <w:t xml:space="preserve">Company Research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Runs web research on each org to find partnership fit signals, member travel patterns, events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0121A"/>
                <w:sz w:val="19"/>
                <w:szCs w:val="19"/>
              </w:rPr>
              <w:t xml:space="preserve">Email Drafting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Generates personalized outreach emails in each rep’s extracted writing style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0121A"/>
                <w:sz w:val="19"/>
                <w:szCs w:val="19"/>
              </w:rPr>
              <w:t xml:space="preserve">Style Learning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Extracts a rep’s writing style from samples and improves it through edit examples over time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0121A"/>
                <w:sz w:val="19"/>
                <w:szCs w:val="19"/>
              </w:rPr>
              <w:t xml:space="preserve">Activity Log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Tracks all contacts, stages, follow-up dates, and notes in a shared pipeline view</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0121A"/>
                <w:sz w:val="19"/>
                <w:szCs w:val="19"/>
              </w:rPr>
              <w:t xml:space="preserve">Follow-Up Drafting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Generates follow-up emails using original email body, research, and full Engine context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0121A"/>
                <w:sz w:val="19"/>
                <w:szCs w:val="19"/>
              </w:rPr>
              <w:t xml:space="preserve">Crossbeam Signals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Shows partner overlap badges on activity log accounts and a partner leaderboard in Summary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0121A"/>
                <w:sz w:val="19"/>
                <w:szCs w:val="19"/>
              </w:rPr>
              <w:t xml:space="preserve">Multi-Rep Support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Each rep has their own style profile, wave tracking, and pipeline view</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0121A"/>
                <w:sz w:val="19"/>
                <w:szCs w:val="19"/>
              </w:rPr>
              <w:t xml:space="preserve">CSV/XLSX Import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Imports existing contact lists and maps them to the activity log</w:t>
            </w:r>
          </w:p>
        </w:tc>
      </w:tr>
    </w:tbl>
    <w:p>
      <w:pPr>
        <w:spacing w:after="240" w:before="0"/>
      </w:pPr>
    </w:p>
    <w:p>
      <w:pPr>
        <w:pStyle w:val="Heading2"/>
        <w:spacing w:after="120" w:before="280"/>
      </w:pPr>
      <w:r>
        <w:rPr>
          <w:rFonts w:ascii="Arial" w:cs="Arial" w:eastAsia="Arial" w:hAnsi="Arial"/>
          <w:b/>
          <w:bCs/>
          <w:color w:val="10121A"/>
          <w:sz w:val="26"/>
          <w:szCs w:val="26"/>
        </w:rPr>
        <w:t xml:space="preserve">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1C3A6B"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3200"/>
            <w:tcBorders>
              <w:top w:val="single" w:color="CCCCCC" w:sz="1"/>
              <w:left w:val="single" w:color="CCCCCC" w:sz="1"/>
              <w:bottom w:val="single" w:color="CCCCCC" w:sz="1"/>
              <w:right w:val="single" w:color="CCCCCC" w:sz="1"/>
            </w:tcBorders>
            <w:shd w:fill="1C3A6B"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4360"/>
            <w:tcBorders>
              <w:top w:val="single" w:color="CCCCCC" w:sz="1"/>
              <w:left w:val="single" w:color="CCCCCC" w:sz="1"/>
              <w:bottom w:val="single" w:color="CCCCCC" w:sz="1"/>
              <w:right w:val="single" w:color="CCCCCC" w:sz="1"/>
            </w:tcBorders>
            <w:shd w:fill="1C3A6B"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Frontend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Next.js 16.2 (App Router), React 19</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Single-page client component, all UI in app/page.tsx</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Backend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Next.js API Routes (Node.js)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Server-side API routes in app/api/*/route.ts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Database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Supabase (PostgreSQL)</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Hosted Postgres with REST API via supabase-js client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AI Model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Anthropic Claude Haiku 4.5</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Used for email drafting, research, contact discovery, style extraction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Web Search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Anthropic web_search_20250305 tool</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Claude’s built-in web search — no separate API key needed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Contact Data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ZoomInfo via MCP server</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ZoomInfo MCP at mcp.zoominfo.com — requires ZoomInfo subscription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Partner Data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Crossbeam REST API v0.2</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Overlap signals and partner leaderboard — requires Crossbeam API key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Hosting (current)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Vercel</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Deployed to darrencallaghan-designs-projects org on Vercel</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Styling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Inline styles + Tailwind CSS v4</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No UI library dependency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File Parsing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xlsx (SheetJS)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Used for CSV/XLSX import of contact lists</w:t>
            </w:r>
          </w:p>
        </w:tc>
      </w:tr>
    </w:tbl>
    <w:p>
      <w:pPr>
        <w:spacing w:after="240" w:before="0"/>
      </w:pPr>
    </w:p>
    <w:p>
      <w:r>
        <w:br w:type="page"/>
      </w:r>
    </w:p>
    <w:p>
      <w:pPr>
        <w:pStyle w:val="Heading1"/>
        <w:spacing w:after="160" w:before="360"/>
      </w:pPr>
      <w:r>
        <w:rPr>
          <w:rFonts w:ascii="Arial" w:cs="Arial" w:eastAsia="Arial" w:hAnsi="Arial"/>
          <w:b/>
          <w:bCs/>
          <w:color w:val="1C3A6B"/>
          <w:sz w:val="32"/>
          <w:szCs w:val="32"/>
        </w:rPr>
        <w:t xml:space="preserve">2. Project File Structure</w:t>
      </w:r>
    </w:p>
    <w:p>
      <w:pPr>
        <w:spacing w:after="100" w:before="60"/>
      </w:pPr>
      <w:r>
        <w:rPr>
          <w:rFonts w:ascii="Arial" w:cs="Arial" w:eastAsia="Arial" w:hAnsi="Arial"/>
          <w:color w:val="10121A"/>
          <w:sz w:val="20"/>
          <w:szCs w:val="20"/>
        </w:rPr>
        <w:t xml:space="preserve">The entire agent lives in a single Next.js project folder. The structure below covers every file relevant to the build.</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C3A6B" w:val="clear"/>
            <w:tcMar>
              <w:top w:type="dxa" w:w="80"/>
              <w:left w:type="dxa" w:w="120"/>
              <w:bottom w:type="dxa" w:w="80"/>
              <w:right w:type="dxa" w:w="120"/>
            </w:tcMar>
          </w:tcPr>
          <w:p>
            <w:r>
              <w:rPr>
                <w:rFonts w:ascii="Arial" w:cs="Arial" w:eastAsia="Arial" w:hAnsi="Arial"/>
                <w:b/>
                <w:bCs/>
                <w:color w:val="FFFFFF"/>
                <w:sz w:val="18"/>
                <w:szCs w:val="18"/>
              </w:rPr>
              <w:t xml:space="preserve">File / Folder</w:t>
            </w:r>
          </w:p>
        </w:tc>
        <w:tc>
          <w:tcPr>
            <w:tcW w:type="dxa" w:w="5760"/>
            <w:tcBorders>
              <w:top w:val="single" w:color="CCCCCC" w:sz="1"/>
              <w:left w:val="single" w:color="CCCCCC" w:sz="1"/>
              <w:bottom w:val="single" w:color="CCCCCC" w:sz="1"/>
              <w:right w:val="single" w:color="CCCCCC" w:sz="1"/>
            </w:tcBorders>
            <w:shd w:fill="1C3A6B"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C7254E"/>
                <w:sz w:val="18"/>
                <w:szCs w:val="18"/>
              </w:rPr>
              <w:t xml:space="preserve">app/page.tsx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Main application — all UI, state management, workflow logic, and activity log (2,600+ lines)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C7254E"/>
                <w:sz w:val="18"/>
                <w:szCs w:val="18"/>
              </w:rPr>
              <w:t xml:space="preserve">app/layout.tsx</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Root layout — sets page title and global CSS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C7254E"/>
                <w:sz w:val="18"/>
                <w:szCs w:val="18"/>
              </w:rPr>
              <w:t xml:space="preserve">app/globals.css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Global styles and Tailwind import</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C7254E"/>
                <w:sz w:val="18"/>
                <w:szCs w:val="18"/>
              </w:rPr>
              <w:t xml:space="preserve">app/api/claude/route.ts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Proxy to Anthropic API — forwards messages, supports optional mcp_servers config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C7254E"/>
                <w:sz w:val="18"/>
                <w:szCs w:val="18"/>
              </w:rPr>
              <w:t xml:space="preserve">app/api/contacts/route.ts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Contact discovery — two-pass web search for real people and verified emails, with exponential backoff retry</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C7254E"/>
                <w:sz w:val="18"/>
                <w:szCs w:val="18"/>
              </w:rPr>
              <w:t xml:space="preserve">app/api/crossbeam/route.ts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Crossbeam integration — partner list, leaderboard, per-account overlap lookup</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C7254E"/>
                <w:sz w:val="18"/>
                <w:szCs w:val="18"/>
              </w:rPr>
              <w:t xml:space="preserve">app/api/discover/route.ts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Org discovery — finds 10 similar organizations using Claude web search, filtered by segment focus and existing pipeline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C7254E"/>
                <w:sz w:val="18"/>
                <w:szCs w:val="18"/>
              </w:rPr>
              <w:t xml:space="preserve">app/api/import/route.ts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XLSX/CSV import — parses uploaded files and maps columns to ReportEntry schema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C7254E"/>
                <w:sz w:val="18"/>
                <w:szCs w:val="18"/>
              </w:rPr>
              <w:t xml:space="preserve">app/api/profiles/route.ts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Rep profile CRUD — GET/POST/DELETE for rep_profiles table in Supabase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C7254E"/>
                <w:sz w:val="18"/>
                <w:szCs w:val="18"/>
              </w:rPr>
              <w:t xml:space="preserve">app/api/reports/route.ts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Activity log CRUD — GET/POST/PATCH/DELETE for report_entries table in Supabase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C7254E"/>
                <w:sz w:val="18"/>
                <w:szCs w:val="18"/>
              </w:rPr>
              <w:t xml:space="preserve">app/api/research/route.ts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Company research — web search for partnership fit signals, events, member travel patterns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C7254E"/>
                <w:sz w:val="18"/>
                <w:szCs w:val="18"/>
              </w:rPr>
              <w:t xml:space="preserve">app/api/zoominfo/route.ts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ZoomInfo contact lookup — calls Claude with ZoomInfo MCP server to find verified contacts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C7254E"/>
                <w:sz w:val="18"/>
                <w:szCs w:val="18"/>
              </w:rPr>
              <w:t xml:space="preserve">.env.local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Environment variables (not committed to git — must be set on target server)</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C7254E"/>
                <w:sz w:val="18"/>
                <w:szCs w:val="18"/>
              </w:rPr>
              <w:t xml:space="preserve">next.config.ts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Next.js configuration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C7254E"/>
                <w:sz w:val="18"/>
                <w:szCs w:val="18"/>
              </w:rPr>
              <w:t xml:space="preserve">package.json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Dependencies: next, react, react-dom, xlsx, @supabase/supabase-js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C7254E"/>
                <w:sz w:val="18"/>
                <w:szCs w:val="18"/>
              </w:rPr>
              <w:t xml:space="preserve">middleware.ts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Route middleware (auth/redirects if needed)</w:t>
            </w:r>
          </w:p>
        </w:tc>
      </w:tr>
    </w:tbl>
    <w:p>
      <w:pPr>
        <w:spacing w:after="240" w:before="0"/>
      </w:pPr>
    </w:p>
    <w:p>
      <w:r>
        <w:br w:type="page"/>
      </w:r>
    </w:p>
    <w:p>
      <w:pPr>
        <w:pStyle w:val="Heading1"/>
        <w:spacing w:after="160" w:before="360"/>
      </w:pPr>
      <w:r>
        <w:rPr>
          <w:rFonts w:ascii="Arial" w:cs="Arial" w:eastAsia="Arial" w:hAnsi="Arial"/>
          <w:b/>
          <w:bCs/>
          <w:color w:val="1C3A6B"/>
          <w:sz w:val="32"/>
          <w:szCs w:val="32"/>
        </w:rPr>
        <w:t xml:space="preserve">3. Environment Variables</w:t>
      </w:r>
    </w:p>
    <w:p>
      <w:pPr>
        <w:spacing w:after="100" w:before="60"/>
      </w:pPr>
      <w:r>
        <w:rPr>
          <w:rFonts w:ascii="Arial" w:cs="Arial" w:eastAsia="Arial" w:hAnsi="Arial"/>
          <w:color w:val="10121A"/>
          <w:sz w:val="20"/>
          <w:szCs w:val="20"/>
        </w:rPr>
        <w:t xml:space="preserve">All environment variables must be set in .env.local for local development or in the hosting platform’s environment settings for production. None of these are committed to the repository.</w:t>
      </w:r>
    </w:p>
    <w:p>
      <w:pPr>
        <w:spacing w:after="120" w:before="0"/>
      </w:pPr>
    </w:p>
    <w:p>
      <w:pPr>
        <w:pStyle w:val="Heading2"/>
        <w:spacing w:after="120" w:before="280"/>
      </w:pPr>
      <w:r>
        <w:rPr>
          <w:rFonts w:ascii="Arial" w:cs="Arial" w:eastAsia="Arial" w:hAnsi="Arial"/>
          <w:b/>
          <w:bCs/>
          <w:color w:val="10121A"/>
          <w:sz w:val="26"/>
          <w:szCs w:val="26"/>
        </w:rPr>
        <w:t xml:space="preserve">Required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C3A6B" w:val="clear"/>
            <w:tcMar>
              <w:top w:type="dxa" w:w="80"/>
              <w:left w:type="dxa" w:w="120"/>
              <w:bottom w:type="dxa" w:w="80"/>
              <w:right w:type="dxa" w:w="120"/>
            </w:tcMar>
          </w:tcPr>
          <w:p>
            <w:r>
              <w:rPr>
                <w:rFonts w:ascii="Arial" w:cs="Arial" w:eastAsia="Arial" w:hAnsi="Arial"/>
                <w:b/>
                <w:bCs/>
                <w:color w:val="FFFFFF"/>
                <w:sz w:val="18"/>
                <w:szCs w:val="18"/>
              </w:rPr>
              <w:t xml:space="preserve">Variable</w:t>
            </w:r>
          </w:p>
        </w:tc>
        <w:tc>
          <w:tcPr>
            <w:tcW w:type="dxa" w:w="1400"/>
            <w:tcBorders>
              <w:top w:val="single" w:color="CCCCCC" w:sz="1"/>
              <w:left w:val="single" w:color="CCCCCC" w:sz="1"/>
              <w:bottom w:val="single" w:color="CCCCCC" w:sz="1"/>
              <w:right w:val="single" w:color="CCCCCC" w:sz="1"/>
            </w:tcBorders>
            <w:shd w:fill="1C3A6B" w:val="clear"/>
            <w:tcMar>
              <w:top w:type="dxa" w:w="80"/>
              <w:left w:type="dxa" w:w="120"/>
              <w:bottom w:type="dxa" w:w="80"/>
              <w:right w:type="dxa" w:w="120"/>
            </w:tcMar>
          </w:tcPr>
          <w:p>
            <w:r>
              <w:rPr>
                <w:rFonts w:ascii="Arial" w:cs="Arial" w:eastAsia="Arial" w:hAnsi="Arial"/>
                <w:b/>
                <w:bCs/>
                <w:color w:val="FFFFFF"/>
                <w:sz w:val="19"/>
                <w:szCs w:val="19"/>
              </w:rPr>
              <w:t xml:space="preserve">Required</w:t>
            </w:r>
          </w:p>
        </w:tc>
        <w:tc>
          <w:tcPr>
            <w:tcW w:type="dxa" w:w="5160"/>
            <w:tcBorders>
              <w:top w:val="single" w:color="CCCCCC" w:sz="1"/>
              <w:left w:val="single" w:color="CCCCCC" w:sz="1"/>
              <w:bottom w:val="single" w:color="CCCCCC" w:sz="1"/>
              <w:right w:val="single" w:color="CCCCCC" w:sz="1"/>
            </w:tcBorders>
            <w:shd w:fill="1C3A6B" w:val="clear"/>
            <w:tcMar>
              <w:top w:type="dxa" w:w="80"/>
              <w:left w:type="dxa" w:w="120"/>
              <w:bottom w:type="dxa" w:w="80"/>
              <w:right w:type="dxa" w:w="120"/>
            </w:tcMar>
          </w:tcPr>
          <w:p>
            <w:r>
              <w:rPr>
                <w:rFonts w:ascii="Arial" w:cs="Arial" w:eastAsia="Arial" w:hAnsi="Arial"/>
                <w:b/>
                <w:bCs/>
                <w:color w:val="FFFFFF"/>
                <w:sz w:val="19"/>
                <w:szCs w:val="19"/>
              </w:rPr>
              <w:t xml:space="preserve">Description &amp; Where to Find 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C7254E"/>
                <w:sz w:val="18"/>
                <w:szCs w:val="18"/>
              </w:rPr>
              <w:t xml:space="preserve">ANTHROPIC_API_KEY</w:t>
            </w:r>
          </w:p>
        </w:tc>
        <w:tc>
          <w:tcPr>
            <w:tcW w:type="dxa" w:w="1400"/>
            <w:tcBorders>
              <w:top w:val="single" w:color="CCCCCC" w:sz="1"/>
              <w:left w:val="single" w:color="CCCCCC" w:sz="1"/>
              <w:bottom w:val="single" w:color="CCCCCC" w:sz="1"/>
              <w:right w:val="single" w:color="CCCCCC" w:sz="1"/>
            </w:tcBorders>
            <w:shd w:fill="FFF3F3" w:val="clear"/>
            <w:tcMar>
              <w:top w:type="dxa" w:w="80"/>
              <w:left w:type="dxa" w:w="120"/>
              <w:bottom w:type="dxa" w:w="80"/>
              <w:right w:type="dxa" w:w="120"/>
            </w:tcMar>
          </w:tcPr>
          <w:p>
            <w:r>
              <w:rPr>
                <w:rFonts w:ascii="Arial" w:cs="Arial" w:eastAsia="Arial" w:hAnsi="Arial"/>
                <w:b w:val="false"/>
                <w:bCs w:val="false"/>
                <w:color w:val="C0392B"/>
                <w:sz w:val="19"/>
                <w:szCs w:val="19"/>
              </w:rPr>
              <w:t xml:space="preserve">Required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Anthropic API key. Get from console.anthropic.com → API Keys. Powers all AI features: email drafting, research, contact discovery, style extraction.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C7254E"/>
                <w:sz w:val="18"/>
                <w:szCs w:val="18"/>
              </w:rPr>
              <w:t xml:space="preserve">NEXT_PUBLIC_SUPABASE_URL</w:t>
            </w:r>
          </w:p>
        </w:tc>
        <w:tc>
          <w:tcPr>
            <w:tcW w:type="dxa" w:w="1400"/>
            <w:tcBorders>
              <w:top w:val="single" w:color="CCCCCC" w:sz="1"/>
              <w:left w:val="single" w:color="CCCCCC" w:sz="1"/>
              <w:bottom w:val="single" w:color="CCCCCC" w:sz="1"/>
              <w:right w:val="single" w:color="CCCCCC" w:sz="1"/>
            </w:tcBorders>
            <w:shd w:fill="FFF3F3" w:val="clear"/>
            <w:tcMar>
              <w:top w:type="dxa" w:w="80"/>
              <w:left w:type="dxa" w:w="120"/>
              <w:bottom w:type="dxa" w:w="80"/>
              <w:right w:type="dxa" w:w="120"/>
            </w:tcMar>
          </w:tcPr>
          <w:p>
            <w:r>
              <w:rPr>
                <w:rFonts w:ascii="Arial" w:cs="Arial" w:eastAsia="Arial" w:hAnsi="Arial"/>
                <w:b w:val="false"/>
                <w:bCs w:val="false"/>
                <w:color w:val="C0392B"/>
                <w:sz w:val="19"/>
                <w:szCs w:val="19"/>
              </w:rPr>
              <w:t xml:space="preserve">Required</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Your Supabase project URL (e.g. https://xyz.supabase.co). Found in Supabase Dashboard → Settings → API.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C7254E"/>
                <w:sz w:val="18"/>
                <w:szCs w:val="18"/>
              </w:rPr>
              <w:t xml:space="preserve">NEXT_PUBLIC_SUPABASE_ANON_KEY</w:t>
            </w:r>
          </w:p>
        </w:tc>
        <w:tc>
          <w:tcPr>
            <w:tcW w:type="dxa" w:w="1400"/>
            <w:tcBorders>
              <w:top w:val="single" w:color="CCCCCC" w:sz="1"/>
              <w:left w:val="single" w:color="CCCCCC" w:sz="1"/>
              <w:bottom w:val="single" w:color="CCCCCC" w:sz="1"/>
              <w:right w:val="single" w:color="CCCCCC" w:sz="1"/>
            </w:tcBorders>
            <w:shd w:fill="FFF3F3" w:val="clear"/>
            <w:tcMar>
              <w:top w:type="dxa" w:w="80"/>
              <w:left w:type="dxa" w:w="120"/>
              <w:bottom w:type="dxa" w:w="80"/>
              <w:right w:type="dxa" w:w="120"/>
            </w:tcMar>
          </w:tcPr>
          <w:p>
            <w:r>
              <w:rPr>
                <w:rFonts w:ascii="Arial" w:cs="Arial" w:eastAsia="Arial" w:hAnsi="Arial"/>
                <w:b w:val="false"/>
                <w:bCs w:val="false"/>
                <w:color w:val="C0392B"/>
                <w:sz w:val="19"/>
                <w:szCs w:val="19"/>
              </w:rPr>
              <w:t xml:space="preserve">Required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Supabase anonymous/public key. Found in Supabase Dashboard → Settings → API → Project API keys. Row-level security should be configured on tables.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C7254E"/>
                <w:sz w:val="18"/>
                <w:szCs w:val="18"/>
              </w:rPr>
              <w:t xml:space="preserve">CROSSBEAM_API_KEY</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888888"/>
                <w:sz w:val="19"/>
                <w:szCs w:val="19"/>
              </w:rPr>
              <w:t xml:space="preserve">Optional</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Crossbeam REST API key. Get from Crossbeam → Settings → Developers → API Keys. Powers partner overlap badges in the activity log and the partner leaderboard in Summary. If not set, Crossbeam features are hidden gracefully.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C7254E"/>
                <w:sz w:val="18"/>
                <w:szCs w:val="18"/>
              </w:rPr>
              <w:t xml:space="preserve">CROSSBEAM_MCP_URL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888888"/>
                <w:sz w:val="19"/>
                <w:szCs w:val="19"/>
              </w:rPr>
              <w:t xml:space="preserve">Optional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If using Crossbeam via Anthropic MCP (more powerful overlap lookup). URL of the Crossbeam MCP server endpoint.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C7254E"/>
                <w:sz w:val="18"/>
                <w:szCs w:val="18"/>
              </w:rPr>
              <w:t xml:space="preserve">CROSSBEAM_MCP_TOKEN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888888"/>
                <w:sz w:val="19"/>
                <w:szCs w:val="19"/>
              </w:rPr>
              <w:t xml:space="preserve">Optional</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Auth token for the Crossbeam MCP server if CROSSBEAM_MCP_URL is set.</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B" w:val="clear"/>
            <w:tcMar>
              <w:top w:type="dxa" w:w="120"/>
              <w:left w:type="dxa" w:w="200"/>
              <w:bottom w:type="dxa" w:w="120"/>
              <w:right w:type="dxa" w:w="200"/>
            </w:tcMar>
          </w:tcPr>
          <w:p>
            <w:pPr>
              <w:spacing w:after="0" w:before="0"/>
            </w:pPr>
            <w:r>
              <w:rPr>
                <w:rFonts w:ascii="Arial" w:cs="Arial" w:eastAsia="Arial" w:hAnsi="Arial"/>
                <w:b/>
                <w:bCs/>
                <w:color w:val="1C3A6B"/>
                <w:sz w:val="20"/>
                <w:szCs w:val="20"/>
              </w:rPr>
              <w:t xml:space="preserve">Security Note: </w:t>
            </w:r>
            <w:r>
              <w:rPr>
                <w:rFonts w:ascii="Arial" w:cs="Arial" w:eastAsia="Arial" w:hAnsi="Arial"/>
                <w:color w:val="10121A"/>
                <w:sz w:val="20"/>
                <w:szCs w:val="20"/>
              </w:rPr>
              <w:t xml:space="preserve">The ZoomInfo integration uses Anthropic’s MCP client feature. The ZoomInfo MCP server URL (mcp.zoominfo.com) and authentication are handled by Anthropic’s infrastructure when calling the API — no ZoomInfo API key is stored in this application. Only the Anthropic API key is required to call ZoomInfo.</w:t>
            </w:r>
          </w:p>
        </w:tc>
      </w:tr>
    </w:tbl>
    <w:p>
      <w:r>
        <w:br w:type="page"/>
      </w:r>
    </w:p>
    <w:p>
      <w:pPr>
        <w:pStyle w:val="Heading1"/>
        <w:spacing w:after="160" w:before="360"/>
      </w:pPr>
      <w:r>
        <w:rPr>
          <w:rFonts w:ascii="Arial" w:cs="Arial" w:eastAsia="Arial" w:hAnsi="Arial"/>
          <w:b/>
          <w:bCs/>
          <w:color w:val="1C3A6B"/>
          <w:sz w:val="32"/>
          <w:szCs w:val="32"/>
        </w:rPr>
        <w:t xml:space="preserve">4. Database Schema</w:t>
      </w:r>
    </w:p>
    <w:p>
      <w:pPr>
        <w:spacing w:after="100" w:before="60"/>
      </w:pPr>
      <w:r>
        <w:rPr>
          <w:rFonts w:ascii="Arial" w:cs="Arial" w:eastAsia="Arial" w:hAnsi="Arial"/>
          <w:color w:val="10121A"/>
          <w:sz w:val="20"/>
          <w:szCs w:val="20"/>
        </w:rPr>
        <w:t xml:space="preserve">The application uses two tables in Supabase (PostgreSQL). Both tables should have Row Level Security enabled in production.</w:t>
      </w:r>
    </w:p>
    <w:p>
      <w:pPr>
        <w:spacing w:after="120" w:before="0"/>
      </w:pPr>
    </w:p>
    <w:p>
      <w:pPr>
        <w:pStyle w:val="Heading2"/>
        <w:spacing w:after="120" w:before="280"/>
      </w:pPr>
      <w:r>
        <w:rPr>
          <w:rFonts w:ascii="Arial" w:cs="Arial" w:eastAsia="Arial" w:hAnsi="Arial"/>
          <w:b/>
          <w:bCs/>
          <w:color w:val="10121A"/>
          <w:sz w:val="26"/>
          <w:szCs w:val="26"/>
        </w:rPr>
        <w:t xml:space="preserve">Table: rep_profiles</w:t>
      </w:r>
    </w:p>
    <w:p>
      <w:pPr>
        <w:spacing w:after="100" w:before="60"/>
      </w:pPr>
      <w:r>
        <w:rPr>
          <w:rFonts w:ascii="Arial" w:cs="Arial" w:eastAsia="Arial" w:hAnsi="Arial"/>
          <w:color w:val="10121A"/>
          <w:sz w:val="20"/>
          <w:szCs w:val="20"/>
        </w:rPr>
        <w:t xml:space="preserve">Stores each rep’s style profile, writing sample, AI-extracted style guide, segment focus, and wave number. Primary key is rep_name (the rep’s display name as entered in the app).</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200"/>
        <w:gridCol w:w="4360"/>
      </w:tblGrid>
      <w:tr>
        <w:tc>
          <w:tcPr>
            <w:tcW w:type="dxa" w:w="2200"/>
            <w:tcBorders>
              <w:top w:val="single" w:color="CCCCCC" w:sz="1"/>
              <w:left w:val="single" w:color="CCCCCC" w:sz="1"/>
              <w:bottom w:val="single" w:color="CCCCCC" w:sz="1"/>
              <w:right w:val="single" w:color="CCCCCC" w:sz="1"/>
            </w:tcBorders>
            <w:shd w:fill="1C3A6B"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600"/>
            <w:tcBorders>
              <w:top w:val="single" w:color="CCCCCC" w:sz="1"/>
              <w:left w:val="single" w:color="CCCCCC" w:sz="1"/>
              <w:bottom w:val="single" w:color="CCCCCC" w:sz="1"/>
              <w:right w:val="single" w:color="CCCCCC" w:sz="1"/>
            </w:tcBorders>
            <w:shd w:fill="1C3A6B"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200"/>
            <w:tcBorders>
              <w:top w:val="single" w:color="CCCCCC" w:sz="1"/>
              <w:left w:val="single" w:color="CCCCCC" w:sz="1"/>
              <w:bottom w:val="single" w:color="CCCCCC" w:sz="1"/>
              <w:right w:val="single" w:color="CCCCCC" w:sz="1"/>
            </w:tcBorders>
            <w:shd w:fill="1C3A6B" w:val="clear"/>
            <w:tcMar>
              <w:top w:type="dxa" w:w="80"/>
              <w:left w:type="dxa" w:w="120"/>
              <w:bottom w:type="dxa" w:w="80"/>
              <w:right w:type="dxa" w:w="120"/>
            </w:tcMar>
          </w:tcPr>
          <w:p>
            <w:r>
              <w:rPr>
                <w:rFonts w:ascii="Arial" w:cs="Arial" w:eastAsia="Arial" w:hAnsi="Arial"/>
                <w:b/>
                <w:bCs/>
                <w:color w:val="FFFFFF"/>
                <w:sz w:val="18"/>
                <w:szCs w:val="18"/>
              </w:rPr>
              <w:t xml:space="preserve">Default</w:t>
            </w:r>
          </w:p>
        </w:tc>
        <w:tc>
          <w:tcPr>
            <w:tcW w:type="dxa" w:w="4360"/>
            <w:tcBorders>
              <w:top w:val="single" w:color="CCCCCC" w:sz="1"/>
              <w:left w:val="single" w:color="CCCCCC" w:sz="1"/>
              <w:bottom w:val="single" w:color="CCCCCC" w:sz="1"/>
              <w:right w:val="single" w:color="CCCCCC" w:sz="1"/>
            </w:tcBorders>
            <w:shd w:fill="1C3A6B"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C7254E"/>
                <w:sz w:val="18"/>
                <w:szCs w:val="18"/>
              </w:rPr>
              <w:t xml:space="preserve">rep_name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C7254E"/>
                <w:sz w:val="18"/>
                <w:szCs w:val="18"/>
              </w:rPr>
              <w:t xml:space="preserve">TEXT PRIMARY KEY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8"/>
                <w:szCs w:val="18"/>
              </w:rPr>
              <w:t xml:space="preserve"/>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8"/>
                <w:szCs w:val="18"/>
              </w:rPr>
              <w:t xml:space="preserve">Rep’s display name. Unique identifier. Must match exactly across sessions.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C7254E"/>
                <w:sz w:val="18"/>
                <w:szCs w:val="18"/>
              </w:rPr>
              <w:t xml:space="preserve">writing_sample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C7254E"/>
                <w:sz w:val="18"/>
                <w:szCs w:val="18"/>
              </w:rPr>
              <w:t xml:space="preserve">TEXT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8"/>
                <w:szCs w:val="18"/>
              </w:rPr>
              <w:t xml:space="preserv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8"/>
                <w:szCs w:val="18"/>
              </w:rPr>
              <w:t xml:space="preserve">The raw writing sample the rep pasted in for style extraction.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C7254E"/>
                <w:sz w:val="18"/>
                <w:szCs w:val="18"/>
              </w:rPr>
              <w:t xml:space="preserve">extracted_style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C7254E"/>
                <w:sz w:val="18"/>
                <w:szCs w:val="18"/>
              </w:rPr>
              <w:t xml:space="preserve">TEXT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8"/>
                <w:szCs w:val="18"/>
              </w:rPr>
              <w:t xml:space="preser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8"/>
                <w:szCs w:val="18"/>
              </w:rPr>
              <w:t xml:space="preserve">AI-extracted style guide describing the rep’s tone, structure, and patterns.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C7254E"/>
                <w:sz w:val="18"/>
                <w:szCs w:val="18"/>
              </w:rPr>
              <w:t xml:space="preserve">edit_examples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C7254E"/>
                <w:sz w:val="18"/>
                <w:szCs w:val="18"/>
              </w:rPr>
              <w:t xml:space="preserve">JSONB</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8"/>
                <w:szCs w:val="18"/>
              </w:rPr>
              <w:t xml:space="preserv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8"/>
                <w:szCs w:val="18"/>
              </w:rPr>
              <w:t xml:space="preserve">Array of {original, edited} pairs showing how the rep edits AI drafts. Used to improve future drafts.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C7254E"/>
                <w:sz w:val="18"/>
                <w:szCs w:val="18"/>
              </w:rPr>
              <w:t xml:space="preserve">segment_focus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C7254E"/>
                <w:sz w:val="18"/>
                <w:szCs w:val="18"/>
              </w:rPr>
              <w:t xml:space="preserve">TEXT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8"/>
                <w:szCs w:val="18"/>
              </w:rPr>
              <w:t xml:space="preser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8"/>
                <w:szCs w:val="18"/>
              </w:rPr>
              <w:t xml:space="preserve">Free-text description of the rep’s target industries and org types. Used to filter org discovery.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C7254E"/>
                <w:sz w:val="18"/>
                <w:szCs w:val="18"/>
              </w:rPr>
              <w:t xml:space="preserve">wave_number</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C7254E"/>
                <w:sz w:val="18"/>
                <w:szCs w:val="18"/>
              </w:rPr>
              <w:t xml:space="preserve">INTEGER</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8"/>
                <w:szCs w:val="18"/>
              </w:rPr>
              <w:t xml:space="preserve">1</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8"/>
                <w:szCs w:val="18"/>
              </w:rPr>
              <w:t xml:space="preserve">Current wave/batch number. Increments after each workflow completion.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C7254E"/>
                <w:sz w:val="18"/>
                <w:szCs w:val="18"/>
              </w:rPr>
              <w:t xml:space="preserve">updated_at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C7254E"/>
                <w:sz w:val="18"/>
                <w:szCs w:val="18"/>
              </w:rPr>
              <w:t xml:space="preserve">TIMESTAMPTZ</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8"/>
                <w:szCs w:val="18"/>
              </w:rPr>
              <w:t xml:space="preserve">NOW()</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8"/>
                <w:szCs w:val="18"/>
              </w:rPr>
              <w:t xml:space="preserve">Auto-updated timestamp of last profile save.</w:t>
            </w:r>
          </w:p>
        </w:tc>
      </w:tr>
    </w:tbl>
    <w:p>
      <w:pPr>
        <w:spacing w:after="120" w:before="0"/>
      </w:pPr>
    </w:p>
    <w:p>
      <w:pPr>
        <w:spacing w:after="40" w:before="40"/>
      </w:pPr>
      <w:r>
        <w:rPr>
          <w:rFonts w:ascii="Courier New" w:cs="Courier New" w:eastAsia="Courier New" w:hAnsi="Courier New"/>
          <w:color w:val="C7254E"/>
          <w:sz w:val="18"/>
          <w:szCs w:val="18"/>
        </w:rPr>
        <w:t xml:space="preserve">CREATE TABLE IF NOT EXISTS rep_profiles (</w:t>
      </w:r>
    </w:p>
    <w:p>
      <w:pPr>
        <w:spacing w:after="40" w:before="40"/>
      </w:pPr>
      <w:r>
        <w:rPr>
          <w:rFonts w:ascii="Courier New" w:cs="Courier New" w:eastAsia="Courier New" w:hAnsi="Courier New"/>
          <w:color w:val="C7254E"/>
          <w:sz w:val="18"/>
          <w:szCs w:val="18"/>
        </w:rPr>
        <w:t xml:space="preserve">  rep_name        TEXT PRIMARY KEY,</w:t>
      </w:r>
    </w:p>
    <w:p>
      <w:pPr>
        <w:spacing w:after="40" w:before="40"/>
      </w:pPr>
      <w:r>
        <w:rPr>
          <w:rFonts w:ascii="Courier New" w:cs="Courier New" w:eastAsia="Courier New" w:hAnsi="Courier New"/>
          <w:color w:val="C7254E"/>
          <w:sz w:val="18"/>
          <w:szCs w:val="18"/>
        </w:rPr>
        <w:t xml:space="preserve">  writing_sample  TEXT    DEFAULT '',</w:t>
      </w:r>
    </w:p>
    <w:p>
      <w:pPr>
        <w:spacing w:after="40" w:before="40"/>
      </w:pPr>
      <w:r>
        <w:rPr>
          <w:rFonts w:ascii="Courier New" w:cs="Courier New" w:eastAsia="Courier New" w:hAnsi="Courier New"/>
          <w:color w:val="C7254E"/>
          <w:sz w:val="18"/>
          <w:szCs w:val="18"/>
        </w:rPr>
        <w:t xml:space="preserve">  extracted_style TEXT    DEFAULT '',</w:t>
      </w:r>
    </w:p>
    <w:p>
      <w:pPr>
        <w:spacing w:after="40" w:before="40"/>
      </w:pPr>
      <w:r>
        <w:rPr>
          <w:rFonts w:ascii="Courier New" w:cs="Courier New" w:eastAsia="Courier New" w:hAnsi="Courier New"/>
          <w:color w:val="C7254E"/>
          <w:sz w:val="18"/>
          <w:szCs w:val="18"/>
        </w:rPr>
        <w:t xml:space="preserve">  edit_examples   JSONB   DEFAULT '[]',</w:t>
      </w:r>
    </w:p>
    <w:p>
      <w:pPr>
        <w:spacing w:after="40" w:before="40"/>
      </w:pPr>
      <w:r>
        <w:rPr>
          <w:rFonts w:ascii="Courier New" w:cs="Courier New" w:eastAsia="Courier New" w:hAnsi="Courier New"/>
          <w:color w:val="C7254E"/>
          <w:sz w:val="18"/>
          <w:szCs w:val="18"/>
        </w:rPr>
        <w:t xml:space="preserve">  segment_focus   TEXT    DEFAULT '',</w:t>
      </w:r>
    </w:p>
    <w:p>
      <w:pPr>
        <w:spacing w:after="40" w:before="40"/>
      </w:pPr>
      <w:r>
        <w:rPr>
          <w:rFonts w:ascii="Courier New" w:cs="Courier New" w:eastAsia="Courier New" w:hAnsi="Courier New"/>
          <w:color w:val="C7254E"/>
          <w:sz w:val="18"/>
          <w:szCs w:val="18"/>
        </w:rPr>
        <w:t xml:space="preserve">  wave_number     INTEGER DEFAULT 1,</w:t>
      </w:r>
    </w:p>
    <w:p>
      <w:pPr>
        <w:spacing w:after="40" w:before="40"/>
      </w:pPr>
      <w:r>
        <w:rPr>
          <w:rFonts w:ascii="Courier New" w:cs="Courier New" w:eastAsia="Courier New" w:hAnsi="Courier New"/>
          <w:color w:val="C7254E"/>
          <w:sz w:val="18"/>
          <w:szCs w:val="18"/>
        </w:rPr>
        <w:t xml:space="preserve">  updated_at      TIMESTAMPTZ DEFAULT NOW()</w:t>
      </w:r>
    </w:p>
    <w:p>
      <w:pPr>
        <w:spacing w:after="40" w:before="40"/>
      </w:pPr>
      <w:r>
        <w:rPr>
          <w:rFonts w:ascii="Courier New" w:cs="Courier New" w:eastAsia="Courier New" w:hAnsi="Courier New"/>
          <w:color w:val="C7254E"/>
          <w:sz w:val="18"/>
          <w:szCs w:val="18"/>
        </w:rPr>
        <w:t xml:space="preserve">);</w:t>
      </w:r>
    </w:p>
    <w:p>
      <w:pPr>
        <w:spacing w:after="240" w:before="0"/>
      </w:pPr>
    </w:p>
    <w:p>
      <w:pPr>
        <w:pStyle w:val="Heading2"/>
        <w:spacing w:after="120" w:before="280"/>
      </w:pPr>
      <w:r>
        <w:rPr>
          <w:rFonts w:ascii="Arial" w:cs="Arial" w:eastAsia="Arial" w:hAnsi="Arial"/>
          <w:b/>
          <w:bCs/>
          <w:color w:val="10121A"/>
          <w:sz w:val="26"/>
          <w:szCs w:val="26"/>
        </w:rPr>
        <w:t xml:space="preserve">Table: report_entries</w:t>
      </w:r>
    </w:p>
    <w:p>
      <w:pPr>
        <w:spacing w:after="100" w:before="60"/>
      </w:pPr>
      <w:r>
        <w:rPr>
          <w:rFonts w:ascii="Arial" w:cs="Arial" w:eastAsia="Arial" w:hAnsi="Arial"/>
          <w:color w:val="10121A"/>
          <w:sz w:val="20"/>
          <w:szCs w:val="20"/>
        </w:rPr>
        <w:t xml:space="preserve">Stores every contact that has been emailed or tracked. This is the shared activity log across all reps.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200"/>
        <w:gridCol w:w="4160"/>
      </w:tblGrid>
      <w:tr>
        <w:tc>
          <w:tcPr>
            <w:tcW w:type="dxa" w:w="2400"/>
            <w:tcBorders>
              <w:top w:val="single" w:color="CCCCCC" w:sz="1"/>
              <w:left w:val="single" w:color="CCCCCC" w:sz="1"/>
              <w:bottom w:val="single" w:color="CCCCCC" w:sz="1"/>
              <w:right w:val="single" w:color="CCCCCC" w:sz="1"/>
            </w:tcBorders>
            <w:shd w:fill="1C3A6B"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600"/>
            <w:tcBorders>
              <w:top w:val="single" w:color="CCCCCC" w:sz="1"/>
              <w:left w:val="single" w:color="CCCCCC" w:sz="1"/>
              <w:bottom w:val="single" w:color="CCCCCC" w:sz="1"/>
              <w:right w:val="single" w:color="CCCCCC" w:sz="1"/>
            </w:tcBorders>
            <w:shd w:fill="1C3A6B"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200"/>
            <w:tcBorders>
              <w:top w:val="single" w:color="CCCCCC" w:sz="1"/>
              <w:left w:val="single" w:color="CCCCCC" w:sz="1"/>
              <w:bottom w:val="single" w:color="CCCCCC" w:sz="1"/>
              <w:right w:val="single" w:color="CCCCCC" w:sz="1"/>
            </w:tcBorders>
            <w:shd w:fill="1C3A6B" w:val="clear"/>
            <w:tcMar>
              <w:top w:type="dxa" w:w="80"/>
              <w:left w:type="dxa" w:w="120"/>
              <w:bottom w:type="dxa" w:w="80"/>
              <w:right w:type="dxa" w:w="120"/>
            </w:tcMar>
          </w:tcPr>
          <w:p>
            <w:r>
              <w:rPr>
                <w:rFonts w:ascii="Arial" w:cs="Arial" w:eastAsia="Arial" w:hAnsi="Arial"/>
                <w:b/>
                <w:bCs/>
                <w:color w:val="FFFFFF"/>
                <w:sz w:val="18"/>
                <w:szCs w:val="18"/>
              </w:rPr>
              <w:t xml:space="preserve">Default</w:t>
            </w:r>
          </w:p>
        </w:tc>
        <w:tc>
          <w:tcPr>
            <w:tcW w:type="dxa" w:w="4160"/>
            <w:tcBorders>
              <w:top w:val="single" w:color="CCCCCC" w:sz="1"/>
              <w:left w:val="single" w:color="CCCCCC" w:sz="1"/>
              <w:bottom w:val="single" w:color="CCCCCC" w:sz="1"/>
              <w:right w:val="single" w:color="CCCCCC" w:sz="1"/>
            </w:tcBorders>
            <w:shd w:fill="1C3A6B"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C7254E"/>
                <w:sz w:val="18"/>
                <w:szCs w:val="18"/>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C7254E"/>
                <w:sz w:val="18"/>
                <w:szCs w:val="18"/>
              </w:rPr>
              <w:t xml:space="preserve">TEXT PRIMARY KEY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8"/>
                <w:szCs w:val="18"/>
              </w:rPr>
              <w:t xml:space="preserve"/>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8"/>
                <w:szCs w:val="18"/>
              </w:rPr>
              <w:t xml:space="preserve">UUID generated client-side. Stable identifier for upsert operations.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C7254E"/>
                <w:sz w:val="18"/>
                <w:szCs w:val="18"/>
              </w:rPr>
              <w:t xml:space="preserve">rep_name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C7254E"/>
                <w:sz w:val="18"/>
                <w:szCs w:val="18"/>
              </w:rPr>
              <w:t xml:space="preserve">TEXT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8"/>
                <w:szCs w:val="18"/>
              </w:rPr>
              <w:t xml:space="preserve">''</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8"/>
                <w:szCs w:val="18"/>
              </w:rPr>
              <w:t xml:space="preserve">Rep who created this entry. Used for per-rep pipeline filtering.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C7254E"/>
                <w:sz w:val="18"/>
                <w:szCs w:val="18"/>
              </w:rPr>
              <w:t xml:space="preserve">wave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C7254E"/>
                <w:sz w:val="18"/>
                <w:szCs w:val="18"/>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8"/>
                <w:szCs w:val="18"/>
              </w:rPr>
              <w:t xml:space="preserve">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8"/>
                <w:szCs w:val="18"/>
              </w:rPr>
              <w:t xml:space="preserve">Wave/batch number at time of entry creation.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C7254E"/>
                <w:sz w:val="18"/>
                <w:szCs w:val="18"/>
              </w:rPr>
              <w:t xml:space="preserve">smerf_category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C7254E"/>
                <w:sz w:val="18"/>
                <w:szCs w:val="18"/>
              </w:rPr>
              <w:t xml:space="preserve">TEXT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8"/>
                <w:szCs w:val="18"/>
              </w:rPr>
              <w:t xml:space="preserve">''</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8"/>
                <w:szCs w:val="18"/>
              </w:rPr>
              <w:t xml:space="preserve">Segment category (e.g. Sports, Military, Education, Religious, Fraternal).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C7254E"/>
                <w:sz w:val="18"/>
                <w:szCs w:val="18"/>
              </w:rPr>
              <w:t xml:space="preserve">organization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C7254E"/>
                <w:sz w:val="18"/>
                <w:szCs w:val="18"/>
              </w:rPr>
              <w:t xml:space="preserve">TEXT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8"/>
                <w:szCs w:val="18"/>
              </w:rPr>
              <w:t xml:space="preserv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8"/>
                <w:szCs w:val="18"/>
              </w:rPr>
              <w:t xml:space="preserve">Organization name. Used for duplicate detection and Crossbeam overlap lookup.</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C7254E"/>
                <w:sz w:val="18"/>
                <w:szCs w:val="18"/>
              </w:rPr>
              <w:t xml:space="preserve">contact_name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C7254E"/>
                <w:sz w:val="18"/>
                <w:szCs w:val="18"/>
              </w:rPr>
              <w:t xml:space="preserve">TEXT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8"/>
                <w:szCs w:val="18"/>
              </w:rPr>
              <w:t xml:space="preserve">''</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8"/>
                <w:szCs w:val="18"/>
              </w:rPr>
              <w:t xml:space="preserve">Contact’s full name.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C7254E"/>
                <w:sz w:val="18"/>
                <w:szCs w:val="18"/>
              </w:rPr>
              <w:t xml:space="preserve">title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C7254E"/>
                <w:sz w:val="18"/>
                <w:szCs w:val="18"/>
              </w:rPr>
              <w:t xml:space="preserve">TEXT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8"/>
                <w:szCs w:val="18"/>
              </w:rPr>
              <w:t xml:space="preserv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8"/>
                <w:szCs w:val="18"/>
              </w:rPr>
              <w:t xml:space="preserve">Contact’s job title.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C7254E"/>
                <w:sz w:val="18"/>
                <w:szCs w:val="18"/>
              </w:rPr>
              <w:t xml:space="preserve">email</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C7254E"/>
                <w:sz w:val="18"/>
                <w:szCs w:val="18"/>
              </w:rPr>
              <w:t xml:space="preserve">TEXT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8"/>
                <w:szCs w:val="18"/>
              </w:rPr>
              <w:t xml:space="preserve">''</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8"/>
                <w:szCs w:val="18"/>
              </w:rPr>
              <w:t xml:space="preserve">Contact’s email address. May be empty if not found.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C7254E"/>
                <w:sz w:val="18"/>
                <w:szCs w:val="18"/>
              </w:rPr>
              <w:t xml:space="preserve">subject_line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C7254E"/>
                <w:sz w:val="18"/>
                <w:szCs w:val="18"/>
              </w:rPr>
              <w:t xml:space="preserve">TEXT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8"/>
                <w:szCs w:val="18"/>
              </w:rPr>
              <w:t xml:space="preserv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8"/>
                <w:szCs w:val="18"/>
              </w:rPr>
              <w:t xml:space="preserve">Subject line of the outreach email sent.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C7254E"/>
                <w:sz w:val="18"/>
                <w:szCs w:val="18"/>
              </w:rPr>
              <w:t xml:space="preserve">date_sent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C7254E"/>
                <w:sz w:val="18"/>
                <w:szCs w:val="18"/>
              </w:rPr>
              <w:t xml:space="preserve">DATE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8"/>
                <w:szCs w:val="18"/>
              </w:rPr>
              <w:t xml:space="preserve">null</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8"/>
                <w:szCs w:val="18"/>
              </w:rPr>
              <w:t xml:space="preserve">Date the email was marked as sent.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C7254E"/>
                <w:sz w:val="18"/>
                <w:szCs w:val="18"/>
              </w:rPr>
              <w:t xml:space="preserve">status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C7254E"/>
                <w:sz w:val="18"/>
                <w:szCs w:val="18"/>
              </w:rPr>
              <w:t xml:space="preserve">TEXT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8"/>
                <w:szCs w:val="18"/>
              </w:rPr>
              <w:t xml:space="preserve">'Pending'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8"/>
                <w:szCs w:val="18"/>
              </w:rPr>
              <w:t xml:space="preserve">Sent / Fallback / Pending.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C7254E"/>
                <w:sz w:val="18"/>
                <w:szCs w:val="18"/>
              </w:rPr>
              <w:t xml:space="preserve">stage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C7254E"/>
                <w:sz w:val="18"/>
                <w:szCs w:val="18"/>
              </w:rPr>
              <w:t xml:space="preserve">TEXT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8"/>
                <w:szCs w:val="18"/>
              </w:rPr>
              <w:t xml:space="preserve">'Prospecting'</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8"/>
                <w:szCs w:val="18"/>
              </w:rPr>
              <w:t xml:space="preserve">Deal stage: Prospecting / Discovery / Proposal / Contracted / Closed Won / Closed Lost.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C7254E"/>
                <w:sz w:val="18"/>
                <w:szCs w:val="18"/>
              </w:rPr>
              <w:t xml:space="preserve">follow_up_due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C7254E"/>
                <w:sz w:val="18"/>
                <w:szCs w:val="18"/>
              </w:rPr>
              <w:t xml:space="preserve">DATE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8"/>
                <w:szCs w:val="18"/>
              </w:rPr>
              <w:t xml:space="preserve">null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8"/>
                <w:szCs w:val="18"/>
              </w:rPr>
              <w:t xml:space="preserve">Date follow-up 1 is due (auto-set to 3 days after send).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C7254E"/>
                <w:sz w:val="18"/>
                <w:szCs w:val="18"/>
              </w:rPr>
              <w:t xml:space="preserve">follow_up_sent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C7254E"/>
                <w:sz w:val="18"/>
                <w:szCs w:val="18"/>
              </w:rPr>
              <w:t xml:space="preserve">BOOLEAN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8"/>
                <w:szCs w:val="18"/>
              </w:rPr>
              <w:t xml:space="preserve">false</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8"/>
                <w:szCs w:val="18"/>
              </w:rPr>
              <w:t xml:space="preserve">Whether follow-up 1 has been sent.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C7254E"/>
                <w:sz w:val="18"/>
                <w:szCs w:val="18"/>
              </w:rPr>
              <w:t xml:space="preserve">follow_up_2_due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C7254E"/>
                <w:sz w:val="18"/>
                <w:szCs w:val="18"/>
              </w:rPr>
              <w:t xml:space="preserve">DATE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8"/>
                <w:szCs w:val="18"/>
              </w:rPr>
              <w:t xml:space="preserve">null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8"/>
                <w:szCs w:val="18"/>
              </w:rPr>
              <w:t xml:space="preserve">Date follow-up 2 is due (auto-set to 7 days after send).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C7254E"/>
                <w:sz w:val="18"/>
                <w:szCs w:val="18"/>
              </w:rPr>
              <w:t xml:space="preserve">follow_up_2_sent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C7254E"/>
                <w:sz w:val="18"/>
                <w:szCs w:val="18"/>
              </w:rPr>
              <w:t xml:space="preserve">BOOLEAN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8"/>
                <w:szCs w:val="18"/>
              </w:rPr>
              <w:t xml:space="preserve">false</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8"/>
                <w:szCs w:val="18"/>
              </w:rPr>
              <w:t xml:space="preserve">Whether follow-up 2 has been sent.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C7254E"/>
                <w:sz w:val="18"/>
                <w:szCs w:val="18"/>
              </w:rPr>
              <w:t xml:space="preserve">follow_up_3_due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C7254E"/>
                <w:sz w:val="18"/>
                <w:szCs w:val="18"/>
              </w:rPr>
              <w:t xml:space="preserve">DATE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8"/>
                <w:szCs w:val="18"/>
              </w:rPr>
              <w:t xml:space="preserve">null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8"/>
                <w:szCs w:val="18"/>
              </w:rPr>
              <w:t xml:space="preserve">Date follow-up 3 is due (auto-set to 14 days after send).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C7254E"/>
                <w:sz w:val="18"/>
                <w:szCs w:val="18"/>
              </w:rPr>
              <w:t xml:space="preserve">follow_up_3_sent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C7254E"/>
                <w:sz w:val="18"/>
                <w:szCs w:val="18"/>
              </w:rPr>
              <w:t xml:space="preserve">BOOLEAN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8"/>
                <w:szCs w:val="18"/>
              </w:rPr>
              <w:t xml:space="preserve">false</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8"/>
                <w:szCs w:val="18"/>
              </w:rPr>
              <w:t xml:space="preserve">Whether follow-up 3 has been sent.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C7254E"/>
                <w:sz w:val="18"/>
                <w:szCs w:val="18"/>
              </w:rPr>
              <w:t xml:space="preserve">notes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C7254E"/>
                <w:sz w:val="18"/>
                <w:szCs w:val="18"/>
              </w:rPr>
              <w:t xml:space="preserve">TEXT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8"/>
                <w:szCs w:val="18"/>
              </w:rPr>
              <w:t xml:space="preserv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8"/>
                <w:szCs w:val="18"/>
              </w:rPr>
              <w:t xml:space="preserve">Free-text notes on the account. Visible in the activity log.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C7254E"/>
                <w:sz w:val="18"/>
                <w:szCs w:val="18"/>
              </w:rPr>
              <w:t xml:space="preserve">created_at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C7254E"/>
                <w:sz w:val="18"/>
                <w:szCs w:val="18"/>
              </w:rPr>
              <w:t xml:space="preserve">TIMESTAMPTZ</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8"/>
                <w:szCs w:val="18"/>
              </w:rPr>
              <w:t xml:space="preserve">NOW()</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8"/>
                <w:szCs w:val="18"/>
              </w:rPr>
              <w:t xml:space="preserve">Timestamp of record creation.</w:t>
            </w:r>
          </w:p>
        </w:tc>
      </w:tr>
    </w:tbl>
    <w:p>
      <w:r>
        <w:br w:type="page"/>
      </w:r>
    </w:p>
    <w:p>
      <w:pPr>
        <w:pStyle w:val="Heading1"/>
        <w:spacing w:after="160" w:before="360"/>
      </w:pPr>
      <w:r>
        <w:rPr>
          <w:rFonts w:ascii="Arial" w:cs="Arial" w:eastAsia="Arial" w:hAnsi="Arial"/>
          <w:b/>
          <w:bCs/>
          <w:color w:val="1C3A6B"/>
          <w:sz w:val="32"/>
          <w:szCs w:val="32"/>
        </w:rPr>
        <w:t xml:space="preserve">5. API Routes</w:t>
      </w:r>
    </w:p>
    <w:p>
      <w:pPr>
        <w:spacing w:after="100" w:before="60"/>
      </w:pPr>
      <w:r>
        <w:rPr>
          <w:rFonts w:ascii="Arial" w:cs="Arial" w:eastAsia="Arial" w:hAnsi="Arial"/>
          <w:color w:val="10121A"/>
          <w:sz w:val="20"/>
          <w:szCs w:val="20"/>
        </w:rPr>
        <w:t xml:space="preserve">All routes are Next.js App Router API routes (Node.js serverless functions). Each route runs server-side, keeping API keys out of the browser.</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c>
          <w:tcPr>
            <w:tcW w:type="dxa" w:w="1800"/>
            <w:tcBorders>
              <w:top w:val="single" w:color="CCCCCC" w:sz="1"/>
              <w:left w:val="single" w:color="CCCCCC" w:sz="1"/>
              <w:bottom w:val="single" w:color="CCCCCC" w:sz="1"/>
              <w:right w:val="single" w:color="CCCCCC" w:sz="1"/>
            </w:tcBorders>
            <w:shd w:fill="1C3A6B" w:val="clear"/>
            <w:tcMar>
              <w:top w:type="dxa" w:w="80"/>
              <w:left w:type="dxa" w:w="120"/>
              <w:bottom w:type="dxa" w:w="80"/>
              <w:right w:type="dxa" w:w="120"/>
            </w:tcMar>
          </w:tcPr>
          <w:p>
            <w:r>
              <w:rPr>
                <w:rFonts w:ascii="Arial" w:cs="Arial" w:eastAsia="Arial" w:hAnsi="Arial"/>
                <w:b/>
                <w:bCs/>
                <w:color w:val="FFFFFF"/>
                <w:sz w:val="18"/>
                <w:szCs w:val="18"/>
              </w:rPr>
              <w:t xml:space="preserve">Route</w:t>
            </w:r>
          </w:p>
        </w:tc>
        <w:tc>
          <w:tcPr>
            <w:tcW w:type="dxa" w:w="1400"/>
            <w:tcBorders>
              <w:top w:val="single" w:color="CCCCCC" w:sz="1"/>
              <w:left w:val="single" w:color="CCCCCC" w:sz="1"/>
              <w:bottom w:val="single" w:color="CCCCCC" w:sz="1"/>
              <w:right w:val="single" w:color="CCCCCC" w:sz="1"/>
            </w:tcBorders>
            <w:shd w:fill="1C3A6B" w:val="clear"/>
            <w:tcMar>
              <w:top w:type="dxa" w:w="80"/>
              <w:left w:type="dxa" w:w="120"/>
              <w:bottom w:type="dxa" w:w="80"/>
              <w:right w:type="dxa" w:w="120"/>
            </w:tcMar>
          </w:tcPr>
          <w:p>
            <w:r>
              <w:rPr>
                <w:rFonts w:ascii="Arial" w:cs="Arial" w:eastAsia="Arial" w:hAnsi="Arial"/>
                <w:b/>
                <w:bCs/>
                <w:color w:val="FFFFFF"/>
                <w:sz w:val="18"/>
                <w:szCs w:val="18"/>
              </w:rPr>
              <w:t xml:space="preserve">Method(s)</w:t>
            </w:r>
          </w:p>
        </w:tc>
        <w:tc>
          <w:tcPr>
            <w:tcW w:type="dxa" w:w="6160"/>
            <w:tcBorders>
              <w:top w:val="single" w:color="CCCCCC" w:sz="1"/>
              <w:left w:val="single" w:color="CCCCCC" w:sz="1"/>
              <w:bottom w:val="single" w:color="CCCCCC" w:sz="1"/>
              <w:right w:val="single" w:color="CCCCCC" w:sz="1"/>
            </w:tcBorders>
            <w:shd w:fill="1C3A6B" w:val="clear"/>
            <w:tcMar>
              <w:top w:type="dxa" w:w="80"/>
              <w:left w:type="dxa" w:w="120"/>
              <w:bottom w:type="dxa" w:w="80"/>
              <w:right w:type="dxa" w:w="120"/>
            </w:tcMar>
          </w:tcPr>
          <w:p>
            <w:r>
              <w:rPr>
                <w:rFonts w:ascii="Arial" w:cs="Arial" w:eastAsia="Arial" w:hAnsi="Arial"/>
                <w:b/>
                <w:bCs/>
                <w:color w:val="FFFFFF"/>
                <w:sz w:val="18"/>
                <w:szCs w:val="18"/>
              </w:rPr>
              <w:t xml:space="preserve">What It Does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/api/claude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POST</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Proxy to Anthropic API. Forwards messages array and optional mcp_servers config. Used for email drafting, style extraction, follow-up generation.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/api/contacts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POST</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Two-pass contact discovery. Pass 1 finds people at the org. Pass 2 searches real web pages for their email. Returns emailVerified flag. Includes exponential backoff retry for 429 rate limits.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/api/crossbeam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POST</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Crossbeam partner intelligence. Actions: partners (list), leaderboard (top partners by overlap), overlap (per-account overlap lookup), suggestions (new partner recommendations), dashboard (all in one call).</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/api/discover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POST</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Finds 10 similar organizations using Claude with web search. Accepts startingOrg, segmentFocus, and excludeOrgs to avoid duplicates. Returns array of {name, type} objects.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/api/import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POST</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Parses XLSX or CSV file upload. Maps flexible column headers to ReportEntry schema. Returns structured entries ready to merge into the activity log.</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/api/profiles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GET, POST, DELETE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Rep profile management. GET fetches a profile by rep name. POST upserts the full profile. DELETE removes a profile. Reads/writes rep_profiles table in Supabase.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/api/reports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GET, POST, PATCH, DELETE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Activity log management. GET loads all entries. POST upserts entries (batch). PATCH updates a single entry field (stage, notes, followUpSent, etc). DELETE clears all data.</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/api/research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POST</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Company research using Claude web search. Returns 4-6 specific research notes on partnership fit: events, member travel, ongoing engagement, recent news. Notes feed into email drafting.</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/api/zoominfo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POST</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ZoomInfo contact lookup via Anthropic MCP. Passes the ZoomInfo MCP server config to the Anthropic API, which executes the tool server-side. Returns up to 3 contacts with verified emails.</w:t>
            </w:r>
          </w:p>
        </w:tc>
      </w:tr>
    </w:tbl>
    <w:p>
      <w:pPr>
        <w:spacing w:after="240" w:before="0"/>
      </w:pPr>
    </w:p>
    <w:p>
      <w:r>
        <w:br w:type="page"/>
      </w:r>
    </w:p>
    <w:p>
      <w:pPr>
        <w:pStyle w:val="Heading1"/>
        <w:spacing w:after="160" w:before="360"/>
      </w:pPr>
      <w:r>
        <w:rPr>
          <w:rFonts w:ascii="Arial" w:cs="Arial" w:eastAsia="Arial" w:hAnsi="Arial"/>
          <w:b/>
          <w:bCs/>
          <w:color w:val="1C3A6B"/>
          <w:sz w:val="32"/>
          <w:szCs w:val="32"/>
        </w:rPr>
        <w:t xml:space="preserve">6. Data Flow &amp; External Integrations</w:t>
      </w:r>
    </w:p>
    <w:p>
      <w:pPr>
        <w:spacing w:after="100" w:before="60"/>
      </w:pPr>
      <w:r>
        <w:rPr>
          <w:rFonts w:ascii="Arial" w:cs="Arial" w:eastAsia="Arial" w:hAnsi="Arial"/>
          <w:color w:val="10121A"/>
          <w:sz w:val="20"/>
          <w:szCs w:val="20"/>
        </w:rPr>
        <w:t xml:space="preserve">Understanding what data leaves the system and where it goes is essential for privacy and security review.</w:t>
      </w:r>
    </w:p>
    <w:p>
      <w:pPr>
        <w:spacing w:after="120" w:before="0"/>
      </w:pPr>
    </w:p>
    <w:p>
      <w:pPr>
        <w:pStyle w:val="Heading2"/>
        <w:spacing w:after="120" w:before="280"/>
      </w:pPr>
      <w:r>
        <w:rPr>
          <w:rFonts w:ascii="Arial" w:cs="Arial" w:eastAsia="Arial" w:hAnsi="Arial"/>
          <w:b/>
          <w:bCs/>
          <w:color w:val="10121A"/>
          <w:sz w:val="26"/>
          <w:szCs w:val="26"/>
        </w:rPr>
        <w:t xml:space="preserve">Anthropic (Claude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B" w:val="clear"/>
            <w:tcMar>
              <w:top w:type="dxa" w:w="120"/>
              <w:left w:type="dxa" w:w="200"/>
              <w:bottom w:type="dxa" w:w="120"/>
              <w:right w:type="dxa" w:w="200"/>
            </w:tcMar>
          </w:tcPr>
          <w:p>
            <w:pPr>
              <w:spacing w:after="0" w:before="0"/>
            </w:pPr>
            <w:r>
              <w:rPr>
                <w:rFonts w:ascii="Arial" w:cs="Arial" w:eastAsia="Arial" w:hAnsi="Arial"/>
                <w:b/>
                <w:bCs/>
                <w:color w:val="1C3A6B"/>
                <w:sz w:val="20"/>
                <w:szCs w:val="20"/>
              </w:rPr>
              <w:t xml:space="preserve">Data Sent: </w:t>
            </w:r>
            <w:r>
              <w:rPr>
                <w:rFonts w:ascii="Arial" w:cs="Arial" w:eastAsia="Arial" w:hAnsi="Arial"/>
                <w:color w:val="10121A"/>
                <w:sz w:val="20"/>
                <w:szCs w:val="20"/>
              </w:rPr>
              <w:t xml:space="preserve">Organization names, contact names and titles, rep writing samples, draft email text, research notes, and edit history. No passwords, financial data, or internal Engine systems data.</w:t>
            </w:r>
          </w:p>
        </w:tc>
      </w:tr>
    </w:tbl>
    <w:p>
      <w:pPr>
        <w:spacing w:after="120" w:before="0"/>
      </w:pPr>
    </w:p>
    <w:p>
      <w:pPr>
        <w:pStyle w:val="ListParagraph"/>
        <w:numPr>
          <w:ilvl w:val="0"/>
          <w:numId w:val="2"/>
        </w:numPr>
        <w:spacing w:after="40" w:before="40"/>
        <w:ind w:left="360" w:hanging="240"/>
      </w:pPr>
      <w:r>
        <w:rPr>
          <w:rFonts w:ascii="Arial" w:cs="Arial" w:eastAsia="Arial" w:hAnsi="Arial"/>
          <w:color w:val="10121A"/>
          <w:sz w:val="20"/>
          <w:szCs w:val="20"/>
        </w:rPr>
        <w:t xml:space="preserve">All calls go to api.anthropic.com/v1/messages over HTTPS</w:t>
      </w:r>
    </w:p>
    <w:p>
      <w:pPr>
        <w:pStyle w:val="ListParagraph"/>
        <w:numPr>
          <w:ilvl w:val="0"/>
          <w:numId w:val="2"/>
        </w:numPr>
        <w:spacing w:after="40" w:before="40"/>
        <w:ind w:left="360" w:hanging="240"/>
      </w:pPr>
      <w:r>
        <w:rPr>
          <w:rFonts w:ascii="Arial" w:cs="Arial" w:eastAsia="Arial" w:hAnsi="Arial"/>
          <w:color w:val="10121A"/>
          <w:sz w:val="20"/>
          <w:szCs w:val="20"/>
        </w:rPr>
        <w:t xml:space="preserve">Model used: claude-haiku-4-5-20251001 (fastest/cheapest tier)</w:t>
      </w:r>
    </w:p>
    <w:p>
      <w:pPr>
        <w:pStyle w:val="ListParagraph"/>
        <w:numPr>
          <w:ilvl w:val="0"/>
          <w:numId w:val="2"/>
        </w:numPr>
        <w:spacing w:after="40" w:before="40"/>
        <w:ind w:left="360" w:hanging="240"/>
      </w:pPr>
      <w:r>
        <w:rPr>
          <w:rFonts w:ascii="Arial" w:cs="Arial" w:eastAsia="Arial" w:hAnsi="Arial"/>
          <w:color w:val="10121A"/>
          <w:sz w:val="20"/>
          <w:szCs w:val="20"/>
        </w:rPr>
        <w:t xml:space="preserve">Web search tool: Anthropic executes searches server-side — the app does not call any search API directly</w:t>
      </w:r>
    </w:p>
    <w:p>
      <w:pPr>
        <w:pStyle w:val="ListParagraph"/>
        <w:numPr>
          <w:ilvl w:val="0"/>
          <w:numId w:val="2"/>
        </w:numPr>
        <w:spacing w:after="40" w:before="40"/>
        <w:ind w:left="360" w:hanging="240"/>
      </w:pPr>
      <w:r>
        <w:rPr>
          <w:rFonts w:ascii="Arial" w:cs="Arial" w:eastAsia="Arial" w:hAnsi="Arial"/>
          <w:color w:val="10121A"/>
          <w:sz w:val="20"/>
          <w:szCs w:val="20"/>
        </w:rPr>
        <w:t xml:space="preserve">MCP tools: Anthropic’s API calls ZoomInfo’s MCP server on behalf of this app. The ZoomInfo OAuth token is held by Anthropic’s MCP infrastructure, not stored in this application</w:t>
      </w:r>
    </w:p>
    <w:p>
      <w:pPr>
        <w:pStyle w:val="ListParagraph"/>
        <w:numPr>
          <w:ilvl w:val="0"/>
          <w:numId w:val="2"/>
        </w:numPr>
        <w:spacing w:after="40" w:before="40"/>
        <w:ind w:left="360" w:hanging="240"/>
      </w:pPr>
      <w:r>
        <w:rPr>
          <w:rFonts w:ascii="Arial" w:cs="Arial" w:eastAsia="Arial" w:hAnsi="Arial"/>
          <w:color w:val="10121A"/>
          <w:sz w:val="20"/>
          <w:szCs w:val="20"/>
        </w:rPr>
        <w:t xml:space="preserve">Anthropic’s API does not train on API requests by default (per their usage policy)</w:t>
      </w:r>
    </w:p>
    <w:p>
      <w:pPr>
        <w:spacing w:after="240" w:before="0"/>
      </w:pPr>
    </w:p>
    <w:p>
      <w:pPr>
        <w:pStyle w:val="Heading2"/>
        <w:spacing w:after="120" w:before="280"/>
      </w:pPr>
      <w:r>
        <w:rPr>
          <w:rFonts w:ascii="Arial" w:cs="Arial" w:eastAsia="Arial" w:hAnsi="Arial"/>
          <w:b/>
          <w:bCs/>
          <w:color w:val="10121A"/>
          <w:sz w:val="26"/>
          <w:szCs w:val="26"/>
        </w:rPr>
        <w:t xml:space="preserve">Supabase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B" w:val="clear"/>
            <w:tcMar>
              <w:top w:type="dxa" w:w="120"/>
              <w:left w:type="dxa" w:w="200"/>
              <w:bottom w:type="dxa" w:w="120"/>
              <w:right w:type="dxa" w:w="200"/>
            </w:tcMar>
          </w:tcPr>
          <w:p>
            <w:pPr>
              <w:spacing w:after="0" w:before="0"/>
            </w:pPr>
            <w:r>
              <w:rPr>
                <w:rFonts w:ascii="Arial" w:cs="Arial" w:eastAsia="Arial" w:hAnsi="Arial"/>
                <w:b/>
                <w:bCs/>
                <w:color w:val="1C3A6B"/>
                <w:sz w:val="20"/>
                <w:szCs w:val="20"/>
              </w:rPr>
              <w:t xml:space="preserve">Data Stored: </w:t>
            </w:r>
            <w:r>
              <w:rPr>
                <w:rFonts w:ascii="Arial" w:cs="Arial" w:eastAsia="Arial" w:hAnsi="Arial"/>
                <w:color w:val="10121A"/>
                <w:sz w:val="20"/>
                <w:szCs w:val="20"/>
              </w:rPr>
              <w:t xml:space="preserve">Rep names, writing samples, extracted style profiles, organization names, contact names and emails, email subject lines, deal stages, follow-up dates, and notes.</w:t>
            </w:r>
          </w:p>
        </w:tc>
      </w:tr>
    </w:tbl>
    <w:p>
      <w:pPr>
        <w:spacing w:after="120" w:before="0"/>
      </w:pPr>
    </w:p>
    <w:p>
      <w:pPr>
        <w:pStyle w:val="ListParagraph"/>
        <w:numPr>
          <w:ilvl w:val="0"/>
          <w:numId w:val="2"/>
        </w:numPr>
        <w:spacing w:after="40" w:before="40"/>
        <w:ind w:left="360" w:hanging="240"/>
      </w:pPr>
      <w:r>
        <w:rPr>
          <w:rFonts w:ascii="Arial" w:cs="Arial" w:eastAsia="Arial" w:hAnsi="Arial"/>
          <w:color w:val="10121A"/>
          <w:sz w:val="20"/>
          <w:szCs w:val="20"/>
        </w:rPr>
        <w:t xml:space="preserve">Current instance: ndyrlkunnmlgygvjcgvi.supabase.co (Engine’s project)</w:t>
      </w:r>
    </w:p>
    <w:p>
      <w:pPr>
        <w:pStyle w:val="ListParagraph"/>
        <w:numPr>
          <w:ilvl w:val="0"/>
          <w:numId w:val="2"/>
        </w:numPr>
        <w:spacing w:after="40" w:before="40"/>
        <w:ind w:left="360" w:hanging="240"/>
      </w:pPr>
      <w:r>
        <w:rPr>
          <w:rFonts w:ascii="Arial" w:cs="Arial" w:eastAsia="Arial" w:hAnsi="Arial"/>
          <w:color w:val="10121A"/>
          <w:sz w:val="20"/>
          <w:szCs w:val="20"/>
        </w:rPr>
        <w:t xml:space="preserve">Access via supabase-js client using the anon/public key — Row Level Security should be enabled</w:t>
      </w:r>
    </w:p>
    <w:p>
      <w:pPr>
        <w:pStyle w:val="ListParagraph"/>
        <w:numPr>
          <w:ilvl w:val="0"/>
          <w:numId w:val="2"/>
        </w:numPr>
        <w:spacing w:after="40" w:before="40"/>
        <w:ind w:left="360" w:hanging="240"/>
      </w:pPr>
      <w:r>
        <w:rPr>
          <w:rFonts w:ascii="Arial" w:cs="Arial" w:eastAsia="Arial" w:hAnsi="Arial"/>
          <w:color w:val="10121A"/>
          <w:sz w:val="20"/>
          <w:szCs w:val="20"/>
        </w:rPr>
        <w:t xml:space="preserve">For self-hosting: can migrate to any Postgres instance by replacing supabase-js calls with direct pg queries</w:t>
      </w:r>
    </w:p>
    <w:p>
      <w:pPr>
        <w:pStyle w:val="ListParagraph"/>
        <w:numPr>
          <w:ilvl w:val="0"/>
          <w:numId w:val="2"/>
        </w:numPr>
        <w:spacing w:after="40" w:before="40"/>
        <w:ind w:left="360" w:hanging="240"/>
      </w:pPr>
      <w:r>
        <w:rPr>
          <w:rFonts w:ascii="Arial" w:cs="Arial" w:eastAsia="Arial" w:hAnsi="Arial"/>
          <w:color w:val="10121A"/>
          <w:sz w:val="20"/>
          <w:szCs w:val="20"/>
        </w:rPr>
        <w:t xml:space="preserve">No financial data, no SSO tokens, no internal Engine systems credentials are stored</w:t>
      </w:r>
    </w:p>
    <w:p>
      <w:pPr>
        <w:spacing w:after="240" w:before="0"/>
      </w:pPr>
    </w:p>
    <w:p>
      <w:pPr>
        <w:pStyle w:val="Heading2"/>
        <w:spacing w:after="120" w:before="280"/>
      </w:pPr>
      <w:r>
        <w:rPr>
          <w:rFonts w:ascii="Arial" w:cs="Arial" w:eastAsia="Arial" w:hAnsi="Arial"/>
          <w:b/>
          <w:bCs/>
          <w:color w:val="10121A"/>
          <w:sz w:val="26"/>
          <w:szCs w:val="26"/>
        </w:rPr>
        <w:t xml:space="preserve">ZoomInfo (via Anthropic MCP)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B" w:val="clear"/>
            <w:tcMar>
              <w:top w:type="dxa" w:w="120"/>
              <w:left w:type="dxa" w:w="200"/>
              <w:bottom w:type="dxa" w:w="120"/>
              <w:right w:type="dxa" w:w="200"/>
            </w:tcMar>
          </w:tcPr>
          <w:p>
            <w:pPr>
              <w:spacing w:after="0" w:before="0"/>
            </w:pPr>
            <w:r>
              <w:rPr>
                <w:rFonts w:ascii="Arial" w:cs="Arial" w:eastAsia="Arial" w:hAnsi="Arial"/>
                <w:b/>
                <w:bCs/>
                <w:color w:val="1C3A6B"/>
                <w:sz w:val="20"/>
                <w:szCs w:val="20"/>
              </w:rPr>
              <w:t xml:space="preserve">Data Sent: </w:t>
            </w:r>
            <w:r>
              <w:rPr>
                <w:rFonts w:ascii="Arial" w:cs="Arial" w:eastAsia="Arial" w:hAnsi="Arial"/>
                <w:color w:val="10121A"/>
                <w:sz w:val="20"/>
                <w:szCs w:val="20"/>
              </w:rPr>
              <w:t xml:space="preserve">Organization name and type. Returns contact names, titles, and email addresses.</w:t>
            </w:r>
          </w:p>
        </w:tc>
      </w:tr>
    </w:tbl>
    <w:p>
      <w:pPr>
        <w:spacing w:after="120" w:before="0"/>
      </w:pPr>
    </w:p>
    <w:p>
      <w:pPr>
        <w:pStyle w:val="ListParagraph"/>
        <w:numPr>
          <w:ilvl w:val="0"/>
          <w:numId w:val="2"/>
        </w:numPr>
        <w:spacing w:after="40" w:before="40"/>
        <w:ind w:left="360" w:hanging="240"/>
      </w:pPr>
      <w:r>
        <w:rPr>
          <w:rFonts w:ascii="Arial" w:cs="Arial" w:eastAsia="Arial" w:hAnsi="Arial"/>
          <w:color w:val="10121A"/>
          <w:sz w:val="20"/>
          <w:szCs w:val="20"/>
        </w:rPr>
        <w:t xml:space="preserve">ZoomInfo is accessed via Anthropic’s MCP client feature, not via a direct API integration</w:t>
      </w:r>
    </w:p>
    <w:p>
      <w:pPr>
        <w:pStyle w:val="ListParagraph"/>
        <w:numPr>
          <w:ilvl w:val="0"/>
          <w:numId w:val="2"/>
        </w:numPr>
        <w:spacing w:after="40" w:before="40"/>
        <w:ind w:left="360" w:hanging="240"/>
      </w:pPr>
      <w:r>
        <w:rPr>
          <w:rFonts w:ascii="Arial" w:cs="Arial" w:eastAsia="Arial" w:hAnsi="Arial"/>
          <w:color w:val="10121A"/>
          <w:sz w:val="20"/>
          <w:szCs w:val="20"/>
        </w:rPr>
        <w:t xml:space="preserve">The app passes the ZoomInfo MCP server URL to the Anthropic API, which handles authentication</w:t>
      </w:r>
    </w:p>
    <w:p>
      <w:pPr>
        <w:pStyle w:val="ListParagraph"/>
        <w:numPr>
          <w:ilvl w:val="0"/>
          <w:numId w:val="2"/>
        </w:numPr>
        <w:spacing w:after="40" w:before="40"/>
        <w:ind w:left="360" w:hanging="240"/>
      </w:pPr>
      <w:r>
        <w:rPr>
          <w:rFonts w:ascii="Arial" w:cs="Arial" w:eastAsia="Arial" w:hAnsi="Arial"/>
          <w:color w:val="10121A"/>
          <w:sz w:val="20"/>
          <w:szCs w:val="20"/>
        </w:rPr>
        <w:t xml:space="preserve">No ZoomInfo API key or OAuth token is stored in this application’s environment variables</w:t>
      </w:r>
    </w:p>
    <w:p>
      <w:pPr>
        <w:pStyle w:val="ListParagraph"/>
        <w:numPr>
          <w:ilvl w:val="0"/>
          <w:numId w:val="2"/>
        </w:numPr>
        <w:spacing w:after="40" w:before="40"/>
        <w:ind w:left="360" w:hanging="240"/>
      </w:pPr>
      <w:r>
        <w:rPr>
          <w:rFonts w:ascii="Arial" w:cs="Arial" w:eastAsia="Arial" w:hAnsi="Arial"/>
          <w:color w:val="10121A"/>
          <w:sz w:val="20"/>
          <w:szCs w:val="20"/>
        </w:rPr>
        <w:t xml:space="preserve">Requires an active ZoomInfo subscription with MCP access enabled</w:t>
      </w:r>
    </w:p>
    <w:p>
      <w:pPr>
        <w:spacing w:after="240" w:before="0"/>
      </w:pPr>
    </w:p>
    <w:p>
      <w:pPr>
        <w:pStyle w:val="Heading2"/>
        <w:spacing w:after="120" w:before="280"/>
      </w:pPr>
      <w:r>
        <w:rPr>
          <w:rFonts w:ascii="Arial" w:cs="Arial" w:eastAsia="Arial" w:hAnsi="Arial"/>
          <w:b/>
          <w:bCs/>
          <w:color w:val="10121A"/>
          <w:sz w:val="26"/>
          <w:szCs w:val="26"/>
        </w:rPr>
        <w:t xml:space="preserve">Crossbeam (REST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B" w:val="clear"/>
            <w:tcMar>
              <w:top w:type="dxa" w:w="120"/>
              <w:left w:type="dxa" w:w="200"/>
              <w:bottom w:type="dxa" w:w="120"/>
              <w:right w:type="dxa" w:w="200"/>
            </w:tcMar>
          </w:tcPr>
          <w:p>
            <w:pPr>
              <w:spacing w:after="0" w:before="0"/>
            </w:pPr>
            <w:r>
              <w:rPr>
                <w:rFonts w:ascii="Arial" w:cs="Arial" w:eastAsia="Arial" w:hAnsi="Arial"/>
                <w:b/>
                <w:bCs/>
                <w:color w:val="1C3A6B"/>
                <w:sz w:val="20"/>
                <w:szCs w:val="20"/>
              </w:rPr>
              <w:t xml:space="preserve">Data Sent: </w:t>
            </w:r>
            <w:r>
              <w:rPr>
                <w:rFonts w:ascii="Arial" w:cs="Arial" w:eastAsia="Arial" w:hAnsi="Arial"/>
                <w:color w:val="10121A"/>
                <w:sz w:val="20"/>
                <w:szCs w:val="20"/>
              </w:rPr>
              <w:t xml:space="preserve">Organization names (for overlap lookup). Returns partner names, overlap counts, and whether an account is a customer of a partner.</w:t>
            </w:r>
          </w:p>
        </w:tc>
      </w:tr>
    </w:tbl>
    <w:p>
      <w:pPr>
        <w:spacing w:after="120" w:before="0"/>
      </w:pPr>
    </w:p>
    <w:p>
      <w:pPr>
        <w:pStyle w:val="ListParagraph"/>
        <w:numPr>
          <w:ilvl w:val="0"/>
          <w:numId w:val="2"/>
        </w:numPr>
        <w:spacing w:after="40" w:before="40"/>
        <w:ind w:left="360" w:hanging="240"/>
      </w:pPr>
      <w:r>
        <w:rPr>
          <w:rFonts w:ascii="Arial" w:cs="Arial" w:eastAsia="Arial" w:hAnsi="Arial"/>
          <w:color w:val="10121A"/>
          <w:sz w:val="20"/>
          <w:szCs w:val="20"/>
        </w:rPr>
        <w:t xml:space="preserve">Calls go directly to api.crossbeam.com/v0.2 using a Bearer token (CROSSBEAM_API_KEY)</w:t>
      </w:r>
    </w:p>
    <w:p>
      <w:pPr>
        <w:pStyle w:val="ListParagraph"/>
        <w:numPr>
          <w:ilvl w:val="0"/>
          <w:numId w:val="2"/>
        </w:numPr>
        <w:spacing w:after="40" w:before="40"/>
        <w:ind w:left="360" w:hanging="240"/>
      </w:pPr>
      <w:r>
        <w:rPr>
          <w:rFonts w:ascii="Arial" w:cs="Arial" w:eastAsia="Arial" w:hAnsi="Arial"/>
          <w:color w:val="10121A"/>
          <w:sz w:val="20"/>
          <w:szCs w:val="20"/>
        </w:rPr>
        <w:t xml:space="preserve">Only reads data — no writes to Crossbeam</w:t>
      </w:r>
    </w:p>
    <w:p>
      <w:pPr>
        <w:pStyle w:val="ListParagraph"/>
        <w:numPr>
          <w:ilvl w:val="0"/>
          <w:numId w:val="2"/>
        </w:numPr>
        <w:spacing w:after="40" w:before="40"/>
        <w:ind w:left="360" w:hanging="240"/>
      </w:pPr>
      <w:r>
        <w:rPr>
          <w:rFonts w:ascii="Arial" w:cs="Arial" w:eastAsia="Arial" w:hAnsi="Arial"/>
          <w:color w:val="10121A"/>
          <w:sz w:val="20"/>
          <w:szCs w:val="20"/>
        </w:rPr>
        <w:t xml:space="preserve">Crossbeam feature is optional. If CROSSBEAM_API_KEY is not set, the feature is hidden and no calls are made</w:t>
      </w:r>
    </w:p>
    <w:p>
      <w:pPr>
        <w:spacing w:after="240" w:before="0"/>
      </w:pPr>
    </w:p>
    <w:p>
      <w:r>
        <w:br w:type="page"/>
      </w:r>
    </w:p>
    <w:p>
      <w:pPr>
        <w:pStyle w:val="Heading1"/>
        <w:spacing w:after="160" w:before="360"/>
      </w:pPr>
      <w:r>
        <w:rPr>
          <w:rFonts w:ascii="Arial" w:cs="Arial" w:eastAsia="Arial" w:hAnsi="Arial"/>
          <w:b/>
          <w:bCs/>
          <w:color w:val="1C3A6B"/>
          <w:sz w:val="32"/>
          <w:szCs w:val="32"/>
        </w:rPr>
        <w:t xml:space="preserve">7. Deployment Guide</w:t>
      </w:r>
    </w:p>
    <w:p>
      <w:pPr>
        <w:spacing w:after="100" w:before="60"/>
      </w:pPr>
      <w:r>
        <w:rPr>
          <w:rFonts w:ascii="Arial" w:cs="Arial" w:eastAsia="Arial" w:hAnsi="Arial"/>
          <w:color w:val="10121A"/>
          <w:sz w:val="20"/>
          <w:szCs w:val="20"/>
        </w:rPr>
        <w:t xml:space="preserve">The application is a standard Next.js app. It can be deployed to any Node.js hosting environment. Below are options from simplest to most controlled.</w:t>
      </w:r>
    </w:p>
    <w:p>
      <w:pPr>
        <w:spacing w:after="120" w:before="0"/>
      </w:pPr>
    </w:p>
    <w:p>
      <w:pPr>
        <w:pStyle w:val="Heading2"/>
        <w:spacing w:after="120" w:before="280"/>
      </w:pPr>
      <w:r>
        <w:rPr>
          <w:rFonts w:ascii="Arial" w:cs="Arial" w:eastAsia="Arial" w:hAnsi="Arial"/>
          <w:b/>
          <w:bCs/>
          <w:color w:val="10121A"/>
          <w:sz w:val="26"/>
          <w:szCs w:val="26"/>
        </w:rPr>
        <w:t xml:space="preserve">Option A: Engine-Owned Vercel (Recommended for speed)</w:t>
      </w:r>
    </w:p>
    <w:p>
      <w:pPr>
        <w:spacing w:after="100" w:before="60"/>
      </w:pPr>
      <w:r>
        <w:rPr>
          <w:rFonts w:ascii="Arial" w:cs="Arial" w:eastAsia="Arial" w:hAnsi="Arial"/>
          <w:color w:val="10121A"/>
          <w:sz w:val="20"/>
          <w:szCs w:val="20"/>
        </w:rPr>
        <w:t xml:space="preserve">Transfer the existing project from the personal Vercel account to an Engine team account. This keeps the same deployment process but puts it under Engine’s Vercel org with proper access controls.</w:t>
      </w:r>
    </w:p>
    <w:p>
      <w:pPr>
        <w:spacing w:after="120" w:before="0"/>
      </w:pPr>
    </w:p>
    <w:p>
      <w:pPr>
        <w:pStyle w:val="ListParagraph"/>
        <w:numPr>
          <w:ilvl w:val="0"/>
          <w:numId w:val="2"/>
        </w:numPr>
        <w:spacing w:after="40" w:before="40"/>
        <w:ind w:left="360" w:hanging="240"/>
      </w:pPr>
      <w:r>
        <w:rPr>
          <w:rFonts w:ascii="Arial" w:cs="Arial" w:eastAsia="Arial" w:hAnsi="Arial"/>
          <w:color w:val="10121A"/>
          <w:sz w:val="20"/>
          <w:szCs w:val="20"/>
        </w:rPr>
        <w:t xml:space="preserve">1. Create an Engine team in Vercel (vercel.com/teams)</w:t>
      </w:r>
    </w:p>
    <w:p>
      <w:pPr>
        <w:pStyle w:val="ListParagraph"/>
        <w:numPr>
          <w:ilvl w:val="0"/>
          <w:numId w:val="2"/>
        </w:numPr>
        <w:spacing w:after="40" w:before="40"/>
        <w:ind w:left="360" w:hanging="240"/>
      </w:pPr>
      <w:r>
        <w:rPr>
          <w:rFonts w:ascii="Arial" w:cs="Arial" w:eastAsia="Arial" w:hAnsi="Arial"/>
          <w:color w:val="10121A"/>
          <w:sz w:val="20"/>
          <w:szCs w:val="20"/>
        </w:rPr>
        <w:t xml:space="preserve">2. In Vercel: Settings → Transfer Project → select Engine team</w:t>
      </w:r>
    </w:p>
    <w:p>
      <w:pPr>
        <w:pStyle w:val="ListParagraph"/>
        <w:numPr>
          <w:ilvl w:val="0"/>
          <w:numId w:val="2"/>
        </w:numPr>
        <w:spacing w:after="40" w:before="40"/>
        <w:ind w:left="360" w:hanging="240"/>
      </w:pPr>
      <w:r>
        <w:rPr>
          <w:rFonts w:ascii="Arial" w:cs="Arial" w:eastAsia="Arial" w:hAnsi="Arial"/>
          <w:color w:val="10121A"/>
          <w:sz w:val="20"/>
          <w:szCs w:val="20"/>
        </w:rPr>
        <w:t xml:space="preserve">3. Re-add environment variables in the new team’s project settings</w:t>
      </w:r>
    </w:p>
    <w:p>
      <w:pPr>
        <w:pStyle w:val="ListParagraph"/>
        <w:numPr>
          <w:ilvl w:val="0"/>
          <w:numId w:val="2"/>
        </w:numPr>
        <w:spacing w:after="40" w:before="40"/>
        <w:ind w:left="360" w:hanging="240"/>
      </w:pPr>
      <w:r>
        <w:rPr>
          <w:rFonts w:ascii="Arial" w:cs="Arial" w:eastAsia="Arial" w:hAnsi="Arial"/>
          <w:color w:val="10121A"/>
          <w:sz w:val="20"/>
          <w:szCs w:val="20"/>
        </w:rPr>
        <w:t xml:space="preserve">4. Update DNS if using a custom domain (e.g. agent.engine.com)</w:t>
      </w:r>
    </w:p>
    <w:p>
      <w:pPr>
        <w:spacing w:after="240" w:before="0"/>
      </w:pPr>
    </w:p>
    <w:p>
      <w:pPr>
        <w:pStyle w:val="Heading2"/>
        <w:spacing w:after="120" w:before="280"/>
      </w:pPr>
      <w:r>
        <w:rPr>
          <w:rFonts w:ascii="Arial" w:cs="Arial" w:eastAsia="Arial" w:hAnsi="Arial"/>
          <w:b/>
          <w:bCs/>
          <w:color w:val="10121A"/>
          <w:sz w:val="26"/>
          <w:szCs w:val="26"/>
        </w:rPr>
        <w:t xml:space="preserve">Option B: Self-Hosted on AWS / GCP / Azure</w:t>
      </w:r>
    </w:p>
    <w:p>
      <w:pPr>
        <w:spacing w:after="100" w:before="60"/>
      </w:pPr>
      <w:r>
        <w:rPr>
          <w:rFonts w:ascii="Arial" w:cs="Arial" w:eastAsia="Arial" w:hAnsi="Arial"/>
          <w:color w:val="10121A"/>
          <w:sz w:val="20"/>
          <w:szCs w:val="20"/>
        </w:rPr>
        <w:t xml:space="preserve">Deploy as a containerized Node.js application. Steps:</w:t>
      </w:r>
    </w:p>
    <w:p>
      <w:pPr>
        <w:spacing w:after="120" w:before="0"/>
      </w:pPr>
    </w:p>
    <w:p>
      <w:pPr>
        <w:pStyle w:val="ListParagraph"/>
        <w:numPr>
          <w:ilvl w:val="0"/>
          <w:numId w:val="2"/>
        </w:numPr>
        <w:spacing w:after="40" w:before="40"/>
        <w:ind w:left="360" w:hanging="240"/>
      </w:pPr>
      <w:r>
        <w:rPr>
          <w:rFonts w:ascii="Arial" w:cs="Arial" w:eastAsia="Arial" w:hAnsi="Arial"/>
          <w:color w:val="10121A"/>
          <w:sz w:val="20"/>
          <w:szCs w:val="20"/>
        </w:rPr>
        <w:t xml:space="preserve">1. Clone the repository to your infrastructure</w:t>
      </w:r>
    </w:p>
    <w:p>
      <w:pPr>
        <w:pStyle w:val="ListParagraph"/>
        <w:numPr>
          <w:ilvl w:val="0"/>
          <w:numId w:val="2"/>
        </w:numPr>
        <w:spacing w:after="40" w:before="40"/>
        <w:ind w:left="360" w:hanging="240"/>
      </w:pPr>
      <w:r>
        <w:rPr>
          <w:rFonts w:ascii="Arial" w:cs="Arial" w:eastAsia="Arial" w:hAnsi="Arial"/>
          <w:color w:val="10121A"/>
          <w:sz w:val="20"/>
          <w:szCs w:val="20"/>
        </w:rPr>
        <w:t xml:space="preserve">2. Run npm install &amp;&amp; npm run build in the project folder</w:t>
      </w:r>
    </w:p>
    <w:p>
      <w:pPr>
        <w:pStyle w:val="ListParagraph"/>
        <w:numPr>
          <w:ilvl w:val="0"/>
          <w:numId w:val="2"/>
        </w:numPr>
        <w:spacing w:after="40" w:before="40"/>
        <w:ind w:left="360" w:hanging="240"/>
      </w:pPr>
      <w:r>
        <w:rPr>
          <w:rFonts w:ascii="Arial" w:cs="Arial" w:eastAsia="Arial" w:hAnsi="Arial"/>
          <w:color w:val="10121A"/>
          <w:sz w:val="20"/>
          <w:szCs w:val="20"/>
        </w:rPr>
        <w:t xml:space="preserve">3. Set all environment variables on the host (see Section 3)</w:t>
      </w:r>
    </w:p>
    <w:p>
      <w:pPr>
        <w:pStyle w:val="ListParagraph"/>
        <w:numPr>
          <w:ilvl w:val="0"/>
          <w:numId w:val="2"/>
        </w:numPr>
        <w:spacing w:after="40" w:before="40"/>
        <w:ind w:left="360" w:hanging="240"/>
      </w:pPr>
      <w:r>
        <w:rPr>
          <w:rFonts w:ascii="Arial" w:cs="Arial" w:eastAsia="Arial" w:hAnsi="Arial"/>
          <w:color w:val="10121A"/>
          <w:sz w:val="20"/>
          <w:szCs w:val="20"/>
        </w:rPr>
        <w:t xml:space="preserve">4. Run npm start (starts Next.js on port 3000 by default)</w:t>
      </w:r>
    </w:p>
    <w:p>
      <w:pPr>
        <w:pStyle w:val="ListParagraph"/>
        <w:numPr>
          <w:ilvl w:val="0"/>
          <w:numId w:val="2"/>
        </w:numPr>
        <w:spacing w:after="40" w:before="40"/>
        <w:ind w:left="360" w:hanging="240"/>
      </w:pPr>
      <w:r>
        <w:rPr>
          <w:rFonts w:ascii="Arial" w:cs="Arial" w:eastAsia="Arial" w:hAnsi="Arial"/>
          <w:color w:val="10121A"/>
          <w:sz w:val="20"/>
          <w:szCs w:val="20"/>
        </w:rPr>
        <w:t xml:space="preserve">5. Put behind a reverse proxy (nginx, AWS ALB, Cloudflare) with HTTPS</w:t>
      </w:r>
    </w:p>
    <w:p>
      <w:pPr>
        <w:pStyle w:val="ListParagraph"/>
        <w:numPr>
          <w:ilvl w:val="0"/>
          <w:numId w:val="2"/>
        </w:numPr>
        <w:spacing w:after="40" w:before="40"/>
        <w:ind w:left="360" w:hanging="240"/>
      </w:pPr>
      <w:r>
        <w:rPr>
          <w:rFonts w:ascii="Arial" w:cs="Arial" w:eastAsia="Arial" w:hAnsi="Arial"/>
          <w:color w:val="10121A"/>
          <w:sz w:val="20"/>
          <w:szCs w:val="20"/>
        </w:rPr>
        <w:t xml:space="preserve">6. For containers: use the official Node.js 22 Alpine image, expose port 3000</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B" w:val="clear"/>
            <w:tcMar>
              <w:top w:type="dxa" w:w="120"/>
              <w:left w:type="dxa" w:w="200"/>
              <w:bottom w:type="dxa" w:w="120"/>
              <w:right w:type="dxa" w:w="200"/>
            </w:tcMar>
          </w:tcPr>
          <w:p>
            <w:pPr>
              <w:spacing w:after="0" w:before="0"/>
            </w:pPr>
            <w:r>
              <w:rPr>
                <w:rFonts w:ascii="Arial" w:cs="Arial" w:eastAsia="Arial" w:hAnsi="Arial"/>
                <w:b/>
                <w:bCs/>
                <w:color w:val="1C3A6B"/>
                <w:sz w:val="20"/>
                <w:szCs w:val="20"/>
              </w:rPr>
              <w:t xml:space="preserve">Note: </w:t>
            </w:r>
            <w:r>
              <w:rPr>
                <w:rFonts w:ascii="Arial" w:cs="Arial" w:eastAsia="Arial" w:hAnsi="Arial"/>
                <w:color w:val="10121A"/>
                <w:sz w:val="20"/>
                <w:szCs w:val="20"/>
              </w:rPr>
              <w:t xml:space="preserve">The app has no persistent server-side state — all state is in Supabase and the client browser. This means it is stateless and scales horizontally without session pinning.</w:t>
            </w:r>
          </w:p>
        </w:tc>
      </w:tr>
    </w:tbl>
    <w:p>
      <w:pPr>
        <w:spacing w:after="240" w:before="0"/>
      </w:pPr>
    </w:p>
    <w:p>
      <w:pPr>
        <w:pStyle w:val="Heading2"/>
        <w:spacing w:after="120" w:before="280"/>
      </w:pPr>
      <w:r>
        <w:rPr>
          <w:rFonts w:ascii="Arial" w:cs="Arial" w:eastAsia="Arial" w:hAnsi="Arial"/>
          <w:b/>
          <w:bCs/>
          <w:color w:val="10121A"/>
          <w:sz w:val="26"/>
          <w:szCs w:val="26"/>
        </w:rPr>
        <w:t xml:space="preserve">Option C: Replace Supabase with Engine’s Own Postgres</w:t>
      </w:r>
    </w:p>
    <w:p>
      <w:pPr>
        <w:spacing w:after="100" w:before="60"/>
      </w:pPr>
      <w:r>
        <w:rPr>
          <w:rFonts w:ascii="Arial" w:cs="Arial" w:eastAsia="Arial" w:hAnsi="Arial"/>
          <w:color w:val="10121A"/>
          <w:sz w:val="20"/>
          <w:szCs w:val="20"/>
        </w:rPr>
        <w:t xml:space="preserve">If data sovereignty requires keeping the database fully internal:</w:t>
      </w:r>
    </w:p>
    <w:p>
      <w:pPr>
        <w:spacing w:after="120" w:before="0"/>
      </w:pPr>
    </w:p>
    <w:p>
      <w:pPr>
        <w:pStyle w:val="ListParagraph"/>
        <w:numPr>
          <w:ilvl w:val="0"/>
          <w:numId w:val="2"/>
        </w:numPr>
        <w:spacing w:after="40" w:before="40"/>
        <w:ind w:left="360" w:hanging="240"/>
      </w:pPr>
      <w:r>
        <w:rPr>
          <w:rFonts w:ascii="Arial" w:cs="Arial" w:eastAsia="Arial" w:hAnsi="Arial"/>
          <w:color w:val="10121A"/>
          <w:sz w:val="20"/>
          <w:szCs w:val="20"/>
        </w:rPr>
        <w:t xml:space="preserve">1. Create the two tables (rep_profiles, report_entries) in your Postgres instance using the CREATE TABLE statements in Section 4</w:t>
      </w:r>
    </w:p>
    <w:p>
      <w:pPr>
        <w:pStyle w:val="ListParagraph"/>
        <w:numPr>
          <w:ilvl w:val="0"/>
          <w:numId w:val="2"/>
        </w:numPr>
        <w:spacing w:after="40" w:before="40"/>
        <w:ind w:left="360" w:hanging="240"/>
      </w:pPr>
      <w:r>
        <w:rPr>
          <w:rFonts w:ascii="Arial" w:cs="Arial" w:eastAsia="Arial" w:hAnsi="Arial"/>
          <w:color w:val="10121A"/>
          <w:sz w:val="20"/>
          <w:szCs w:val="20"/>
        </w:rPr>
        <w:t xml:space="preserve">2. Install the pg package: npm install pg</w:t>
      </w:r>
    </w:p>
    <w:p>
      <w:pPr>
        <w:pStyle w:val="ListParagraph"/>
        <w:numPr>
          <w:ilvl w:val="0"/>
          <w:numId w:val="2"/>
        </w:numPr>
        <w:spacing w:after="40" w:before="40"/>
        <w:ind w:left="360" w:hanging="240"/>
      </w:pPr>
      <w:r>
        <w:rPr>
          <w:rFonts w:ascii="Arial" w:cs="Arial" w:eastAsia="Arial" w:hAnsi="Arial"/>
          <w:color w:val="10121A"/>
          <w:sz w:val="20"/>
          <w:szCs w:val="20"/>
        </w:rPr>
        <w:t xml:space="preserve">3. Replace supabase-js calls in app/api/profiles/route.ts and app/api/reports/route.ts with direct pg queries</w:t>
      </w:r>
    </w:p>
    <w:p>
      <w:pPr>
        <w:pStyle w:val="ListParagraph"/>
        <w:numPr>
          <w:ilvl w:val="0"/>
          <w:numId w:val="2"/>
        </w:numPr>
        <w:spacing w:after="40" w:before="40"/>
        <w:ind w:left="360" w:hanging="240"/>
      </w:pPr>
      <w:r>
        <w:rPr>
          <w:rFonts w:ascii="Arial" w:cs="Arial" w:eastAsia="Arial" w:hAnsi="Arial"/>
          <w:color w:val="10121A"/>
          <w:sz w:val="20"/>
          <w:szCs w:val="20"/>
        </w:rPr>
        <w:t xml:space="preserve">4. Remove NEXT_PUBLIC_SUPABASE_URL and NEXT_PUBLIC_SUPABASE_ANON_KEY from env vars</w:t>
      </w:r>
    </w:p>
    <w:p>
      <w:pPr>
        <w:pStyle w:val="ListParagraph"/>
        <w:numPr>
          <w:ilvl w:val="0"/>
          <w:numId w:val="2"/>
        </w:numPr>
        <w:spacing w:after="40" w:before="40"/>
        <w:ind w:left="360" w:hanging="240"/>
      </w:pPr>
      <w:r>
        <w:rPr>
          <w:rFonts w:ascii="Arial" w:cs="Arial" w:eastAsia="Arial" w:hAnsi="Arial"/>
          <w:color w:val="10121A"/>
          <w:sz w:val="20"/>
          <w:szCs w:val="20"/>
        </w:rPr>
        <w:t xml:space="preserve">5. Add DATABASE_URL to env vars pointing to your internal Postgres instance</w:t>
      </w:r>
    </w:p>
    <w:p>
      <w:pPr>
        <w:spacing w:after="240" w:before="0"/>
      </w:pPr>
    </w:p>
    <w:p>
      <w:pPr>
        <w:pStyle w:val="Heading2"/>
        <w:spacing w:after="120" w:before="280"/>
      </w:pPr>
      <w:r>
        <w:rPr>
          <w:rFonts w:ascii="Arial" w:cs="Arial" w:eastAsia="Arial" w:hAnsi="Arial"/>
          <w:b/>
          <w:bCs/>
          <w:color w:val="10121A"/>
          <w:sz w:val="26"/>
          <w:szCs w:val="26"/>
        </w:rPr>
        <w:t xml:space="preserve">Current Live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C3A6B" w:val="clear"/>
            <w:tcMar>
              <w:top w:type="dxa" w:w="80"/>
              <w:left w:type="dxa" w:w="120"/>
              <w:bottom w:type="dxa" w:w="80"/>
              <w:right w:type="dxa" w:w="120"/>
            </w:tcMar>
          </w:tcPr>
          <w:p>
            <w:r>
              <w:rPr>
                <w:rFonts w:ascii="Arial" w:cs="Arial" w:eastAsia="Arial" w:hAnsi="Arial"/>
                <w:b/>
                <w:bCs/>
                <w:color w:val="FFFFFF"/>
                <w:sz w:val="19"/>
                <w:szCs w:val="19"/>
              </w:rPr>
              <w:t xml:space="preserve">Setting</w:t>
            </w:r>
          </w:p>
        </w:tc>
        <w:tc>
          <w:tcPr>
            <w:tcW w:type="dxa" w:w="6360"/>
            <w:tcBorders>
              <w:top w:val="single" w:color="CCCCCC" w:sz="1"/>
              <w:left w:val="single" w:color="CCCCCC" w:sz="1"/>
              <w:bottom w:val="single" w:color="CCCCCC" w:sz="1"/>
              <w:right w:val="single" w:color="CCCCCC" w:sz="1"/>
            </w:tcBorders>
            <w:shd w:fill="1C3A6B" w:val="clear"/>
            <w:tcMar>
              <w:top w:type="dxa" w:w="80"/>
              <w:left w:type="dxa" w:w="120"/>
              <w:bottom w:type="dxa" w:w="80"/>
              <w:right w:type="dxa" w:w="120"/>
            </w:tcMar>
          </w:tcPr>
          <w:p>
            <w:r>
              <w:rPr>
                <w:rFonts w:ascii="Arial" w:cs="Arial" w:eastAsia="Arial" w:hAnsi="Arial"/>
                <w:b/>
                <w:bCs/>
                <w:color w:val="FFFFFF"/>
                <w:sz w:val="19"/>
                <w:szCs w:val="19"/>
              </w:rPr>
              <w:t xml:space="preserve">Value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0121A"/>
                <w:sz w:val="19"/>
                <w:szCs w:val="19"/>
              </w:rPr>
              <w:t xml:space="preserve">Production URL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https://engine-agent.vercel.app</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0121A"/>
                <w:sz w:val="19"/>
                <w:szCs w:val="19"/>
              </w:rPr>
              <w:t xml:space="preserve">Vercel Project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nextjs-boilerplate (darrencallaghan-designs-projects org)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0121A"/>
                <w:sz w:val="19"/>
                <w:szCs w:val="19"/>
              </w:rPr>
              <w:t xml:space="preserve">Vercel Plan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Hobby (should be upgraded to Pro for team use)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0121A"/>
                <w:sz w:val="19"/>
                <w:szCs w:val="19"/>
              </w:rPr>
              <w:t xml:space="preserve">Database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Supabase — ndyrlkunnmlgygvjcgvi.supabase.co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0121A"/>
                <w:sz w:val="19"/>
                <w:szCs w:val="19"/>
              </w:rPr>
              <w:t xml:space="preserve">Region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Washington D.C. (iad1) — Vercel default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0121A"/>
                <w:sz w:val="19"/>
                <w:szCs w:val="19"/>
              </w:rPr>
              <w:t xml:space="preserve">Branch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main (auto-deploys on push)</w:t>
            </w:r>
          </w:p>
        </w:tc>
      </w:tr>
    </w:tbl>
    <w:p>
      <w:pPr>
        <w:spacing w:after="240" w:before="0"/>
      </w:pPr>
    </w:p>
    <w:p>
      <w:r>
        <w:br w:type="page"/>
      </w:r>
    </w:p>
    <w:p>
      <w:pPr>
        <w:pStyle w:val="Heading1"/>
        <w:spacing w:after="160" w:before="360"/>
      </w:pPr>
      <w:r>
        <w:rPr>
          <w:rFonts w:ascii="Arial" w:cs="Arial" w:eastAsia="Arial" w:hAnsi="Arial"/>
          <w:b/>
          <w:bCs/>
          <w:color w:val="1C3A6B"/>
          <w:sz w:val="32"/>
          <w:szCs w:val="32"/>
        </w:rPr>
        <w:t xml:space="preserve">8. Security Considerations</w:t>
      </w:r>
    </w:p>
    <w:p>
      <w:pPr>
        <w:spacing w:after="120" w:before="0"/>
      </w:pPr>
    </w:p>
    <w:p>
      <w:pPr>
        <w:pStyle w:val="Heading2"/>
        <w:spacing w:after="120" w:before="280"/>
      </w:pPr>
      <w:r>
        <w:rPr>
          <w:rFonts w:ascii="Arial" w:cs="Arial" w:eastAsia="Arial" w:hAnsi="Arial"/>
          <w:b/>
          <w:bCs/>
          <w:color w:val="10121A"/>
          <w:sz w:val="26"/>
          <w:szCs w:val="26"/>
        </w:rPr>
        <w:t xml:space="preserve">Current State</w:t>
      </w:r>
    </w:p>
    <w:p>
      <w:pPr>
        <w:pStyle w:val="ListParagraph"/>
        <w:numPr>
          <w:ilvl w:val="0"/>
          <w:numId w:val="2"/>
        </w:numPr>
        <w:spacing w:after="40" w:before="40"/>
        <w:ind w:left="360" w:hanging="240"/>
      </w:pPr>
      <w:r>
        <w:rPr>
          <w:rFonts w:ascii="Arial" w:cs="Arial" w:eastAsia="Arial" w:hAnsi="Arial"/>
          <w:color w:val="10121A"/>
          <w:sz w:val="20"/>
          <w:szCs w:val="20"/>
        </w:rPr>
        <w:t xml:space="preserve">No authentication layer — the app is currently accessible to anyone with the URL</w:t>
      </w:r>
    </w:p>
    <w:p>
      <w:pPr>
        <w:pStyle w:val="ListParagraph"/>
        <w:numPr>
          <w:ilvl w:val="0"/>
          <w:numId w:val="2"/>
        </w:numPr>
        <w:spacing w:after="40" w:before="40"/>
        <w:ind w:left="360" w:hanging="240"/>
      </w:pPr>
      <w:r>
        <w:rPr>
          <w:rFonts w:ascii="Arial" w:cs="Arial" w:eastAsia="Arial" w:hAnsi="Arial"/>
          <w:color w:val="10121A"/>
          <w:sz w:val="20"/>
          <w:szCs w:val="20"/>
        </w:rPr>
        <w:t xml:space="preserve">Supabase anon key is exposed client-side (NEXT_PUBLIC prefix) — Row Level Security policies should be set on both tables</w:t>
      </w:r>
    </w:p>
    <w:p>
      <w:pPr>
        <w:pStyle w:val="ListParagraph"/>
        <w:numPr>
          <w:ilvl w:val="0"/>
          <w:numId w:val="2"/>
        </w:numPr>
        <w:spacing w:after="40" w:before="40"/>
        <w:ind w:left="360" w:hanging="240"/>
      </w:pPr>
      <w:r>
        <w:rPr>
          <w:rFonts w:ascii="Arial" w:cs="Arial" w:eastAsia="Arial" w:hAnsi="Arial"/>
          <w:color w:val="10121A"/>
          <w:sz w:val="20"/>
          <w:szCs w:val="20"/>
        </w:rPr>
        <w:t xml:space="preserve">No rate limiting on API routes — Anthropic and Crossbeam rate limits act as natural throttles</w:t>
      </w:r>
    </w:p>
    <w:p>
      <w:pPr>
        <w:pStyle w:val="ListParagraph"/>
        <w:numPr>
          <w:ilvl w:val="0"/>
          <w:numId w:val="2"/>
        </w:numPr>
        <w:spacing w:after="40" w:before="40"/>
        <w:ind w:left="360" w:hanging="240"/>
      </w:pPr>
      <w:r>
        <w:rPr>
          <w:rFonts w:ascii="Arial" w:cs="Arial" w:eastAsia="Arial" w:hAnsi="Arial"/>
          <w:color w:val="10121A"/>
          <w:sz w:val="20"/>
          <w:szCs w:val="20"/>
        </w:rPr>
        <w:t xml:space="preserve">All API keys are server-side only (no NEXT_PUBLIC prefix except Supabase)</w:t>
      </w:r>
    </w:p>
    <w:p>
      <w:pPr>
        <w:spacing w:after="240" w:before="0"/>
      </w:pPr>
    </w:p>
    <w:p>
      <w:pPr>
        <w:pStyle w:val="Heading2"/>
        <w:spacing w:after="120" w:before="280"/>
      </w:pPr>
      <w:r>
        <w:rPr>
          <w:rFonts w:ascii="Arial" w:cs="Arial" w:eastAsia="Arial" w:hAnsi="Arial"/>
          <w:b/>
          <w:bCs/>
          <w:color w:val="10121A"/>
          <w:sz w:val="26"/>
          <w:szCs w:val="26"/>
        </w:rPr>
        <w:t xml:space="preserve">Recommended Before Team Rollout</w:t>
      </w:r>
    </w:p>
    <w:p>
      <w:pPr>
        <w:pStyle w:val="ListParagraph"/>
        <w:numPr>
          <w:ilvl w:val="0"/>
          <w:numId w:val="2"/>
        </w:numPr>
        <w:spacing w:after="40" w:before="40"/>
        <w:ind w:left="360" w:hanging="240"/>
      </w:pPr>
      <w:r>
        <w:rPr>
          <w:rFonts w:ascii="Arial" w:cs="Arial" w:eastAsia="Arial" w:hAnsi="Arial"/>
          <w:color w:val="10121A"/>
          <w:sz w:val="20"/>
          <w:szCs w:val="20"/>
        </w:rPr>
        <w:t xml:space="preserve">Add authentication: Supabase Auth, Clerk, or NextAuth.js are all compatible. Simplest option is Supabase Auth with Engine SSO/Google login</w:t>
      </w:r>
    </w:p>
    <w:p>
      <w:pPr>
        <w:pStyle w:val="ListParagraph"/>
        <w:numPr>
          <w:ilvl w:val="0"/>
          <w:numId w:val="2"/>
        </w:numPr>
        <w:spacing w:after="40" w:before="40"/>
        <w:ind w:left="360" w:hanging="240"/>
      </w:pPr>
      <w:r>
        <w:rPr>
          <w:rFonts w:ascii="Arial" w:cs="Arial" w:eastAsia="Arial" w:hAnsi="Arial"/>
          <w:color w:val="10121A"/>
          <w:sz w:val="20"/>
          <w:szCs w:val="20"/>
        </w:rPr>
        <w:t xml:space="preserve">Enable Row Level Security on Supabase tables so reps can only read/write their own data (or configure team-level access)</w:t>
      </w:r>
    </w:p>
    <w:p>
      <w:pPr>
        <w:pStyle w:val="ListParagraph"/>
        <w:numPr>
          <w:ilvl w:val="0"/>
          <w:numId w:val="2"/>
        </w:numPr>
        <w:spacing w:after="40" w:before="40"/>
        <w:ind w:left="360" w:hanging="240"/>
      </w:pPr>
      <w:r>
        <w:rPr>
          <w:rFonts w:ascii="Arial" w:cs="Arial" w:eastAsia="Arial" w:hAnsi="Arial"/>
          <w:color w:val="10121A"/>
          <w:sz w:val="20"/>
          <w:szCs w:val="20"/>
        </w:rPr>
        <w:t xml:space="preserve">Move to an Engine-owned Vercel team or internal hosting (see Section 7)</w:t>
      </w:r>
    </w:p>
    <w:p>
      <w:pPr>
        <w:pStyle w:val="ListParagraph"/>
        <w:numPr>
          <w:ilvl w:val="0"/>
          <w:numId w:val="2"/>
        </w:numPr>
        <w:spacing w:after="40" w:before="40"/>
        <w:ind w:left="360" w:hanging="240"/>
      </w:pPr>
      <w:r>
        <w:rPr>
          <w:rFonts w:ascii="Arial" w:cs="Arial" w:eastAsia="Arial" w:hAnsi="Arial"/>
          <w:color w:val="10121A"/>
          <w:sz w:val="20"/>
          <w:szCs w:val="20"/>
        </w:rPr>
        <w:t xml:space="preserve">Add CROSSBEAM_API_KEY once the GTM Systems team has confirmed the key scope is read-only</w:t>
      </w:r>
    </w:p>
    <w:p>
      <w:pPr>
        <w:pStyle w:val="ListParagraph"/>
        <w:numPr>
          <w:ilvl w:val="0"/>
          <w:numId w:val="2"/>
        </w:numPr>
        <w:spacing w:after="40" w:before="40"/>
        <w:ind w:left="360" w:hanging="240"/>
      </w:pPr>
      <w:r>
        <w:rPr>
          <w:rFonts w:ascii="Arial" w:cs="Arial" w:eastAsia="Arial" w:hAnsi="Arial"/>
          <w:color w:val="10121A"/>
          <w:sz w:val="20"/>
          <w:szCs w:val="20"/>
        </w:rPr>
        <w:t xml:space="preserve">Set up Vercel’s environment variable encryption (already on by default for Pro plans)</w:t>
      </w:r>
    </w:p>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B" w:val="clear"/>
            <w:tcMar>
              <w:top w:type="dxa" w:w="120"/>
              <w:left w:type="dxa" w:w="200"/>
              <w:bottom w:type="dxa" w:w="120"/>
              <w:right w:type="dxa" w:w="200"/>
            </w:tcMar>
          </w:tcPr>
          <w:p>
            <w:pPr>
              <w:spacing w:after="0" w:before="0"/>
            </w:pPr>
            <w:r>
              <w:rPr>
                <w:rFonts w:ascii="Arial" w:cs="Arial" w:eastAsia="Arial" w:hAnsi="Arial"/>
                <w:b/>
                <w:bCs/>
                <w:color w:val="1C3A6B"/>
                <w:sz w:val="20"/>
                <w:szCs w:val="20"/>
              </w:rPr>
              <w:t xml:space="preserve">Data Classification: </w:t>
            </w:r>
            <w:r>
              <w:rPr>
                <w:rFonts w:ascii="Arial" w:cs="Arial" w:eastAsia="Arial" w:hAnsi="Arial"/>
                <w:color w:val="10121A"/>
                <w:sz w:val="20"/>
                <w:szCs w:val="20"/>
              </w:rPr>
              <w:t xml:space="preserve">No financial data, no internal Engine CRM data, no customer PII beyond what the rep manually enters. The most sensitive data stored is: rep writing samples, contact email addresses sourced from ZoomInfo/web, and outreach email text. This is equivalent to what currently lives in a rep’s personal Gmail drafts and spreadsheets.</w:t>
            </w:r>
          </w:p>
        </w:tc>
      </w:tr>
    </w:tbl>
    <w:p>
      <w:pPr>
        <w:spacing w:after="240" w:before="0"/>
      </w:pPr>
    </w:p>
    <w:p>
      <w:r>
        <w:br w:type="page"/>
      </w:r>
    </w:p>
    <w:p>
      <w:pPr>
        <w:pStyle w:val="Heading1"/>
        <w:spacing w:after="160" w:before="360"/>
      </w:pPr>
      <w:r>
        <w:rPr>
          <w:rFonts w:ascii="Arial" w:cs="Arial" w:eastAsia="Arial" w:hAnsi="Arial"/>
          <w:b/>
          <w:bCs/>
          <w:color w:val="1C3A6B"/>
          <w:sz w:val="32"/>
          <w:szCs w:val="32"/>
        </w:rPr>
        <w:t xml:space="preserve">9. Quick Setup Checklist</w:t>
      </w:r>
    </w:p>
    <w:p>
      <w:pPr>
        <w:spacing w:after="100" w:before="60"/>
      </w:pPr>
      <w:r>
        <w:rPr>
          <w:rFonts w:ascii="Arial" w:cs="Arial" w:eastAsia="Arial" w:hAnsi="Arial"/>
          <w:color w:val="10121A"/>
          <w:sz w:val="20"/>
          <w:szCs w:val="20"/>
        </w:rPr>
        <w:t xml:space="preserve">For the GTM Systems team to take ownership and redeploy:</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3000"/>
      </w:tblGrid>
      <w:tr>
        <w:tc>
          <w:tcPr>
            <w:tcW w:type="dxa" w:w="600"/>
            <w:tcBorders>
              <w:top w:val="single" w:color="CCCCCC" w:sz="1"/>
              <w:left w:val="single" w:color="CCCCCC" w:sz="1"/>
              <w:bottom w:val="single" w:color="CCCCCC" w:sz="1"/>
              <w:right w:val="single" w:color="CCCCCC" w:sz="1"/>
            </w:tcBorders>
            <w:shd w:fill="1C3A6B"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5760"/>
            <w:tcBorders>
              <w:top w:val="single" w:color="CCCCCC" w:sz="1"/>
              <w:left w:val="single" w:color="CCCCCC" w:sz="1"/>
              <w:bottom w:val="single" w:color="CCCCCC" w:sz="1"/>
              <w:right w:val="single" w:color="CCCCCC" w:sz="1"/>
            </w:tcBorders>
            <w:shd w:fill="1C3A6B"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3000"/>
            <w:tcBorders>
              <w:top w:val="single" w:color="CCCCCC" w:sz="1"/>
              <w:left w:val="single" w:color="CCCCCC" w:sz="1"/>
              <w:bottom w:val="single" w:color="CCCCCC" w:sz="1"/>
              <w:right w:val="single" w:color="CCCCCC" w:sz="1"/>
            </w:tcBorders>
            <w:shd w:fill="1C3A6B" w:val="clear"/>
            <w:tcMar>
              <w:top w:type="dxa" w:w="80"/>
              <w:left w:type="dxa" w:w="120"/>
              <w:bottom w:type="dxa" w:w="80"/>
              <w:right w:type="dxa" w:w="120"/>
            </w:tcMar>
          </w:tcPr>
          <w:p>
            <w:r>
              <w:rPr>
                <w:rFonts w:ascii="Arial" w:cs="Arial" w:eastAsia="Arial" w:hAnsi="Arial"/>
                <w:b/>
                <w:bCs/>
                <w:color w:val="FFFFFF"/>
                <w:sz w:val="18"/>
                <w:szCs w:val="18"/>
              </w:rPr>
              <w:t xml:space="preserve">Owner</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Clone or transfer the nextjs-boilerplate repository to Engine’s GitHub org</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GTM Systems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Create a new Supabase project under Engine’s Supabase org (or use existing)</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GTM Systems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3</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Run the two CREATE TABLE SQL statements from Section 4 in Supabase SQL editor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GTM Systems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4</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Create a new Vercel project under Engine’s Vercel team linked to the repo</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GTM Systems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5</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Set all 4 required environment variables in Vercel project settings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GTM Systems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6</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Trigger a deploy and verify the app loads at the new URL</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GTM Systems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7</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Add authentication layer (Supabase Auth recommended)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GTM Systems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8</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Enable Row Level Security on Supabase tables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GTM Systems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9</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Obtain Crossbeam API key and add as CROSSBEAM_API_KEY env var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Darren / Partnerships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10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Share the new URL with the partnerships BD team</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Darren</w:t>
            </w:r>
          </w:p>
        </w:tc>
      </w:tr>
    </w:tbl>
    <w:p>
      <w:pPr>
        <w:spacing w:after="360" w:before="0"/>
      </w:pPr>
    </w:p>
    <w:p>
      <w:pPr>
        <w:pBdr>
          <w:bottom w:val="single" w:color="E0E0E0" w:sz="4" w:space="1"/>
        </w:pBdr>
        <w:spacing w:after="160" w:before="160"/>
      </w:pPr>
    </w:p>
    <w:p>
      <w:pPr>
        <w:spacing w:after="80" w:before="160"/>
        <w:jc w:val="center"/>
      </w:pPr>
      <w:r>
        <w:rPr>
          <w:rFonts w:ascii="Arial" w:cs="Arial" w:eastAsia="Arial" w:hAnsi="Arial"/>
          <w:i/>
          <w:iCs/>
          <w:color w:val="888888"/>
          <w:sz w:val="18"/>
          <w:szCs w:val="18"/>
        </w:rPr>
        <w:t xml:space="preserve">Questions? Contact Darren Callaghan — darren.callaghan@engine.com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4"/>
      </w:pBdr>
      <w:jc w:val="center"/>
    </w:pPr>
    <w:r>
      <w:rPr>
        <w:rFonts w:ascii="Arial" w:cs="Arial" w:eastAsia="Arial" w:hAnsi="Arial"/>
        <w:color w:val="888888"/>
        <w:sz w:val="17"/>
        <w:szCs w:val="17"/>
      </w:rPr>
      <w:t xml:space="preserve">Confidential — Engine Internal  |  Page </w:t>
    </w:r>
    <w:r>
      <w:rPr>
        <w:rFonts w:ascii="Arial" w:cs="Arial" w:eastAsia="Arial" w:hAnsi="Arial"/>
        <w:color w:val="88888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0" w:sz="4" w:space="4"/>
      </w:pBdr>
    </w:pPr>
    <w:r>
      <w:rPr>
        <w:rFonts w:ascii="Arial" w:cs="Arial" w:eastAsia="Arial" w:hAnsi="Arial"/>
        <w:b/>
        <w:bCs/>
        <w:color w:val="1C3A6B"/>
        <w:sz w:val="18"/>
        <w:szCs w:val="18"/>
      </w:rPr>
      <w:t xml:space="preserve">Engine Partnerships BD Agent</w:t>
    </w:r>
    <w:r>
      <w:rPr>
        <w:rFonts w:ascii="Arial" w:cs="Arial" w:eastAsia="Arial" w:hAnsi="Arial"/>
        <w:color w:val="888888"/>
        <w:sz w:val="18"/>
        <w:szCs w:val="18"/>
      </w:rPr>
      <w:t xml:space="preserve">  |  Technical Handoff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C3A6B"/>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012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2026-04-23T03:01:45.284Z</dcterms:created>
  <dcterms:modified xsi:type="dcterms:W3CDTF">2026-04-23T03:01:45.284Z</dcterms:modified>
</cp:coreProperties>
</file>

<file path=docProps/custom.xml><?xml version="1.0" encoding="utf-8"?>
<Properties xmlns="http://schemas.openxmlformats.org/officeDocument/2006/custom-properties" xmlns:vt="http://schemas.openxmlformats.org/officeDocument/2006/docPropsVTypes"/>
</file>