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80" w:before="0"/>
      </w:pPr>
      <w:r>
        <w:rPr>
          <w:rFonts w:ascii="Arial" w:cs="Arial" w:eastAsia="Arial" w:hAnsi="Arial"/>
          <w:b/>
          <w:bCs/>
          <w:color w:val="1C3A6B"/>
          <w:sz w:val="64"/>
          <w:szCs w:val="64"/>
        </w:rPr>
        <w:t xml:space="preserve">Engine</w:t>
      </w:r>
    </w:p>
    <w:p>
      <w:pPr>
        <w:spacing w:after="40" w:before="0"/>
      </w:pPr>
      <w:r>
        <w:rPr>
          <w:rFonts w:ascii="Arial" w:cs="Arial" w:eastAsia="Arial" w:hAnsi="Arial"/>
          <w:b/>
          <w:bCs/>
          <w:color w:val="10121A"/>
          <w:sz w:val="44"/>
          <w:szCs w:val="44"/>
        </w:rPr>
        <w:t xml:space="preserve">Partnership Intelligence System</w:t>
      </w:r>
    </w:p>
    <w:p>
      <w:pPr>
        <w:pBdr>
          <w:bottom w:val="single" w:color="FD4B23" w:sz="12" w:space="1"/>
        </w:pBdr>
        <w:spacing w:after="240" w:before="0"/>
      </w:pPr>
      <w:r>
        <w:rPr>
          <w:rFonts w:ascii="Arial" w:cs="Arial" w:eastAsia="Arial" w:hAnsi="Arial"/>
          <w:color w:val="888888"/>
          <w:sz w:val="26"/>
          <w:szCs w:val="26"/>
        </w:rPr>
        <w:t xml:space="preserve">Strategy Framework &amp; Salesforce Deployment Spec</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Document Info</w:t>
            </w:r>
          </w:p>
        </w:tc>
        <w:tc>
          <w:tcPr>
            <w:tcW w:type="dxa" w:w="69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Darren Callaghan, Partnerships BD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April 22,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Draft — Ready for Team 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Strategy framework + technical spec for team presentation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pPr>
              <w:spacing w:after="0" w:before="0"/>
            </w:pPr>
            <w:r>
              <w:rPr>
                <w:rFonts w:ascii="Arial" w:cs="Arial" w:eastAsia="Arial" w:hAnsi="Arial"/>
                <w:b/>
                <w:bCs/>
                <w:color w:val="1C3A6B"/>
                <w:sz w:val="20"/>
                <w:szCs w:val="20"/>
              </w:rPr>
              <w:t xml:space="preserve">The Opportunity: </w:t>
            </w:r>
            <w:r>
              <w:rPr>
                <w:rFonts w:ascii="Arial" w:cs="Arial" w:eastAsia="Arial" w:hAnsi="Arial"/>
                <w:color w:val="10121A"/>
                <w:sz w:val="20"/>
                <w:szCs w:val="20"/>
              </w:rPr>
              <w:t xml:space="preserve">Engine has thousands of existing accounts already spending on the platform. Many of these accounts have member bases, networks, franchise systems, or industry audiences that represent untapped partnership potential. These accounts are the warmest possible partnership leads — they already trust Engine, they already see the value, and a partnership conversation starts from a completely different place than cold outreach.</w:t>
            </w:r>
          </w:p>
        </w:tc>
      </w:tr>
    </w:tbl>
    <w:p>
      <w:r>
        <w:br w:type="page"/>
      </w:r>
    </w:p>
    <w:p>
      <w:pPr>
        <w:pStyle w:val="Heading1"/>
        <w:spacing w:after="160" w:before="360"/>
      </w:pPr>
      <w:r>
        <w:rPr>
          <w:rFonts w:ascii="Arial" w:cs="Arial" w:eastAsia="Arial" w:hAnsi="Arial"/>
          <w:b/>
          <w:bCs/>
          <w:color w:val="1C3A6B"/>
          <w:sz w:val="32"/>
          <w:szCs w:val="32"/>
        </w:rPr>
        <w:t xml:space="preserve">1. The Problem We’re Solving</w:t>
      </w:r>
    </w:p>
    <w:p>
      <w:pPr>
        <w:spacing w:after="100" w:before="60"/>
      </w:pPr>
      <w:r>
        <w:rPr>
          <w:rFonts w:ascii="Arial" w:cs="Arial" w:eastAsia="Arial" w:hAnsi="Arial"/>
          <w:color w:val="10121A"/>
          <w:sz w:val="20"/>
          <w:szCs w:val="20"/>
        </w:rPr>
        <w:t xml:space="preserve">Today the partnerships BD team focuses almost entirely on outbound cold outreach to find new partners. But there are two large pools of warm opportunity that go largely untouched:</w:t>
      </w:r>
    </w:p>
    <w:p>
      <w:pPr>
        <w:spacing w:after="120" w:before="0"/>
      </w:pPr>
    </w:p>
    <w:p>
      <w:pPr>
        <w:spacing w:after="80" w:before="200"/>
      </w:pPr>
      <w:r>
        <w:rPr>
          <w:rFonts w:ascii="Arial" w:cs="Arial" w:eastAsia="Arial" w:hAnsi="Arial"/>
          <w:b/>
          <w:bCs/>
          <w:color w:val="1C3A6B"/>
          <w:sz w:val="22"/>
          <w:szCs w:val="22"/>
        </w:rPr>
        <w:t xml:space="preserve">Pool 1: Existing Engine Customers with Networks</w:t>
      </w:r>
    </w:p>
    <w:p>
      <w:pPr>
        <w:spacing w:after="100" w:before="60"/>
      </w:pPr>
      <w:r>
        <w:rPr>
          <w:rFonts w:ascii="Arial" w:cs="Arial" w:eastAsia="Arial" w:hAnsi="Arial"/>
          <w:color w:val="10121A"/>
          <w:sz w:val="20"/>
          <w:szCs w:val="20"/>
        </w:rPr>
        <w:t xml:space="preserve">Engine has accounts already booking through the platform. A meaningful subset of these accounts are associations, trade organizations, staffing agencies, franchise systems, buying groups, or industry platforms — companies whose primary value is in their network. They book hotels for their own team, but their member base, franchisees, or clients could be an even larger revenue stream if Engine became part of their offering.</w:t>
      </w:r>
    </w:p>
    <w:p>
      <w:pPr>
        <w:spacing w:after="100" w:before="60"/>
      </w:pPr>
      <w:r>
        <w:rPr>
          <w:rFonts w:ascii="Arial" w:cs="Arial" w:eastAsia="Arial" w:hAnsi="Arial"/>
          <w:color w:val="10121A"/>
          <w:sz w:val="20"/>
          <w:szCs w:val="20"/>
        </w:rPr>
        <w:t xml:space="preserve">These accounts have never been approached about a partnership. The conversation starts with: “You’re already using Engine — have you considered making it a benefit for your members?” That is a fundamentally easier conversation than cold outreach.</w:t>
      </w:r>
    </w:p>
    <w:p>
      <w:pPr>
        <w:spacing w:after="120" w:before="0"/>
      </w:pPr>
    </w:p>
    <w:p>
      <w:pPr>
        <w:spacing w:after="80" w:before="200"/>
      </w:pPr>
      <w:r>
        <w:rPr>
          <w:rFonts w:ascii="Arial" w:cs="Arial" w:eastAsia="Arial" w:hAnsi="Arial"/>
          <w:b/>
          <w:bCs/>
          <w:color w:val="1C3A6B"/>
          <w:sz w:val="22"/>
          <w:szCs w:val="22"/>
        </w:rPr>
        <w:t xml:space="preserve">Pool 2: Accounts in the Salesforce Pipeline Never Touched by Partnerships</w:t>
      </w:r>
    </w:p>
    <w:p>
      <w:pPr>
        <w:spacing w:after="100" w:before="60"/>
      </w:pPr>
      <w:r>
        <w:rPr>
          <w:rFonts w:ascii="Arial" w:cs="Arial" w:eastAsia="Arial" w:hAnsi="Arial"/>
          <w:color w:val="10121A"/>
          <w:sz w:val="20"/>
          <w:szCs w:val="20"/>
        </w:rPr>
        <w:t xml:space="preserve">Engine’s sales team works thousands of accounts. Many of these accounts — especially in construction, logistics, manufacturing, and energy — are themselves organizations with networks, industry associations, or trade relationships. The partnerships team has no visibility into this pool and no systematic way to identify which accounts might be partnership candidates rather than (or in addition to) direct sales accounts.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pPr>
              <w:spacing w:after="0" w:before="0"/>
            </w:pPr>
            <w:r>
              <w:rPr>
                <w:rFonts w:ascii="Arial" w:cs="Arial" w:eastAsia="Arial" w:hAnsi="Arial"/>
                <w:b/>
                <w:bCs/>
                <w:color w:val="1C3A6B"/>
                <w:sz w:val="20"/>
                <w:szCs w:val="20"/>
              </w:rPr>
              <w:t xml:space="preserve">The Gap: </w:t>
            </w:r>
            <w:r>
              <w:rPr>
                <w:rFonts w:ascii="Arial" w:cs="Arial" w:eastAsia="Arial" w:hAnsi="Arial"/>
                <w:color w:val="10121A"/>
                <w:sz w:val="20"/>
                <w:szCs w:val="20"/>
              </w:rPr>
              <w:t xml:space="preserve">There is no mechanism today to look at Salesforce accounts and ask: ‘which of these is a partnership fit rather than just a direct customer?’ That analysis happens manually, ad hoc, if at all. The Partnership Intelligence System closes that gap.</w:t>
            </w:r>
          </w:p>
        </w:tc>
      </w:tr>
    </w:tbl>
    <w:p>
      <w:pPr>
        <w:spacing w:after="240" w:before="0"/>
      </w:pPr>
    </w:p>
    <w:p>
      <w:pPr>
        <w:pStyle w:val="Heading1"/>
        <w:spacing w:after="160" w:before="360"/>
      </w:pPr>
      <w:r>
        <w:rPr>
          <w:rFonts w:ascii="Arial" w:cs="Arial" w:eastAsia="Arial" w:hAnsi="Arial"/>
          <w:b/>
          <w:bCs/>
          <w:color w:val="1C3A6B"/>
          <w:sz w:val="32"/>
          <w:szCs w:val="32"/>
        </w:rPr>
        <w:t xml:space="preserve">2. Why This Is Different from the Sales Triage Tool</w:t>
      </w:r>
    </w:p>
    <w:p>
      <w:pPr>
        <w:spacing w:after="100" w:before="60"/>
      </w:pPr>
      <w:r>
        <w:rPr>
          <w:rFonts w:ascii="Arial" w:cs="Arial" w:eastAsia="Arial" w:hAnsi="Arial"/>
          <w:color w:val="10121A"/>
          <w:sz w:val="20"/>
          <w:szCs w:val="20"/>
        </w:rPr>
        <w:t xml:space="preserve">The existing Account Triage Tool scores accounts on one question: does this company have people who travel for work? The Partnership Intelligence System scores accounts on a completely different question: does this company have distribution power that could bring Engine to a new audience?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6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Customer Triage vs. Partnership Triage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Core Question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Do they travel? vs. Do they have a network?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Target Outcome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Direct booking relationship vs. Referral, white-label, or member benefit program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Ideal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Construction crew, trucking company, field service team vs. Association, GPO, franchise system, trade org, platform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Revenue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Direct hotel bookings vs. Partner-sourced bookings from member base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Signal Examples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Multiple job sites, field technicians, per diem vs. Annual conference, member directory, chapter structure, buying group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Value Prop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Operational efficiency, cost savings vs. Member benefit, referral revenue, differentiation from other associations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Conversation Starter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Cold or warm outreach: “Engine saves your team time and money” vs. Warm existing-customer: “Your members could benefit from what you’re already using”</w:t>
            </w:r>
          </w:p>
        </w:tc>
      </w:tr>
    </w:tbl>
    <w:p>
      <w:r>
        <w:br w:type="page"/>
      </w:r>
    </w:p>
    <w:p>
      <w:pPr>
        <w:pStyle w:val="Heading1"/>
        <w:spacing w:after="160" w:before="360"/>
      </w:pPr>
      <w:r>
        <w:rPr>
          <w:rFonts w:ascii="Arial" w:cs="Arial" w:eastAsia="Arial" w:hAnsi="Arial"/>
          <w:b/>
          <w:bCs/>
          <w:color w:val="1C3A6B"/>
          <w:sz w:val="32"/>
          <w:szCs w:val="32"/>
        </w:rPr>
        <w:t xml:space="preserve">3. Partnership Fit Scoring Framework</w:t>
      </w:r>
    </w:p>
    <w:p>
      <w:pPr>
        <w:spacing w:after="100" w:before="60"/>
      </w:pPr>
      <w:r>
        <w:rPr>
          <w:rFonts w:ascii="Arial" w:cs="Arial" w:eastAsia="Arial" w:hAnsi="Arial"/>
          <w:color w:val="10121A"/>
          <w:sz w:val="20"/>
          <w:szCs w:val="20"/>
        </w:rPr>
        <w:t xml:space="preserve">The framework scores every account across five dimensions. Each dimension has weighted signals that add or subtract from the total partnership fit score.</w:t>
      </w:r>
    </w:p>
    <w:p>
      <w:pPr>
        <w:spacing w:after="120" w:before="0"/>
      </w:pPr>
    </w:p>
    <w:p>
      <w:pPr>
        <w:pStyle w:val="Heading2"/>
        <w:spacing w:after="120" w:before="280"/>
      </w:pPr>
      <w:r>
        <w:rPr>
          <w:rFonts w:ascii="Arial" w:cs="Arial" w:eastAsia="Arial" w:hAnsi="Arial"/>
          <w:b/>
          <w:bCs/>
          <w:color w:val="10121A"/>
          <w:sz w:val="26"/>
          <w:szCs w:val="26"/>
        </w:rPr>
        <w:t xml:space="preserve">Dimension 1: Distribution Power (40 points max)</w:t>
      </w:r>
    </w:p>
    <w:p>
      <w:pPr>
        <w:spacing w:after="100" w:before="60"/>
      </w:pPr>
      <w:r>
        <w:rPr>
          <w:rFonts w:ascii="Arial" w:cs="Arial" w:eastAsia="Arial" w:hAnsi="Arial"/>
          <w:color w:val="10121A"/>
          <w:sz w:val="20"/>
          <w:szCs w:val="20"/>
        </w:rPr>
        <w:t xml:space="preserve">The most important signal. Does this account have an audience beyond their own employees?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Points</w:t>
            </w:r>
          </w:p>
        </w:tc>
        <w:tc>
          <w:tcPr>
            <w:tcW w:type="dxa" w:w="4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color w:val="FFFFFF"/>
                <w:sz w:val="19"/>
                <w:szCs w:val="19"/>
              </w:rPr>
              <w:t xml:space="preserve">Detection Method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Member-based organization (association, trade org, union)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ZoomInfo description + web research keywords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Franchise system or dealer network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18</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Web research: franchise, franchisee, dealer, authorized reseller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GPO or buying group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Keywords: group purchasing, buying cooperative, collective buying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Platform/software serving businesses that travel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Keywords: TMS, fleet management, dispatch platform, HR platform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Industry event organizer (runs annual conference)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Web research: annual conference, trade show, summit, chapter meetings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Newsletter, community, or media property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Website: newsletter, subscriber, community, members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Staffing or workforce management company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Keywords: staffing, temp agency, workforce, placement, recruiter</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No distribution signal found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Default</w:t>
            </w:r>
          </w:p>
        </w:tc>
      </w:tr>
    </w:tbl>
    <w:p>
      <w:pPr>
        <w:spacing w:after="240" w:before="0"/>
      </w:pPr>
    </w:p>
    <w:p>
      <w:pPr>
        <w:pStyle w:val="Heading2"/>
        <w:spacing w:after="120" w:before="280"/>
      </w:pPr>
      <w:r>
        <w:rPr>
          <w:rFonts w:ascii="Arial" w:cs="Arial" w:eastAsia="Arial" w:hAnsi="Arial"/>
          <w:b/>
          <w:bCs/>
          <w:color w:val="10121A"/>
          <w:sz w:val="26"/>
          <w:szCs w:val="26"/>
        </w:rPr>
        <w:t xml:space="preserve">Dimension 2: Network Scale (25 points max)</w:t>
      </w:r>
    </w:p>
    <w:p>
      <w:pPr>
        <w:spacing w:after="100" w:before="60"/>
      </w:pPr>
      <w:r>
        <w:rPr>
          <w:rFonts w:ascii="Arial" w:cs="Arial" w:eastAsia="Arial" w:hAnsi="Arial"/>
          <w:color w:val="10121A"/>
          <w:sz w:val="20"/>
          <w:szCs w:val="20"/>
        </w:rPr>
        <w:t xml:space="preserve">How large is the potential audience they could bring to Engine?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Points</w:t>
            </w:r>
          </w:p>
        </w:tc>
        <w:tc>
          <w:tcPr>
            <w:tcW w:type="dxa" w:w="4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color w:val="FFFFFF"/>
                <w:sz w:val="19"/>
                <w:szCs w:val="19"/>
              </w:rPr>
              <w:t xml:space="preserve">Detection Method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500+ member companies or franchisees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ZoomInfo employee count + web research: ‘X member companies’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100–499 members/franchisees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18</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Same as above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50–99 members/franchisees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Same as above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Under 50 members or network size unclear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Default for orgs with any network signal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No network found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Default</w:t>
            </w:r>
          </w:p>
        </w:tc>
      </w:tr>
    </w:tbl>
    <w:p>
      <w:pPr>
        <w:spacing w:after="240" w:before="0"/>
      </w:pPr>
    </w:p>
    <w:p>
      <w:pPr>
        <w:pStyle w:val="Heading2"/>
        <w:spacing w:after="120" w:before="280"/>
      </w:pPr>
      <w:r>
        <w:rPr>
          <w:rFonts w:ascii="Arial" w:cs="Arial" w:eastAsia="Arial" w:hAnsi="Arial"/>
          <w:b/>
          <w:bCs/>
          <w:color w:val="10121A"/>
          <w:sz w:val="26"/>
          <w:szCs w:val="26"/>
        </w:rPr>
        <w:t xml:space="preserve">Dimension 3: Travel Volume in Their Ecosystem (20 points max)</w:t>
      </w:r>
    </w:p>
    <w:p>
      <w:pPr>
        <w:spacing w:after="100" w:before="60"/>
      </w:pPr>
      <w:r>
        <w:rPr>
          <w:rFonts w:ascii="Arial" w:cs="Arial" w:eastAsia="Arial" w:hAnsi="Arial"/>
          <w:color w:val="10121A"/>
          <w:sz w:val="20"/>
          <w:szCs w:val="20"/>
        </w:rPr>
        <w:t xml:space="preserve">Does the account’s network/members actually travel? A non-traveling member base doesn’t generate hotel bookings.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Points</w:t>
            </w:r>
          </w:p>
        </w:tc>
        <w:tc>
          <w:tcPr>
            <w:tcW w:type="dxa" w:w="4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color w:val="FFFFFF"/>
                <w:sz w:val="19"/>
                <w:szCs w:val="19"/>
              </w:rPr>
              <w:t xml:space="preserve">Detection Method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Members are in a high-travel ICP (construction, logistics, energy, telecom)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ICP keyword matching on account industry</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Members attend events or conferences requiring lodging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Web research: conference, summit, chapter meeting hotel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Account runs events with known hotel blocks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Booking history signal from Engine data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Members are professionals who travel for work (consultants, field service)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Web research: client site travel, field deployment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Members are consumers or local businesses (low travel)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0 (penalty -10)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Keywords: residential, retail, local, consumer</w:t>
            </w:r>
          </w:p>
        </w:tc>
      </w:tr>
    </w:tbl>
    <w:p>
      <w:pPr>
        <w:spacing w:after="240" w:before="0"/>
      </w:pPr>
    </w:p>
    <w:p>
      <w:pPr>
        <w:pStyle w:val="Heading2"/>
        <w:spacing w:after="120" w:before="280"/>
      </w:pPr>
      <w:r>
        <w:rPr>
          <w:rFonts w:ascii="Arial" w:cs="Arial" w:eastAsia="Arial" w:hAnsi="Arial"/>
          <w:b/>
          <w:bCs/>
          <w:color w:val="10121A"/>
          <w:sz w:val="26"/>
          <w:szCs w:val="26"/>
        </w:rPr>
        <w:t xml:space="preserve">Dimension 4: Engine Alignment &amp; Warm Path (20 points max)</w:t>
      </w:r>
    </w:p>
    <w:p>
      <w:pPr>
        <w:spacing w:after="100" w:before="60"/>
      </w:pPr>
      <w:r>
        <w:rPr>
          <w:rFonts w:ascii="Arial" w:cs="Arial" w:eastAsia="Arial" w:hAnsi="Arial"/>
          <w:color w:val="10121A"/>
          <w:sz w:val="20"/>
          <w:szCs w:val="20"/>
        </w:rPr>
        <w:t xml:space="preserve">Is there already a warm relationship with Engine that makes the partnership conversation easier?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Points</w:t>
            </w:r>
          </w:p>
        </w:tc>
        <w:tc>
          <w:tcPr>
            <w:tcW w:type="dxa" w:w="4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color w:val="FFFFFF"/>
                <w:sz w:val="19"/>
                <w:szCs w:val="19"/>
              </w:rPr>
              <w:t xml:space="preserve">Detection Method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Already an active Engine customer (any spend in last 12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20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Salesforce / Engine booking data</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Previous Engine customer (churned)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Salesforce historical data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Appears in Crossbeam overlap with a current Engine partner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Crossbeam API: get_account_overlap_info</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In Salesforce pipeline but no current deal (cold)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Salesforce stage data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No Engine relationship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Default</w:t>
            </w:r>
          </w:p>
        </w:tc>
      </w:tr>
    </w:tbl>
    <w:p>
      <w:pPr>
        <w:spacing w:after="240" w:before="0"/>
      </w:pPr>
    </w:p>
    <w:p>
      <w:pPr>
        <w:pStyle w:val="Heading2"/>
        <w:spacing w:after="120" w:before="280"/>
      </w:pPr>
      <w:r>
        <w:rPr>
          <w:rFonts w:ascii="Arial" w:cs="Arial" w:eastAsia="Arial" w:hAnsi="Arial"/>
          <w:b/>
          <w:bCs/>
          <w:color w:val="10121A"/>
          <w:sz w:val="26"/>
          <w:szCs w:val="26"/>
        </w:rPr>
        <w:t xml:space="preserve">Dimension 5: Partnership Program Readiness (15 points max)</w:t>
      </w:r>
    </w:p>
    <w:p>
      <w:pPr>
        <w:spacing w:after="100" w:before="60"/>
      </w:pPr>
      <w:r>
        <w:rPr>
          <w:rFonts w:ascii="Arial" w:cs="Arial" w:eastAsia="Arial" w:hAnsi="Arial"/>
          <w:color w:val="10121A"/>
          <w:sz w:val="20"/>
          <w:szCs w:val="20"/>
        </w:rPr>
        <w:t xml:space="preserve">Does this organization have the infrastructure to actually run a partnership? Some orgs want to partner but have no mechanism to promote to their members.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Points</w:t>
            </w:r>
          </w:p>
        </w:tc>
        <w:tc>
          <w:tcPr>
            <w:tcW w:type="dxa" w:w="4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color w:val="FFFFFF"/>
                <w:sz w:val="19"/>
                <w:szCs w:val="19"/>
              </w:rPr>
              <w:t xml:space="preserve">Detection Method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Active vendor or sponsor program (sells sponsorships, has preferred vendors)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Web research: sponsor, preferred vendor, partner program</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Member benefits page or perks program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Website: member benefits, member perks, exclusive rates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Annual awards, certification, or accreditation program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Web research signals of ongoing member engagement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Regular email or digital communication to members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8</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0121A"/>
                <w:sz w:val="19"/>
                <w:szCs w:val="19"/>
              </w:rPr>
              <w:t xml:space="preserve">Web research: newsletter, member communications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No existing partner/vendor infrastructure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C3A6B"/>
                <w:sz w:val="19"/>
                <w:szCs w:val="19"/>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0121A"/>
                <w:sz w:val="19"/>
                <w:szCs w:val="19"/>
              </w:rPr>
              <w:t xml:space="preserve">Default</w:t>
            </w:r>
          </w:p>
        </w:tc>
      </w:tr>
    </w:tbl>
    <w:p>
      <w:r>
        <w:br w:type="page"/>
      </w:r>
    </w:p>
    <w:p>
      <w:pPr>
        <w:pStyle w:val="Heading1"/>
        <w:spacing w:after="160" w:before="360"/>
      </w:pPr>
      <w:r>
        <w:rPr>
          <w:rFonts w:ascii="Arial" w:cs="Arial" w:eastAsia="Arial" w:hAnsi="Arial"/>
          <w:b/>
          <w:bCs/>
          <w:color w:val="1C3A6B"/>
          <w:sz w:val="32"/>
          <w:szCs w:val="32"/>
        </w:rPr>
        <w:t xml:space="preserve">4. Partnership Tier System</w:t>
      </w:r>
    </w:p>
    <w:p>
      <w:pPr>
        <w:spacing w:after="100" w:before="60"/>
      </w:pPr>
      <w:r>
        <w:rPr>
          <w:rFonts w:ascii="Arial" w:cs="Arial" w:eastAsia="Arial" w:hAnsi="Arial"/>
          <w:color w:val="10121A"/>
          <w:sz w:val="20"/>
          <w:szCs w:val="20"/>
        </w:rPr>
        <w:t xml:space="preserve">Based on the total score across all five dimensions (100 points max):</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5F46" w:val="clear"/>
            <w:tcMar>
              <w:top w:type="dxa" w:w="120"/>
              <w:left w:type="dxa" w:w="180"/>
              <w:bottom w:type="dxa" w:w="80"/>
              <w:right w:type="dxa" w:w="180"/>
            </w:tcMar>
          </w:tcPr>
          <w:p>
            <w:pPr>
              <w:spacing w:after="0" w:before="0"/>
            </w:pPr>
            <w:r>
              <w:rPr>
                <w:rFonts w:ascii="Arial" w:cs="Arial" w:eastAsia="Arial" w:hAnsi="Arial"/>
                <w:b/>
                <w:bCs/>
                <w:color w:val="FFFFFF"/>
                <w:sz w:val="26"/>
                <w:szCs w:val="26"/>
              </w:rPr>
              <w:t xml:space="preserve">Tier 1  </w:t>
            </w:r>
            <w:r>
              <w:rPr>
                <w:rFonts w:ascii="Arial" w:cs="Arial" w:eastAsia="Arial" w:hAnsi="Arial"/>
                <w:color w:val="FFFFFF"/>
                <w:sz w:val="22"/>
                <w:szCs w:val="22"/>
              </w:rPr>
              <w:t xml:space="preserve">Warm Partner — Prioritize Immediately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Score: 65–100 points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Strong distribution power + relevant network + travel in ecosystem</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Many will already be Engine customers or have Crossbeam overlap</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Action: Partnerships team reaches out within 2 weeks. Personalized pitch deck generated automatically.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Expected conversion: Highest — the partnership conversation is largely pre-sold</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Examples: National construction association with 300+ GC members, logistics GPO with active Engine relationship, staffing firm running annual industry conference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2400E" w:val="clear"/>
            <w:tcMar>
              <w:top w:type="dxa" w:w="120"/>
              <w:left w:type="dxa" w:w="180"/>
              <w:bottom w:type="dxa" w:w="80"/>
              <w:right w:type="dxa" w:w="180"/>
            </w:tcMar>
          </w:tcPr>
          <w:p>
            <w:pPr>
              <w:spacing w:after="0" w:before="0"/>
            </w:pPr>
            <w:r>
              <w:rPr>
                <w:rFonts w:ascii="Arial" w:cs="Arial" w:eastAsia="Arial" w:hAnsi="Arial"/>
                <w:b/>
                <w:bCs/>
                <w:color w:val="FFFFFF"/>
                <w:sz w:val="26"/>
                <w:szCs w:val="26"/>
              </w:rPr>
              <w:t xml:space="preserve">Tier 2  </w:t>
            </w:r>
            <w:r>
              <w:rPr>
                <w:rFonts w:ascii="Arial" w:cs="Arial" w:eastAsia="Arial" w:hAnsi="Arial"/>
                <w:color w:val="FFFFFF"/>
                <w:sz w:val="22"/>
                <w:szCs w:val="22"/>
              </w:rPr>
              <w:t xml:space="preserve">Evaluate — Needs Qualification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Score: 35–64 points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Some distribution potential but network size unclear, or travel volume uncertain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Existing Engine customer but no clear member base identified</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Action: 30-day outreach window. Standard sequence. Qualify network size in first call.</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Examples: Regional trade association, mid-size staffing agency, industry platform with unclear member travel patterns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151" w:val="clear"/>
            <w:tcMar>
              <w:top w:type="dxa" w:w="120"/>
              <w:left w:type="dxa" w:w="180"/>
              <w:bottom w:type="dxa" w:w="80"/>
              <w:right w:type="dxa" w:w="180"/>
            </w:tcMar>
          </w:tcPr>
          <w:p>
            <w:pPr>
              <w:spacing w:after="0" w:before="0"/>
            </w:pPr>
            <w:r>
              <w:rPr>
                <w:rFonts w:ascii="Arial" w:cs="Arial" w:eastAsia="Arial" w:hAnsi="Arial"/>
                <w:b/>
                <w:bCs/>
                <w:color w:val="FFFFFF"/>
                <w:sz w:val="26"/>
                <w:szCs w:val="26"/>
              </w:rPr>
              <w:t xml:space="preserve">Tier 3  </w:t>
            </w:r>
            <w:r>
              <w:rPr>
                <w:rFonts w:ascii="Arial" w:cs="Arial" w:eastAsia="Arial" w:hAnsi="Arial"/>
                <w:color w:val="FFFFFF"/>
                <w:sz w:val="22"/>
                <w:szCs w:val="22"/>
              </w:rPr>
              <w:t xml:space="preserve">Low Priority — Hold</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Score: 0–34 points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Limited distribution advantage, consumer-focused, or no network found</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Action: No active outreach. Re-evaluate if Salesforce data changes (new events, membership launch).</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80"/>
              <w:bottom w:type="dxa" w:w="70"/>
              <w:right w:type="dxa" w:w="180"/>
            </w:tcMar>
          </w:tcPr>
          <w:p>
            <w:pPr>
              <w:spacing w:after="0" w:before="0"/>
            </w:pPr>
            <w:r>
              <w:rPr>
                <w:rFonts w:ascii="Arial" w:cs="Arial" w:eastAsia="Arial" w:hAnsi="Arial"/>
                <w:color w:val="10121A"/>
                <w:sz w:val="19"/>
                <w:szCs w:val="19"/>
              </w:rPr>
              <w:t xml:space="preserve">Examples: Single-location manufacturer, local construction company, residential service company</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5. The Warm Path Strategy</w:t>
      </w:r>
    </w:p>
    <w:p>
      <w:pPr>
        <w:spacing w:after="100" w:before="60"/>
      </w:pPr>
      <w:r>
        <w:rPr>
          <w:rFonts w:ascii="Arial" w:cs="Arial" w:eastAsia="Arial" w:hAnsi="Arial"/>
          <w:color w:val="10121A"/>
          <w:sz w:val="20"/>
          <w:szCs w:val="20"/>
        </w:rPr>
        <w:t xml:space="preserve">The highest-ROI segment of this system is the overlap between existing Engine customers and Tier 1/2 partnership fit. These accounts require a completely different conversation than cold outreach.</w:t>
      </w:r>
    </w:p>
    <w:p>
      <w:pPr>
        <w:spacing w:after="120" w:before="0"/>
      </w:pPr>
    </w:p>
    <w:p>
      <w:pPr>
        <w:pStyle w:val="Heading2"/>
        <w:spacing w:after="120" w:before="280"/>
      </w:pPr>
      <w:r>
        <w:rPr>
          <w:rFonts w:ascii="Arial" w:cs="Arial" w:eastAsia="Arial" w:hAnsi="Arial"/>
          <w:b/>
          <w:bCs/>
          <w:color w:val="10121A"/>
          <w:sz w:val="26"/>
          <w:szCs w:val="26"/>
        </w:rPr>
        <w:t xml:space="preserve">Why Existing Customers Are the Best Partnership Leads</w:t>
      </w:r>
    </w:p>
    <w:p>
      <w:pPr>
        <w:pStyle w:val="ListParagraph"/>
        <w:numPr>
          <w:ilvl w:val="0"/>
          <w:numId w:val="2"/>
        </w:numPr>
        <w:spacing w:after="40" w:before="40"/>
        <w:ind w:left="480" w:hanging="240"/>
      </w:pPr>
      <w:r>
        <w:rPr>
          <w:rFonts w:ascii="Arial" w:cs="Arial" w:eastAsia="Arial" w:hAnsi="Arial"/>
          <w:color w:val="10121A"/>
          <w:sz w:val="20"/>
          <w:szCs w:val="20"/>
        </w:rPr>
        <w:t xml:space="preserve">They already trust Engine and see the value — no credibility problem to overcome</w:t>
      </w:r>
    </w:p>
    <w:p>
      <w:pPr>
        <w:pStyle w:val="ListParagraph"/>
        <w:numPr>
          <w:ilvl w:val="0"/>
          <w:numId w:val="2"/>
        </w:numPr>
        <w:spacing w:after="40" w:before="40"/>
        <w:ind w:left="480" w:hanging="240"/>
      </w:pPr>
      <w:r>
        <w:rPr>
          <w:rFonts w:ascii="Arial" w:cs="Arial" w:eastAsia="Arial" w:hAnsi="Arial"/>
          <w:color w:val="10121A"/>
          <w:sz w:val="20"/>
          <w:szCs w:val="20"/>
        </w:rPr>
        <w:t xml:space="preserve">The partnership conversation can start from their own experience: “You book X nights/month — imagine if your 400 member companies could do the same”</w:t>
      </w:r>
    </w:p>
    <w:p>
      <w:pPr>
        <w:pStyle w:val="ListParagraph"/>
        <w:numPr>
          <w:ilvl w:val="0"/>
          <w:numId w:val="2"/>
        </w:numPr>
        <w:spacing w:after="40" w:before="40"/>
        <w:ind w:left="480" w:hanging="240"/>
      </w:pPr>
      <w:r>
        <w:rPr>
          <w:rFonts w:ascii="Arial" w:cs="Arial" w:eastAsia="Arial" w:hAnsi="Arial"/>
          <w:color w:val="10121A"/>
          <w:sz w:val="20"/>
          <w:szCs w:val="20"/>
        </w:rPr>
        <w:t xml:space="preserve">Churn risk drops significantly when the account becomes a partner — they’re now invested in Engine’s success</w:t>
      </w:r>
    </w:p>
    <w:p>
      <w:pPr>
        <w:pStyle w:val="ListParagraph"/>
        <w:numPr>
          <w:ilvl w:val="0"/>
          <w:numId w:val="2"/>
        </w:numPr>
        <w:spacing w:after="40" w:before="40"/>
        <w:ind w:left="480" w:hanging="240"/>
      </w:pPr>
      <w:r>
        <w:rPr>
          <w:rFonts w:ascii="Arial" w:cs="Arial" w:eastAsia="Arial" w:hAnsi="Arial"/>
          <w:color w:val="10121A"/>
          <w:sz w:val="20"/>
          <w:szCs w:val="20"/>
        </w:rPr>
        <w:t xml:space="preserve">Referral revenue is additive to the direct booking revenue — Engine wins twice</w:t>
      </w:r>
    </w:p>
    <w:p>
      <w:pPr>
        <w:pStyle w:val="ListParagraph"/>
        <w:numPr>
          <w:ilvl w:val="0"/>
          <w:numId w:val="2"/>
        </w:numPr>
        <w:spacing w:after="40" w:before="40"/>
        <w:ind w:left="480" w:hanging="240"/>
      </w:pPr>
      <w:r>
        <w:rPr>
          <w:rFonts w:ascii="Arial" w:cs="Arial" w:eastAsia="Arial" w:hAnsi="Arial"/>
          <w:color w:val="10121A"/>
          <w:sz w:val="20"/>
          <w:szCs w:val="20"/>
        </w:rPr>
        <w:t xml:space="preserve">They have an existing Salesforce record, an account owner, and a relationship — introductions are easy</w:t>
      </w:r>
    </w:p>
    <w:p>
      <w:pPr>
        <w:spacing w:after="240" w:before="0"/>
      </w:pPr>
    </w:p>
    <w:p>
      <w:pPr>
        <w:pStyle w:val="Heading2"/>
        <w:spacing w:after="120" w:before="280"/>
      </w:pPr>
      <w:r>
        <w:rPr>
          <w:rFonts w:ascii="Arial" w:cs="Arial" w:eastAsia="Arial" w:hAnsi="Arial"/>
          <w:b/>
          <w:bCs/>
          <w:color w:val="10121A"/>
          <w:sz w:val="26"/>
          <w:szCs w:val="26"/>
        </w:rPr>
        <w:t xml:space="preserve">The Conversation Framework for Existing Customers</w:t>
      </w:r>
    </w:p>
    <w:p>
      <w:pPr>
        <w:spacing w:after="100" w:before="60"/>
      </w:pPr>
      <w:r>
        <w:rPr>
          <w:rFonts w:ascii="Arial" w:cs="Arial" w:eastAsia="Arial" w:hAnsi="Arial"/>
          <w:color w:val="10121A"/>
          <w:sz w:val="20"/>
          <w:szCs w:val="20"/>
        </w:rPr>
        <w:t xml:space="preserve">When the system flags an existing Engine customer as a Tier 1 partnership fit, the outreach angle should not be “sell Engine to your members.” It should be: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pPr>
              <w:spacing w:after="0" w:before="0"/>
            </w:pPr>
            <w:r>
              <w:rPr>
                <w:rFonts w:ascii="Arial" w:cs="Arial" w:eastAsia="Arial" w:hAnsi="Arial"/>
                <w:b/>
                <w:bCs/>
                <w:color w:val="1C3A6B"/>
                <w:sz w:val="20"/>
                <w:szCs w:val="20"/>
              </w:rPr>
              <w:t xml:space="preserve">Angle 1 — Member Benefit: </w:t>
            </w:r>
            <w:r>
              <w:rPr>
                <w:rFonts w:ascii="Arial" w:cs="Arial" w:eastAsia="Arial" w:hAnsi="Arial"/>
                <w:color w:val="10121A"/>
                <w:sz w:val="20"/>
                <w:szCs w:val="20"/>
              </w:rPr>
              <w:t xml:space="preserve">“You’re already managing X bookings/month through Engine. Have you considered making Engine a preferred vendor for your [members/franchisees/clients]? We can offer your network negotiated rates and a dedicated booking experience branded for [Org Name].”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20"/>
              <w:bottom w:type="dxa" w:w="140"/>
              <w:right w:type="dxa" w:w="220"/>
            </w:tcMar>
          </w:tcPr>
          <w:p>
            <w:pPr>
              <w:spacing w:after="0" w:before="0"/>
            </w:pPr>
            <w:r>
              <w:rPr>
                <w:rFonts w:ascii="Arial" w:cs="Arial" w:eastAsia="Arial" w:hAnsi="Arial"/>
                <w:b/>
                <w:bCs/>
                <w:color w:val="1C3A6B"/>
                <w:sz w:val="20"/>
                <w:szCs w:val="20"/>
              </w:rPr>
              <w:t xml:space="preserve">Angle 2 — Referral Revenue: </w:t>
            </w:r>
            <w:r>
              <w:rPr>
                <w:rFonts w:ascii="Arial" w:cs="Arial" w:eastAsia="Arial" w:hAnsi="Arial"/>
                <w:color w:val="10121A"/>
                <w:sz w:val="20"/>
                <w:szCs w:val="20"/>
              </w:rPr>
              <w:t xml:space="preserve">“Most of our association partners earn referral revenue on every booking their members make through Engine. Based on your network size, we’d estimate [X] in annual referral income. Want to see how it works?”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20"/>
              <w:bottom w:type="dxa" w:w="140"/>
              <w:right w:type="dxa" w:w="220"/>
            </w:tcMar>
          </w:tcPr>
          <w:p>
            <w:pPr>
              <w:spacing w:after="0" w:before="0"/>
            </w:pPr>
            <w:r>
              <w:rPr>
                <w:rFonts w:ascii="Arial" w:cs="Arial" w:eastAsia="Arial" w:hAnsi="Arial"/>
                <w:b/>
                <w:bCs/>
                <w:color w:val="1C3A6B"/>
                <w:sz w:val="20"/>
                <w:szCs w:val="20"/>
              </w:rPr>
              <w:t xml:space="preserve">Angle 3 — Events &amp; Conferences: </w:t>
            </w:r>
            <w:r>
              <w:rPr>
                <w:rFonts w:ascii="Arial" w:cs="Arial" w:eastAsia="Arial" w:hAnsi="Arial"/>
                <w:color w:val="10121A"/>
                <w:sz w:val="20"/>
                <w:szCs w:val="20"/>
              </w:rPr>
              <w:t xml:space="preserve">“We noticed you run [Annual Conference]. Engine can handle the hotel block for your attendees and take that off your plate entirely. It’s how most of our association partners get started — they let us prove the value at their next event.”</w:t>
            </w:r>
          </w:p>
        </w:tc>
      </w:tr>
    </w:tbl>
    <w:p>
      <w:pPr>
        <w:spacing w:after="240" w:before="0"/>
      </w:pPr>
    </w:p>
    <w:p>
      <w:pPr>
        <w:pStyle w:val="Heading2"/>
        <w:spacing w:after="120" w:before="280"/>
      </w:pPr>
      <w:r>
        <w:rPr>
          <w:rFonts w:ascii="Arial" w:cs="Arial" w:eastAsia="Arial" w:hAnsi="Arial"/>
          <w:b/>
          <w:bCs/>
          <w:color w:val="10121A"/>
          <w:sz w:val="26"/>
          <w:szCs w:val="26"/>
        </w:rPr>
        <w:t xml:space="preserve">Quantifying the Opportunity Per Account</w:t>
      </w:r>
    </w:p>
    <w:p>
      <w:pPr>
        <w:spacing w:after="100" w:before="60"/>
      </w:pPr>
      <w:r>
        <w:rPr>
          <w:rFonts w:ascii="Arial" w:cs="Arial" w:eastAsia="Arial" w:hAnsi="Arial"/>
          <w:color w:val="10121A"/>
          <w:sz w:val="20"/>
          <w:szCs w:val="20"/>
        </w:rPr>
        <w:t xml:space="preserve">The system should generate a rough revenue estimate for each Tier 1 account to help the partnerships team prioritize and build a business case in their pitch: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6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Formula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Network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Member companies or franchisees from ZoomInfo/web research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Estimated travel nights/year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Network size × estimated nights per member (varies by ICP: Construction = 24/yr, Logistics = 36/yr, etc.)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Engine ADR assumption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$120/night blended average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Engine revenue per booking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~8–12% of booking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Referral rate to partner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Typically 2–5% of total booking 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Potential annual referral income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Network × nights × ADR × referral rate</w:t>
            </w:r>
          </w:p>
        </w:tc>
      </w:tr>
    </w:tbl>
    <w:p>
      <w:pPr>
        <w:spacing w:after="120" w:before="0"/>
      </w:pPr>
    </w:p>
    <w:p>
      <w:pPr>
        <w:spacing w:after="100" w:before="60"/>
      </w:pPr>
      <w:r>
        <w:rPr>
          <w:rFonts w:ascii="Arial" w:cs="Arial" w:eastAsia="Arial" w:hAnsi="Arial"/>
          <w:color w:val="10121A"/>
          <w:sz w:val="20"/>
          <w:szCs w:val="20"/>
        </w:rPr>
        <w:t xml:space="preserve">Example: A construction association with 300 member GCs, each averaging 20 travel nights/year: 300 × 20 × $120 = $720,000 in potential annual booking value through Engine. At 3% referral rate, that’s $21,600/year in referral income to the association — a number worth putting in the pitch deck.</w:t>
      </w:r>
    </w:p>
    <w:p>
      <w:r>
        <w:br w:type="page"/>
      </w:r>
    </w:p>
    <w:p>
      <w:pPr>
        <w:pStyle w:val="Heading1"/>
        <w:spacing w:after="160" w:before="360"/>
      </w:pPr>
      <w:r>
        <w:rPr>
          <w:rFonts w:ascii="Arial" w:cs="Arial" w:eastAsia="Arial" w:hAnsi="Arial"/>
          <w:b/>
          <w:bCs/>
          <w:color w:val="1C3A6B"/>
          <w:sz w:val="32"/>
          <w:szCs w:val="32"/>
        </w:rPr>
        <w:t xml:space="preserve">6. Crossbeam Intelligence Layer</w:t>
      </w:r>
    </w:p>
    <w:p>
      <w:pPr>
        <w:spacing w:after="100" w:before="60"/>
      </w:pPr>
      <w:r>
        <w:rPr>
          <w:rFonts w:ascii="Arial" w:cs="Arial" w:eastAsia="Arial" w:hAnsi="Arial"/>
          <w:color w:val="10121A"/>
          <w:sz w:val="20"/>
          <w:szCs w:val="20"/>
        </w:rPr>
        <w:t xml:space="preserve">Crossbeam transforms the partnership scoring from internal analysis to market intelligence. The system should query Crossbeam for every account being scored.</w:t>
      </w:r>
    </w:p>
    <w:p>
      <w:pPr>
        <w:spacing w:after="120" w:before="0"/>
      </w:pPr>
    </w:p>
    <w:p>
      <w:pPr>
        <w:pStyle w:val="Heading2"/>
        <w:spacing w:after="120" w:before="280"/>
      </w:pPr>
      <w:r>
        <w:rPr>
          <w:rFonts w:ascii="Arial" w:cs="Arial" w:eastAsia="Arial" w:hAnsi="Arial"/>
          <w:b/>
          <w:bCs/>
          <w:color w:val="10121A"/>
          <w:sz w:val="26"/>
          <w:szCs w:val="26"/>
        </w:rPr>
        <w:t xml:space="preserve">How Crossbeam Adds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Crossbeam Signal</w:t>
            </w:r>
          </w:p>
        </w:tc>
        <w:tc>
          <w:tcPr>
            <w:tcW w:type="dxa" w:w="2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39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Account overlaps with a current Engine partner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This company is already in a partner’s ecosystem — a warm intro may be possible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Add 15 points to score. Flag with partner name in results.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Account is a customer of a current Engine partner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The partner can introduce Engine — no cold outreach needed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Highest priority: route to partner manager for warm intro, not cold BD outreach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Account appears as a prospect in multiple partner pipelines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Multiple partners are pursuing this company — high-value target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Add 10 points. Note shared interest in outreach materials.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No Crossbeam overlap found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No warm path via existing partners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Score as normal based on other dimensions</w:t>
            </w:r>
          </w:p>
        </w:tc>
      </w:tr>
    </w:tbl>
    <w:p>
      <w:pPr>
        <w:spacing w:after="240" w:before="0"/>
      </w:pPr>
    </w:p>
    <w:p>
      <w:pPr>
        <w:pStyle w:val="Heading2"/>
        <w:spacing w:after="120" w:before="280"/>
      </w:pPr>
      <w:r>
        <w:rPr>
          <w:rFonts w:ascii="Arial" w:cs="Arial" w:eastAsia="Arial" w:hAnsi="Arial"/>
          <w:b/>
          <w:bCs/>
          <w:color w:val="10121A"/>
          <w:sz w:val="26"/>
          <w:szCs w:val="26"/>
        </w:rPr>
        <w:t xml:space="preserve">Partner Suggestions from Crossbeam</w:t>
      </w:r>
    </w:p>
    <w:p>
      <w:pPr>
        <w:spacing w:after="100" w:before="60"/>
      </w:pPr>
      <w:r>
        <w:rPr>
          <w:rFonts w:ascii="Arial" w:cs="Arial" w:eastAsia="Arial" w:hAnsi="Arial"/>
          <w:color w:val="10121A"/>
          <w:sz w:val="20"/>
          <w:szCs w:val="20"/>
        </w:rPr>
        <w:t xml:space="preserve">Crossbeam’s partner suggestion engine (already connected) surfaces companies that share significant customer overlap with Engine. These should feed directly into the partnership prospecting workflow as pre-qualified Tier 1 targets, separate from the account scoring pool. Crossbeam currently surfaces suggestions including Expensify, WEX, Drury Hotels, and Destinations International — each worth pursuing as a formal partnership.</w:t>
      </w:r>
    </w:p>
    <w:p>
      <w:pPr>
        <w:spacing w:after="240" w:before="0"/>
      </w:pPr>
    </w:p>
    <w:p>
      <w:r>
        <w:br w:type="page"/>
      </w:r>
    </w:p>
    <w:p>
      <w:pPr>
        <w:pStyle w:val="Heading1"/>
        <w:spacing w:after="160" w:before="360"/>
      </w:pPr>
      <w:r>
        <w:rPr>
          <w:rFonts w:ascii="Arial" w:cs="Arial" w:eastAsia="Arial" w:hAnsi="Arial"/>
          <w:b/>
          <w:bCs/>
          <w:color w:val="1C3A6B"/>
          <w:sz w:val="32"/>
          <w:szCs w:val="32"/>
        </w:rPr>
        <w:t xml:space="preserve">7. Salesforce Deployment Architecture</w:t>
      </w:r>
    </w:p>
    <w:p>
      <w:pPr>
        <w:spacing w:after="100" w:before="60"/>
      </w:pPr>
      <w:r>
        <w:rPr>
          <w:rFonts w:ascii="Arial" w:cs="Arial" w:eastAsia="Arial" w:hAnsi="Arial"/>
          <w:color w:val="10121A"/>
          <w:sz w:val="20"/>
          <w:szCs w:val="20"/>
        </w:rPr>
        <w:t xml:space="preserve">This section outlines what would need to be built or configured in Salesforce to deploy the Partnership Intelligence System as an operational tool — not just a one-time report.</w:t>
      </w:r>
    </w:p>
    <w:p>
      <w:pPr>
        <w:spacing w:after="120" w:before="0"/>
      </w:pPr>
    </w:p>
    <w:p>
      <w:pPr>
        <w:pStyle w:val="Heading2"/>
        <w:spacing w:after="120" w:before="280"/>
      </w:pPr>
      <w:r>
        <w:rPr>
          <w:rFonts w:ascii="Arial" w:cs="Arial" w:eastAsia="Arial" w:hAnsi="Arial"/>
          <w:b/>
          <w:bCs/>
          <w:color w:val="10121A"/>
          <w:sz w:val="26"/>
          <w:szCs w:val="26"/>
        </w:rPr>
        <w:t xml:space="preserve">Custom Fields Required on the Account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Field Name</w:t>
            </w:r>
          </w:p>
        </w:tc>
        <w:tc>
          <w:tcPr>
            <w:tcW w:type="dxa" w:w="1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Partnership_Tier__c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Picklist (T1/T2/T3/Unscored)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Tier assigned by the scoring engine. Visible on account record and in list views.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Partnership_Score__c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Total numeric score (0–100). Enables sorting and filtering.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Partnership_Signals__c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Long Text Area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Comma-separated list of detected signals (e.g. ‘Annual Conference, Member-based org, Crossbeam overlap’).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Partnership_Angle__c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Long Text Area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AI-generated suggested outreach angle specific to this account.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Network_Size_Estimate__c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Estimated member/franchise/network size from research.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Referral_Revenue_Estimate__c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Currency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Estimated annual referral income potential at standard rates.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Partnership_Score_Date__c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Date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Date the account was last scored. Used to trigger re-scoring.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Crossbeam_Overlap_Partners__c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Text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Partner names who have overlap with this account (from Crossbeam).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Warm_Path_Available__c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Checkbox</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True if Crossbeam overlap exists or account is existing Engine customer.</w:t>
            </w:r>
          </w:p>
        </w:tc>
      </w:tr>
    </w:tbl>
    <w:p>
      <w:pPr>
        <w:spacing w:after="240" w:before="0"/>
      </w:pPr>
    </w:p>
    <w:p>
      <w:pPr>
        <w:pStyle w:val="Heading2"/>
        <w:spacing w:after="120" w:before="280"/>
      </w:pPr>
      <w:r>
        <w:rPr>
          <w:rFonts w:ascii="Arial" w:cs="Arial" w:eastAsia="Arial" w:hAnsi="Arial"/>
          <w:b/>
          <w:bCs/>
          <w:color w:val="10121A"/>
          <w:sz w:val="26"/>
          <w:szCs w:val="26"/>
        </w:rPr>
        <w:t xml:space="preserve">Salesforce List View: Partnership Pipeline</w:t>
      </w:r>
    </w:p>
    <w:p>
      <w:pPr>
        <w:spacing w:after="100" w:before="60"/>
      </w:pPr>
      <w:r>
        <w:rPr>
          <w:rFonts w:ascii="Arial" w:cs="Arial" w:eastAsia="Arial" w:hAnsi="Arial"/>
          <w:color w:val="10121A"/>
          <w:sz w:val="20"/>
          <w:szCs w:val="20"/>
        </w:rPr>
        <w:t xml:space="preserve">A new Salesforce List View on the Account object filtered and sorted for the partnerships team:</w:t>
      </w:r>
    </w:p>
    <w:p>
      <w:pPr>
        <w:spacing w:after="120" w:before="0"/>
      </w:pPr>
    </w:p>
    <w:p>
      <w:pPr>
        <w:pStyle w:val="ListParagraph"/>
        <w:numPr>
          <w:ilvl w:val="0"/>
          <w:numId w:val="2"/>
        </w:numPr>
        <w:spacing w:after="40" w:before="40"/>
        <w:ind w:left="480" w:hanging="240"/>
      </w:pPr>
      <w:r>
        <w:rPr>
          <w:rFonts w:ascii="Arial" w:cs="Arial" w:eastAsia="Arial" w:hAnsi="Arial"/>
          <w:color w:val="10121A"/>
          <w:sz w:val="20"/>
          <w:szCs w:val="20"/>
        </w:rPr>
        <w:t xml:space="preserve">Filter: Partnership_Tier__c = ‘T1’ OR ‘T2’</w:t>
      </w:r>
    </w:p>
    <w:p>
      <w:pPr>
        <w:pStyle w:val="ListParagraph"/>
        <w:numPr>
          <w:ilvl w:val="0"/>
          <w:numId w:val="2"/>
        </w:numPr>
        <w:spacing w:after="40" w:before="40"/>
        <w:ind w:left="480" w:hanging="240"/>
      </w:pPr>
      <w:r>
        <w:rPr>
          <w:rFonts w:ascii="Arial" w:cs="Arial" w:eastAsia="Arial" w:hAnsi="Arial"/>
          <w:color w:val="10121A"/>
          <w:sz w:val="20"/>
          <w:szCs w:val="20"/>
        </w:rPr>
        <w:t xml:space="preserve">Filter: Account.OwnedBy ≠ Partnerships (i.e., show accounts not already owned by the partnerships team, to surface new opportunities)</w:t>
      </w:r>
    </w:p>
    <w:p>
      <w:pPr>
        <w:pStyle w:val="ListParagraph"/>
        <w:numPr>
          <w:ilvl w:val="0"/>
          <w:numId w:val="2"/>
        </w:numPr>
        <w:spacing w:after="40" w:before="40"/>
        <w:ind w:left="480" w:hanging="240"/>
      </w:pPr>
      <w:r>
        <w:rPr>
          <w:rFonts w:ascii="Arial" w:cs="Arial" w:eastAsia="Arial" w:hAnsi="Arial"/>
          <w:color w:val="10121A"/>
          <w:sz w:val="20"/>
          <w:szCs w:val="20"/>
        </w:rPr>
        <w:t xml:space="preserve">Sort: Partnership_Score__c descending</w:t>
      </w:r>
    </w:p>
    <w:p>
      <w:pPr>
        <w:pStyle w:val="ListParagraph"/>
        <w:numPr>
          <w:ilvl w:val="0"/>
          <w:numId w:val="2"/>
        </w:numPr>
        <w:spacing w:after="40" w:before="40"/>
        <w:ind w:left="480" w:hanging="240"/>
      </w:pPr>
      <w:r>
        <w:rPr>
          <w:rFonts w:ascii="Arial" w:cs="Arial" w:eastAsia="Arial" w:hAnsi="Arial"/>
          <w:color w:val="10121A"/>
          <w:sz w:val="20"/>
          <w:szCs w:val="20"/>
        </w:rPr>
        <w:t xml:space="preserve">Columns: Account Name, Industry, Partnership Tier, Partnership Score, Network Size, Warm Path, Last Scored, Crossbeam Overlap Partners</w:t>
      </w:r>
    </w:p>
    <w:p>
      <w:pPr>
        <w:pStyle w:val="ListParagraph"/>
        <w:numPr>
          <w:ilvl w:val="0"/>
          <w:numId w:val="2"/>
        </w:numPr>
        <w:spacing w:after="40" w:before="40"/>
        <w:ind w:left="480" w:hanging="240"/>
      </w:pPr>
      <w:r>
        <w:rPr>
          <w:rFonts w:ascii="Arial" w:cs="Arial" w:eastAsia="Arial" w:hAnsi="Arial"/>
          <w:color w:val="10121A"/>
          <w:sz w:val="20"/>
          <w:szCs w:val="20"/>
        </w:rPr>
        <w:t xml:space="preserve">Saved as “Partnership Candidates” and shared with the Partnerships BD team</w:t>
      </w:r>
    </w:p>
    <w:p>
      <w:pPr>
        <w:spacing w:after="240" w:before="0"/>
      </w:pPr>
    </w:p>
    <w:p>
      <w:pPr>
        <w:pStyle w:val="Heading2"/>
        <w:spacing w:after="120" w:before="280"/>
      </w:pPr>
      <w:r>
        <w:rPr>
          <w:rFonts w:ascii="Arial" w:cs="Arial" w:eastAsia="Arial" w:hAnsi="Arial"/>
          <w:b/>
          <w:bCs/>
          <w:color w:val="10121A"/>
          <w:sz w:val="26"/>
          <w:szCs w:val="26"/>
        </w:rPr>
        <w:t xml:space="preserve">Salesforce Report: Existing Customers with Partnership Potential</w:t>
      </w:r>
    </w:p>
    <w:p>
      <w:pPr>
        <w:spacing w:after="100" w:before="60"/>
      </w:pPr>
      <w:r>
        <w:rPr>
          <w:rFonts w:ascii="Arial" w:cs="Arial" w:eastAsia="Arial" w:hAnsi="Arial"/>
          <w:color w:val="10121A"/>
          <w:sz w:val="20"/>
          <w:szCs w:val="20"/>
        </w:rPr>
        <w:t xml:space="preserve">A dedicated report filtered to the highest-priority pool:</w:t>
      </w:r>
    </w:p>
    <w:p>
      <w:pPr>
        <w:spacing w:after="120" w:before="0"/>
      </w:pPr>
    </w:p>
    <w:p>
      <w:pPr>
        <w:pStyle w:val="ListParagraph"/>
        <w:numPr>
          <w:ilvl w:val="0"/>
          <w:numId w:val="2"/>
        </w:numPr>
        <w:spacing w:after="40" w:before="40"/>
        <w:ind w:left="480" w:hanging="240"/>
      </w:pPr>
      <w:r>
        <w:rPr>
          <w:rFonts w:ascii="Arial" w:cs="Arial" w:eastAsia="Arial" w:hAnsi="Arial"/>
          <w:color w:val="10121A"/>
          <w:sz w:val="20"/>
          <w:szCs w:val="20"/>
        </w:rPr>
        <w:t xml:space="preserve">Report Type: Accounts with Opportunities</w:t>
      </w:r>
    </w:p>
    <w:p>
      <w:pPr>
        <w:pStyle w:val="ListParagraph"/>
        <w:numPr>
          <w:ilvl w:val="0"/>
          <w:numId w:val="2"/>
        </w:numPr>
        <w:spacing w:after="40" w:before="40"/>
        <w:ind w:left="480" w:hanging="240"/>
      </w:pPr>
      <w:r>
        <w:rPr>
          <w:rFonts w:ascii="Arial" w:cs="Arial" w:eastAsia="Arial" w:hAnsi="Arial"/>
          <w:color w:val="10121A"/>
          <w:sz w:val="20"/>
          <w:szCs w:val="20"/>
        </w:rPr>
        <w:t xml:space="preserve">Filter: Last Activity Date within 12 months (active Engine customer)</w:t>
      </w:r>
    </w:p>
    <w:p>
      <w:pPr>
        <w:pStyle w:val="ListParagraph"/>
        <w:numPr>
          <w:ilvl w:val="0"/>
          <w:numId w:val="2"/>
        </w:numPr>
        <w:spacing w:after="40" w:before="40"/>
        <w:ind w:left="480" w:hanging="240"/>
      </w:pPr>
      <w:r>
        <w:rPr>
          <w:rFonts w:ascii="Arial" w:cs="Arial" w:eastAsia="Arial" w:hAnsi="Arial"/>
          <w:color w:val="10121A"/>
          <w:sz w:val="20"/>
          <w:szCs w:val="20"/>
        </w:rPr>
        <w:t xml:space="preserve">Filter: Partnership_Tier__c = T1 OR T2</w:t>
      </w:r>
    </w:p>
    <w:p>
      <w:pPr>
        <w:pStyle w:val="ListParagraph"/>
        <w:numPr>
          <w:ilvl w:val="0"/>
          <w:numId w:val="2"/>
        </w:numPr>
        <w:spacing w:after="40" w:before="40"/>
        <w:ind w:left="480" w:hanging="240"/>
      </w:pPr>
      <w:r>
        <w:rPr>
          <w:rFonts w:ascii="Arial" w:cs="Arial" w:eastAsia="Arial" w:hAnsi="Arial"/>
          <w:color w:val="10121A"/>
          <w:sz w:val="20"/>
          <w:szCs w:val="20"/>
        </w:rPr>
        <w:t xml:space="preserve">Filter: Account not already in partnerships pipeline</w:t>
      </w:r>
    </w:p>
    <w:p>
      <w:pPr>
        <w:pStyle w:val="ListParagraph"/>
        <w:numPr>
          <w:ilvl w:val="0"/>
          <w:numId w:val="2"/>
        </w:numPr>
        <w:spacing w:after="40" w:before="40"/>
        <w:ind w:left="480" w:hanging="240"/>
      </w:pPr>
      <w:r>
        <w:rPr>
          <w:rFonts w:ascii="Arial" w:cs="Arial" w:eastAsia="Arial" w:hAnsi="Arial"/>
          <w:color w:val="10121A"/>
          <w:sz w:val="20"/>
          <w:szCs w:val="20"/>
        </w:rPr>
        <w:t xml:space="preserve">Sort: Partnership_Score__c descending, then Referral_Revenue_Estimate__c descending</w:t>
      </w:r>
    </w:p>
    <w:p>
      <w:pPr>
        <w:pStyle w:val="ListParagraph"/>
        <w:numPr>
          <w:ilvl w:val="0"/>
          <w:numId w:val="2"/>
        </w:numPr>
        <w:spacing w:after="40" w:before="40"/>
        <w:ind w:left="480" w:hanging="240"/>
      </w:pPr>
      <w:r>
        <w:rPr>
          <w:rFonts w:ascii="Arial" w:cs="Arial" w:eastAsia="Arial" w:hAnsi="Arial"/>
          <w:color w:val="10121A"/>
          <w:sz w:val="20"/>
          <w:szCs w:val="20"/>
        </w:rPr>
        <w:t xml:space="preserve">Scheduled to run weekly and email results to the Partnerships BD team lead</w:t>
      </w:r>
    </w:p>
    <w:p>
      <w:pPr>
        <w:spacing w:after="240" w:before="0"/>
      </w:pPr>
    </w:p>
    <w:p>
      <w:pPr>
        <w:pStyle w:val="Heading2"/>
        <w:spacing w:after="120" w:before="280"/>
      </w:pPr>
      <w:r>
        <w:rPr>
          <w:rFonts w:ascii="Arial" w:cs="Arial" w:eastAsia="Arial" w:hAnsi="Arial"/>
          <w:b/>
          <w:bCs/>
          <w:color w:val="10121A"/>
          <w:sz w:val="26"/>
          <w:szCs w:val="26"/>
        </w:rPr>
        <w:t xml:space="preserve">Scoring Trigger Architecture</w:t>
      </w:r>
    </w:p>
    <w:p>
      <w:pPr>
        <w:spacing w:after="100" w:before="60"/>
      </w:pPr>
      <w:r>
        <w:rPr>
          <w:rFonts w:ascii="Arial" w:cs="Arial" w:eastAsia="Arial" w:hAnsi="Arial"/>
          <w:color w:val="10121A"/>
          <w:sz w:val="20"/>
          <w:szCs w:val="20"/>
        </w:rPr>
        <w:t xml:space="preserve">The scoring engine needs to run on a defined schedule and write results back to Salesforce. There are two approaches: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5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Batch API (Recommended for V1)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 scheduled job (nightly or weekly) exports accounts from Salesforce via the Salesforce REST API, sends them to the scoring service in batches, and writes Partnership_Tier__c and related fields back via Salesforce PATCH calls. Simple, auditable, no real-time dependency.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Salesforce Flow + Apex (V2 — real-time)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 Salesforce Flow triggers on Account create/update and calls an Apex class or External Service that hits the scoring API in real-time. Updates the Partnership_Tier__c field automatically as account data changes. More powerful but requires Apex development.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Connected App (Required for both)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 Salesforce Connected App with OAuth 2.0 client credentials flow is required for server-to-server API access. This gives the scoring service permission to read accounts and write custom fields without a user session.</w:t>
            </w:r>
          </w:p>
        </w:tc>
      </w:tr>
    </w:tbl>
    <w:p>
      <w:r>
        <w:br w:type="page"/>
      </w:r>
    </w:p>
    <w:p>
      <w:pPr>
        <w:pStyle w:val="Heading1"/>
        <w:spacing w:after="160" w:before="360"/>
      </w:pPr>
      <w:r>
        <w:rPr>
          <w:rFonts w:ascii="Arial" w:cs="Arial" w:eastAsia="Arial" w:hAnsi="Arial"/>
          <w:b/>
          <w:bCs/>
          <w:color w:val="1C3A6B"/>
          <w:sz w:val="32"/>
          <w:szCs w:val="32"/>
        </w:rPr>
        <w:t xml:space="preserve">8. Technical Build Requirements</w:t>
      </w:r>
    </w:p>
    <w:p>
      <w:pPr>
        <w:spacing w:after="100" w:before="60"/>
      </w:pPr>
      <w:r>
        <w:rPr>
          <w:rFonts w:ascii="Arial" w:cs="Arial" w:eastAsia="Arial" w:hAnsi="Arial"/>
          <w:color w:val="10121A"/>
          <w:sz w:val="20"/>
          <w:szCs w:val="20"/>
        </w:rPr>
        <w:t xml:space="preserve">What would need to be built to make this operational. This is presented as a phased plan.</w:t>
      </w:r>
    </w:p>
    <w:p>
      <w:pPr>
        <w:spacing w:after="120" w:before="0"/>
      </w:pPr>
    </w:p>
    <w:p>
      <w:pPr>
        <w:pStyle w:val="Heading2"/>
        <w:spacing w:after="120" w:before="280"/>
      </w:pPr>
      <w:r>
        <w:rPr>
          <w:rFonts w:ascii="Arial" w:cs="Arial" w:eastAsia="Arial" w:hAnsi="Arial"/>
          <w:b/>
          <w:bCs/>
          <w:color w:val="10121A"/>
          <w:sz w:val="26"/>
          <w:szCs w:val="26"/>
        </w:rPr>
        <w:t xml:space="preserve">Phase 1: Scoring Engine API (4–5 days)</w:t>
      </w:r>
    </w:p>
    <w:p>
      <w:pPr>
        <w:spacing w:after="100" w:before="60"/>
      </w:pPr>
      <w:r>
        <w:rPr>
          <w:rFonts w:ascii="Arial" w:cs="Arial" w:eastAsia="Arial" w:hAnsi="Arial"/>
          <w:color w:val="10121A"/>
          <w:sz w:val="20"/>
          <w:szCs w:val="20"/>
        </w:rPr>
        <w:t xml:space="preserve">A new API endpoint (can extend the existing triage tool or the BD agent) that accepts a Salesforce account record and returns a partnership fit score.</w:t>
      </w:r>
    </w:p>
    <w:p>
      <w:pPr>
        <w:spacing w:after="120" w:before="0"/>
      </w:pPr>
    </w:p>
    <w:p>
      <w:pPr>
        <w:pStyle w:val="ListParagraph"/>
        <w:numPr>
          <w:ilvl w:val="0"/>
          <w:numId w:val="2"/>
        </w:numPr>
        <w:spacing w:after="40" w:before="40"/>
        <w:ind w:left="480" w:hanging="240"/>
      </w:pPr>
      <w:r>
        <w:rPr>
          <w:rFonts w:ascii="Arial" w:cs="Arial" w:eastAsia="Arial" w:hAnsi="Arial"/>
          <w:color w:val="10121A"/>
          <w:sz w:val="20"/>
          <w:szCs w:val="20"/>
        </w:rPr>
        <w:t xml:space="preserve">Input: account name, industry, Salesforce account ID, existing Engine customer flag, any known domain</w:t>
      </w:r>
    </w:p>
    <w:p>
      <w:pPr>
        <w:pStyle w:val="ListParagraph"/>
        <w:numPr>
          <w:ilvl w:val="0"/>
          <w:numId w:val="2"/>
        </w:numPr>
        <w:spacing w:after="40" w:before="40"/>
        <w:ind w:left="480" w:hanging="240"/>
      </w:pPr>
      <w:r>
        <w:rPr>
          <w:rFonts w:ascii="Arial" w:cs="Arial" w:eastAsia="Arial" w:hAnsi="Arial"/>
          <w:color w:val="10121A"/>
          <w:sz w:val="20"/>
          <w:szCs w:val="20"/>
        </w:rPr>
        <w:t xml:space="preserve">Processing: ZoomInfo enrichment → web research for network/distribution signals → partnership scoring logic → Crossbeam overlap lookup → revenue estimate calculation</w:t>
      </w:r>
    </w:p>
    <w:p>
      <w:pPr>
        <w:pStyle w:val="ListParagraph"/>
        <w:numPr>
          <w:ilvl w:val="0"/>
          <w:numId w:val="2"/>
        </w:numPr>
        <w:spacing w:after="40" w:before="40"/>
        <w:ind w:left="480" w:hanging="240"/>
      </w:pPr>
      <w:r>
        <w:rPr>
          <w:rFonts w:ascii="Arial" w:cs="Arial" w:eastAsia="Arial" w:hAnsi="Arial"/>
          <w:color w:val="10121A"/>
          <w:sz w:val="20"/>
          <w:szCs w:val="20"/>
        </w:rPr>
        <w:t xml:space="preserve">Output: tier, score, signals array, suggested angle, network size estimate, referral revenue estimate, Crossbeam overlap data</w:t>
      </w:r>
    </w:p>
    <w:p>
      <w:pPr>
        <w:pStyle w:val="ListParagraph"/>
        <w:numPr>
          <w:ilvl w:val="0"/>
          <w:numId w:val="2"/>
        </w:numPr>
        <w:spacing w:after="40" w:before="40"/>
        <w:ind w:left="480" w:hanging="240"/>
      </w:pPr>
      <w:r>
        <w:rPr>
          <w:rFonts w:ascii="Arial" w:cs="Arial" w:eastAsia="Arial" w:hAnsi="Arial"/>
          <w:color w:val="10121A"/>
          <w:sz w:val="20"/>
          <w:szCs w:val="20"/>
        </w:rPr>
        <w:t xml:space="preserve">Rate limiting: 1 account per second, exponential backoff on 429s (same pattern as existing tools)</w:t>
      </w:r>
    </w:p>
    <w:p>
      <w:pPr>
        <w:spacing w:after="240" w:before="0"/>
      </w:pPr>
    </w:p>
    <w:p>
      <w:pPr>
        <w:pStyle w:val="Heading2"/>
        <w:spacing w:after="120" w:before="280"/>
      </w:pPr>
      <w:r>
        <w:rPr>
          <w:rFonts w:ascii="Arial" w:cs="Arial" w:eastAsia="Arial" w:hAnsi="Arial"/>
          <w:b/>
          <w:bCs/>
          <w:color w:val="10121A"/>
          <w:sz w:val="26"/>
          <w:szCs w:val="26"/>
        </w:rPr>
        <w:t xml:space="preserve">Phase 2: Salesforce Integration Layer (3–4 days)</w:t>
      </w:r>
    </w:p>
    <w:p>
      <w:pPr>
        <w:spacing w:after="100" w:before="60"/>
      </w:pPr>
      <w:r>
        <w:rPr>
          <w:rFonts w:ascii="Arial" w:cs="Arial" w:eastAsia="Arial" w:hAnsi="Arial"/>
          <w:color w:val="10121A"/>
          <w:sz w:val="20"/>
          <w:szCs w:val="20"/>
        </w:rPr>
        <w:t xml:space="preserve">Server-side job that connects the scoring API to Salesforce.</w:t>
      </w:r>
    </w:p>
    <w:p>
      <w:pPr>
        <w:spacing w:after="120" w:before="0"/>
      </w:pPr>
    </w:p>
    <w:p>
      <w:pPr>
        <w:pStyle w:val="ListParagraph"/>
        <w:numPr>
          <w:ilvl w:val="0"/>
          <w:numId w:val="2"/>
        </w:numPr>
        <w:spacing w:after="40" w:before="40"/>
        <w:ind w:left="480" w:hanging="240"/>
      </w:pPr>
      <w:r>
        <w:rPr>
          <w:rFonts w:ascii="Arial" w:cs="Arial" w:eastAsia="Arial" w:hAnsi="Arial"/>
          <w:color w:val="10121A"/>
          <w:sz w:val="20"/>
          <w:szCs w:val="20"/>
        </w:rPr>
        <w:t xml:space="preserve">Salesforce Connected App setup with OAuth 2.0 client credentials (GTM Systems / Salesforce Admin)</w:t>
      </w:r>
    </w:p>
    <w:p>
      <w:pPr>
        <w:pStyle w:val="ListParagraph"/>
        <w:numPr>
          <w:ilvl w:val="0"/>
          <w:numId w:val="2"/>
        </w:numPr>
        <w:spacing w:after="40" w:before="40"/>
        <w:ind w:left="480" w:hanging="240"/>
      </w:pPr>
      <w:r>
        <w:rPr>
          <w:rFonts w:ascii="Arial" w:cs="Arial" w:eastAsia="Arial" w:hAnsi="Arial"/>
          <w:color w:val="10121A"/>
          <w:sz w:val="20"/>
          <w:szCs w:val="20"/>
        </w:rPr>
        <w:t xml:space="preserve">Batch export job: query Salesforce for unscored or stale accounts (‘Partnership_Score_Date__c is null OR &lt; 30 days ago’)</w:t>
      </w:r>
    </w:p>
    <w:p>
      <w:pPr>
        <w:pStyle w:val="ListParagraph"/>
        <w:numPr>
          <w:ilvl w:val="0"/>
          <w:numId w:val="2"/>
        </w:numPr>
        <w:spacing w:after="40" w:before="40"/>
        <w:ind w:left="480" w:hanging="240"/>
      </w:pPr>
      <w:r>
        <w:rPr>
          <w:rFonts w:ascii="Arial" w:cs="Arial" w:eastAsia="Arial" w:hAnsi="Arial"/>
          <w:color w:val="10121A"/>
          <w:sz w:val="20"/>
          <w:szCs w:val="20"/>
        </w:rPr>
        <w:t xml:space="preserve">Send accounts to scoring API in batches of 50</w:t>
      </w:r>
    </w:p>
    <w:p>
      <w:pPr>
        <w:pStyle w:val="ListParagraph"/>
        <w:numPr>
          <w:ilvl w:val="0"/>
          <w:numId w:val="2"/>
        </w:numPr>
        <w:spacing w:after="40" w:before="40"/>
        <w:ind w:left="480" w:hanging="240"/>
      </w:pPr>
      <w:r>
        <w:rPr>
          <w:rFonts w:ascii="Arial" w:cs="Arial" w:eastAsia="Arial" w:hAnsi="Arial"/>
          <w:color w:val="10121A"/>
          <w:sz w:val="20"/>
          <w:szCs w:val="20"/>
        </w:rPr>
        <w:t xml:space="preserve">Write results back to Salesforce custom fields via REST API PATCH</w:t>
      </w:r>
    </w:p>
    <w:p>
      <w:pPr>
        <w:pStyle w:val="ListParagraph"/>
        <w:numPr>
          <w:ilvl w:val="0"/>
          <w:numId w:val="2"/>
        </w:numPr>
        <w:spacing w:after="40" w:before="40"/>
        <w:ind w:left="480" w:hanging="240"/>
      </w:pPr>
      <w:r>
        <w:rPr>
          <w:rFonts w:ascii="Arial" w:cs="Arial" w:eastAsia="Arial" w:hAnsi="Arial"/>
          <w:color w:val="10121A"/>
          <w:sz w:val="20"/>
          <w:szCs w:val="20"/>
        </w:rPr>
        <w:t xml:space="preserve">Logging and error handling: failed accounts queued for retry</w:t>
      </w:r>
    </w:p>
    <w:p>
      <w:pPr>
        <w:spacing w:after="240" w:before="0"/>
      </w:pPr>
    </w:p>
    <w:p>
      <w:pPr>
        <w:pStyle w:val="Heading2"/>
        <w:spacing w:after="120" w:before="280"/>
      </w:pPr>
      <w:r>
        <w:rPr>
          <w:rFonts w:ascii="Arial" w:cs="Arial" w:eastAsia="Arial" w:hAnsi="Arial"/>
          <w:b/>
          <w:bCs/>
          <w:color w:val="10121A"/>
          <w:sz w:val="26"/>
          <w:szCs w:val="26"/>
        </w:rPr>
        <w:t xml:space="preserve">Phase 3: Salesforce List Views &amp; Reports (1 day)</w:t>
      </w:r>
    </w:p>
    <w:p>
      <w:pPr>
        <w:spacing w:after="100" w:before="60"/>
      </w:pPr>
      <w:r>
        <w:rPr>
          <w:rFonts w:ascii="Arial" w:cs="Arial" w:eastAsia="Arial" w:hAnsi="Arial"/>
          <w:color w:val="10121A"/>
          <w:sz w:val="20"/>
          <w:szCs w:val="20"/>
        </w:rPr>
        <w:t xml:space="preserve">Configuration work in Salesforce — no code required.</w:t>
      </w:r>
    </w:p>
    <w:p>
      <w:pPr>
        <w:spacing w:after="120" w:before="0"/>
      </w:pPr>
    </w:p>
    <w:p>
      <w:pPr>
        <w:pStyle w:val="ListParagraph"/>
        <w:numPr>
          <w:ilvl w:val="0"/>
          <w:numId w:val="2"/>
        </w:numPr>
        <w:spacing w:after="40" w:before="40"/>
        <w:ind w:left="480" w:hanging="240"/>
      </w:pPr>
      <w:r>
        <w:rPr>
          <w:rFonts w:ascii="Arial" w:cs="Arial" w:eastAsia="Arial" w:hAnsi="Arial"/>
          <w:color w:val="10121A"/>
          <w:sz w:val="20"/>
          <w:szCs w:val="20"/>
        </w:rPr>
        <w:t xml:space="preserve">Create the 9 custom fields on the Account object</w:t>
      </w:r>
    </w:p>
    <w:p>
      <w:pPr>
        <w:pStyle w:val="ListParagraph"/>
        <w:numPr>
          <w:ilvl w:val="0"/>
          <w:numId w:val="2"/>
        </w:numPr>
        <w:spacing w:after="40" w:before="40"/>
        <w:ind w:left="480" w:hanging="240"/>
      </w:pPr>
      <w:r>
        <w:rPr>
          <w:rFonts w:ascii="Arial" w:cs="Arial" w:eastAsia="Arial" w:hAnsi="Arial"/>
          <w:color w:val="10121A"/>
          <w:sz w:val="20"/>
          <w:szCs w:val="20"/>
        </w:rPr>
        <w:t xml:space="preserve">Create ‘Partnership Candidates’ list view</w:t>
      </w:r>
    </w:p>
    <w:p>
      <w:pPr>
        <w:pStyle w:val="ListParagraph"/>
        <w:numPr>
          <w:ilvl w:val="0"/>
          <w:numId w:val="2"/>
        </w:numPr>
        <w:spacing w:after="40" w:before="40"/>
        <w:ind w:left="480" w:hanging="240"/>
      </w:pPr>
      <w:r>
        <w:rPr>
          <w:rFonts w:ascii="Arial" w:cs="Arial" w:eastAsia="Arial" w:hAnsi="Arial"/>
          <w:color w:val="10121A"/>
          <w:sz w:val="20"/>
          <w:szCs w:val="20"/>
        </w:rPr>
        <w:t xml:space="preserve">Create ‘Existing Customers with Partnership Potential’ report</w:t>
      </w:r>
    </w:p>
    <w:p>
      <w:pPr>
        <w:pStyle w:val="ListParagraph"/>
        <w:numPr>
          <w:ilvl w:val="0"/>
          <w:numId w:val="2"/>
        </w:numPr>
        <w:spacing w:after="40" w:before="40"/>
        <w:ind w:left="480" w:hanging="240"/>
      </w:pPr>
      <w:r>
        <w:rPr>
          <w:rFonts w:ascii="Arial" w:cs="Arial" w:eastAsia="Arial" w:hAnsi="Arial"/>
          <w:color w:val="10121A"/>
          <w:sz w:val="20"/>
          <w:szCs w:val="20"/>
        </w:rPr>
        <w:t xml:space="preserve">Add Partnership Tier and Score to the Account page layout</w:t>
      </w:r>
    </w:p>
    <w:p>
      <w:pPr>
        <w:pStyle w:val="ListParagraph"/>
        <w:numPr>
          <w:ilvl w:val="0"/>
          <w:numId w:val="2"/>
        </w:numPr>
        <w:spacing w:after="40" w:before="40"/>
        <w:ind w:left="480" w:hanging="240"/>
      </w:pPr>
      <w:r>
        <w:rPr>
          <w:rFonts w:ascii="Arial" w:cs="Arial" w:eastAsia="Arial" w:hAnsi="Arial"/>
          <w:color w:val="10121A"/>
          <w:sz w:val="20"/>
          <w:szCs w:val="20"/>
        </w:rPr>
        <w:t xml:space="preserve">Set up scheduled report email to partnerships team</w:t>
      </w:r>
    </w:p>
    <w:p>
      <w:pPr>
        <w:spacing w:after="240" w:before="0"/>
      </w:pPr>
    </w:p>
    <w:p>
      <w:pPr>
        <w:pStyle w:val="Heading2"/>
        <w:spacing w:after="120" w:before="280"/>
      </w:pPr>
      <w:r>
        <w:rPr>
          <w:rFonts w:ascii="Arial" w:cs="Arial" w:eastAsia="Arial" w:hAnsi="Arial"/>
          <w:b/>
          <w:bCs/>
          <w:color w:val="10121A"/>
          <w:sz w:val="26"/>
          <w:szCs w:val="26"/>
        </w:rPr>
        <w:t xml:space="preserve">Phase 4: BD Agent Integration (2–3 days)</w:t>
      </w:r>
    </w:p>
    <w:p>
      <w:pPr>
        <w:spacing w:after="100" w:before="60"/>
      </w:pPr>
      <w:r>
        <w:rPr>
          <w:rFonts w:ascii="Arial" w:cs="Arial" w:eastAsia="Arial" w:hAnsi="Arial"/>
          <w:color w:val="10121A"/>
          <w:sz w:val="20"/>
          <w:szCs w:val="20"/>
        </w:rPr>
        <w:t xml:space="preserve">Connect the scoring output to the existing BD agent so Tier 1 accounts flow directly into the outreach workflow.</w:t>
      </w:r>
    </w:p>
    <w:p>
      <w:pPr>
        <w:spacing w:after="120" w:before="0"/>
      </w:pPr>
    </w:p>
    <w:p>
      <w:pPr>
        <w:pStyle w:val="ListParagraph"/>
        <w:numPr>
          <w:ilvl w:val="0"/>
          <w:numId w:val="2"/>
        </w:numPr>
        <w:spacing w:after="40" w:before="40"/>
        <w:ind w:left="480" w:hanging="240"/>
      </w:pPr>
      <w:r>
        <w:rPr>
          <w:rFonts w:ascii="Arial" w:cs="Arial" w:eastAsia="Arial" w:hAnsi="Arial"/>
          <w:color w:val="10121A"/>
          <w:sz w:val="20"/>
          <w:szCs w:val="20"/>
        </w:rPr>
        <w:t xml:space="preserve">When an account is scored Tier 1 in Salesforce, it is automatically added to the BD agent’s pipeline with pre-populated research and a suggested outreach angle</w:t>
      </w:r>
    </w:p>
    <w:p>
      <w:pPr>
        <w:pStyle w:val="ListParagraph"/>
        <w:numPr>
          <w:ilvl w:val="0"/>
          <w:numId w:val="2"/>
        </w:numPr>
        <w:spacing w:after="40" w:before="40"/>
        <w:ind w:left="480" w:hanging="240"/>
      </w:pPr>
      <w:r>
        <w:rPr>
          <w:rFonts w:ascii="Arial" w:cs="Arial" w:eastAsia="Arial" w:hAnsi="Arial"/>
          <w:color w:val="10121A"/>
          <w:sz w:val="20"/>
          <w:szCs w:val="20"/>
        </w:rPr>
        <w:t xml:space="preserve">The BD agent uses the Partnership_Angle__c field and Crossbeam overlap data to generate a personalized first email</w:t>
      </w:r>
    </w:p>
    <w:p>
      <w:pPr>
        <w:pStyle w:val="ListParagraph"/>
        <w:numPr>
          <w:ilvl w:val="0"/>
          <w:numId w:val="2"/>
        </w:numPr>
        <w:spacing w:after="40" w:before="40"/>
        <w:ind w:left="480" w:hanging="240"/>
      </w:pPr>
      <w:r>
        <w:rPr>
          <w:rFonts w:ascii="Arial" w:cs="Arial" w:eastAsia="Arial" w:hAnsi="Arial"/>
          <w:color w:val="10121A"/>
          <w:sz w:val="20"/>
          <w:szCs w:val="20"/>
        </w:rPr>
        <w:t xml:space="preserve">Follow-up sequences use the ‘warm path’ angle if Warm_Path_Available__c = true</w:t>
      </w:r>
    </w:p>
    <w:p>
      <w:pPr>
        <w:spacing w:after="240" w:before="0"/>
      </w:pPr>
    </w:p>
    <w:p>
      <w:pPr>
        <w:pStyle w:val="Heading2"/>
        <w:spacing w:after="120" w:before="280"/>
      </w:pPr>
      <w:r>
        <w:rPr>
          <w:rFonts w:ascii="Arial" w:cs="Arial" w:eastAsia="Arial" w:hAnsi="Arial"/>
          <w:b/>
          <w:bCs/>
          <w:color w:val="10121A"/>
          <w:sz w:val="26"/>
          <w:szCs w:val="26"/>
        </w:rPr>
        <w:t xml:space="preserve">Estimated Total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65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Estimated 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Phase 1: Scoring Engine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4–5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Phase 2: Salesforce Integration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3–4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Phase 3: Salesforce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1 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Phase 4: BD Agent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2–3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Testing &amp; QA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2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12–15 days (2.5–3 weeks)</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9. Additional Ideas &amp; Enhancements</w:t>
      </w:r>
    </w:p>
    <w:p>
      <w:pPr>
        <w:spacing w:after="100" w:before="60"/>
      </w:pPr>
      <w:r>
        <w:rPr>
          <w:rFonts w:ascii="Arial" w:cs="Arial" w:eastAsia="Arial" w:hAnsi="Arial"/>
          <w:color w:val="10121A"/>
          <w:sz w:val="20"/>
          <w:szCs w:val="20"/>
        </w:rPr>
        <w:t xml:space="preserve">Ideas that should be considered for V2 or beyond:</w:t>
      </w:r>
    </w:p>
    <w:p>
      <w:pPr>
        <w:spacing w:after="120" w:before="0"/>
      </w:pPr>
    </w:p>
    <w:p>
      <w:pPr>
        <w:spacing w:after="80" w:before="200"/>
      </w:pPr>
      <w:r>
        <w:rPr>
          <w:rFonts w:ascii="Arial" w:cs="Arial" w:eastAsia="Arial" w:hAnsi="Arial"/>
          <w:b/>
          <w:bCs/>
          <w:color w:val="1C3A6B"/>
          <w:sz w:val="22"/>
          <w:szCs w:val="22"/>
        </w:rPr>
        <w:t xml:space="preserve">Spend-Based Partner Triggers</w:t>
      </w:r>
    </w:p>
    <w:p>
      <w:pPr>
        <w:spacing w:after="100" w:before="60"/>
      </w:pPr>
      <w:r>
        <w:rPr>
          <w:rFonts w:ascii="Arial" w:cs="Arial" w:eastAsia="Arial" w:hAnsi="Arial"/>
          <w:color w:val="10121A"/>
          <w:sz w:val="20"/>
          <w:szCs w:val="20"/>
        </w:rPr>
        <w:t xml:space="preserve">Engine’s booking data is the most underutilized signal. An account that has booked 50+ room nights in the last quarter and has a member base should be automatically flagged for partnership review. The spend data proves the travel is real — the question is just whether their network has the same need.</w:t>
      </w:r>
    </w:p>
    <w:p>
      <w:pPr>
        <w:spacing w:after="120" w:before="0"/>
      </w:pPr>
    </w:p>
    <w:p>
      <w:pPr>
        <w:spacing w:after="80" w:before="200"/>
      </w:pPr>
      <w:r>
        <w:rPr>
          <w:rFonts w:ascii="Arial" w:cs="Arial" w:eastAsia="Arial" w:hAnsi="Arial"/>
          <w:b/>
          <w:bCs/>
          <w:color w:val="1C3A6B"/>
          <w:sz w:val="22"/>
          <w:szCs w:val="22"/>
        </w:rPr>
        <w:t xml:space="preserve">Event Detection as a Partnership Trigger</w:t>
      </w:r>
    </w:p>
    <w:p>
      <w:pPr>
        <w:spacing w:after="100" w:before="60"/>
      </w:pPr>
      <w:r>
        <w:rPr>
          <w:rFonts w:ascii="Arial" w:cs="Arial" w:eastAsia="Arial" w:hAnsi="Arial"/>
          <w:color w:val="10121A"/>
          <w:sz w:val="20"/>
          <w:szCs w:val="20"/>
        </w:rPr>
        <w:t xml:space="preserve">When an account books a hotel block (10+ rooms, same dates), it is almost certainly running an event. That is the perfect moment to reach out about making Engine the official hotel partner for their next event. An automated Salesforce alert could notify the partnerships team when a group booking is detected from an account with a Tier 1 or Tier 2 partnership score.</w:t>
      </w:r>
    </w:p>
    <w:p>
      <w:pPr>
        <w:spacing w:after="120" w:before="0"/>
      </w:pPr>
    </w:p>
    <w:p>
      <w:pPr>
        <w:spacing w:after="80" w:before="200"/>
      </w:pPr>
      <w:r>
        <w:rPr>
          <w:rFonts w:ascii="Arial" w:cs="Arial" w:eastAsia="Arial" w:hAnsi="Arial"/>
          <w:b/>
          <w:bCs/>
          <w:color w:val="1C3A6B"/>
          <w:sz w:val="22"/>
          <w:szCs w:val="22"/>
        </w:rPr>
        <w:t xml:space="preserve">Partner Health Scoring for Existing Partners</w:t>
      </w:r>
    </w:p>
    <w:p>
      <w:pPr>
        <w:spacing w:after="100" w:before="60"/>
      </w:pPr>
      <w:r>
        <w:rPr>
          <w:rFonts w:ascii="Arial" w:cs="Arial" w:eastAsia="Arial" w:hAnsi="Arial"/>
          <w:color w:val="10121A"/>
          <w:sz w:val="20"/>
          <w:szCs w:val="20"/>
        </w:rPr>
        <w:t xml:space="preserve">The same framework should eventually be applied to existing partners — not just to find new ones but to score the health of current partnerships. A partner who runs events, has an active member directory, and sends regular communications is a healthier partner than one who signed an agreement and went quiet. Tracking this in Salesforce would help the partnerships team prioritize relationship management.</w:t>
      </w:r>
    </w:p>
    <w:p>
      <w:pPr>
        <w:spacing w:after="120" w:before="0"/>
      </w:pPr>
    </w:p>
    <w:p>
      <w:pPr>
        <w:spacing w:after="80" w:before="200"/>
      </w:pPr>
      <w:r>
        <w:rPr>
          <w:rFonts w:ascii="Arial" w:cs="Arial" w:eastAsia="Arial" w:hAnsi="Arial"/>
          <w:b/>
          <w:bCs/>
          <w:color w:val="1C3A6B"/>
          <w:sz w:val="22"/>
          <w:szCs w:val="22"/>
        </w:rPr>
        <w:t xml:space="preserve">Member Base Estimator</w:t>
      </w:r>
    </w:p>
    <w:p>
      <w:pPr>
        <w:spacing w:after="100" w:before="60"/>
      </w:pPr>
      <w:r>
        <w:rPr>
          <w:rFonts w:ascii="Arial" w:cs="Arial" w:eastAsia="Arial" w:hAnsi="Arial"/>
          <w:color w:val="10121A"/>
          <w:sz w:val="20"/>
          <w:szCs w:val="20"/>
        </w:rPr>
        <w:t xml:space="preserve">ZoomInfo and web research often surface a member count for associations and trade organizations. This should be stored in a Salesforce field and updated quarterly. The referral revenue estimate compounds dramatically with accurate member counts — a 1,000-member association vs. a 50-member association represents a 20x difference in potential.</w:t>
      </w:r>
    </w:p>
    <w:p>
      <w:pPr>
        <w:spacing w:after="120" w:before="0"/>
      </w:pPr>
    </w:p>
    <w:p>
      <w:pPr>
        <w:spacing w:after="80" w:before="200"/>
      </w:pPr>
      <w:r>
        <w:rPr>
          <w:rFonts w:ascii="Arial" w:cs="Arial" w:eastAsia="Arial" w:hAnsi="Arial"/>
          <w:b/>
          <w:bCs/>
          <w:color w:val="1C3A6B"/>
          <w:sz w:val="22"/>
          <w:szCs w:val="22"/>
        </w:rPr>
        <w:t xml:space="preserve">Competitor Partner Intelligence</w:t>
      </w:r>
    </w:p>
    <w:p>
      <w:pPr>
        <w:spacing w:after="100" w:before="60"/>
      </w:pPr>
      <w:r>
        <w:rPr>
          <w:rFonts w:ascii="Arial" w:cs="Arial" w:eastAsia="Arial" w:hAnsi="Arial"/>
          <w:color w:val="10121A"/>
          <w:sz w:val="20"/>
          <w:szCs w:val="20"/>
        </w:rPr>
        <w:t xml:space="preserve">Crossbeam’s ELG (Ecosystem-Led Growth) data can show which companies are partners of competitor hotel booking platforms. These companies are pre-qualified — they already believe in the hotel partnership model. They represent a poachable pool of potential Engine partners.</w:t>
      </w:r>
    </w:p>
    <w:p>
      <w:pPr>
        <w:spacing w:after="120" w:before="0"/>
      </w:pPr>
    </w:p>
    <w:p>
      <w:pPr>
        <w:spacing w:after="80" w:before="200"/>
      </w:pPr>
      <w:r>
        <w:rPr>
          <w:rFonts w:ascii="Arial" w:cs="Arial" w:eastAsia="Arial" w:hAnsi="Arial"/>
          <w:b/>
          <w:bCs/>
          <w:color w:val="1C3A6B"/>
          <w:sz w:val="22"/>
          <w:szCs w:val="22"/>
        </w:rPr>
        <w:t xml:space="preserve">Automated Outreach on Tier Upgrade</w:t>
      </w:r>
    </w:p>
    <w:p>
      <w:pPr>
        <w:spacing w:after="100" w:before="60"/>
      </w:pPr>
      <w:r>
        <w:rPr>
          <w:rFonts w:ascii="Arial" w:cs="Arial" w:eastAsia="Arial" w:hAnsi="Arial"/>
          <w:color w:val="10121A"/>
          <w:sz w:val="20"/>
          <w:szCs w:val="20"/>
        </w:rPr>
        <w:t xml:space="preserve">When an account’s partnership tier changes from T2 to T1 (due to a Crossbeam overlap being detected, a new event being found, or a group booking triggering the system), a Salesforce Flow could automatically create a task for the partnerships team and pre-populate a draft outreach email via the BD agent.</w:t>
      </w:r>
    </w:p>
    <w:p>
      <w:pPr>
        <w:spacing w:after="240" w:before="0"/>
      </w:pPr>
    </w:p>
    <w:p>
      <w:r>
        <w:br w:type="page"/>
      </w:r>
    </w:p>
    <w:p>
      <w:pPr>
        <w:pStyle w:val="Heading1"/>
        <w:spacing w:after="160" w:before="360"/>
      </w:pPr>
      <w:r>
        <w:rPr>
          <w:rFonts w:ascii="Arial" w:cs="Arial" w:eastAsia="Arial" w:hAnsi="Arial"/>
          <w:b/>
          <w:bCs/>
          <w:color w:val="1C3A6B"/>
          <w:sz w:val="32"/>
          <w:szCs w:val="32"/>
        </w:rPr>
        <w:t xml:space="preserve">10. Summary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pPr>
              <w:spacing w:after="0" w:before="0"/>
            </w:pPr>
            <w:r>
              <w:rPr>
                <w:rFonts w:ascii="Arial" w:cs="Arial" w:eastAsia="Arial" w:hAnsi="Arial"/>
                <w:b/>
                <w:bCs/>
                <w:color w:val="1C3A6B"/>
                <w:sz w:val="20"/>
                <w:szCs w:val="20"/>
              </w:rPr>
              <w:t xml:space="preserve">The Core Insight: </w:t>
            </w:r>
            <w:r>
              <w:rPr>
                <w:rFonts w:ascii="Arial" w:cs="Arial" w:eastAsia="Arial" w:hAnsi="Arial"/>
                <w:color w:val="10121A"/>
                <w:sz w:val="20"/>
                <w:szCs w:val="20"/>
              </w:rPr>
              <w:t xml:space="preserve">Engine is sitting on its most valuable partnership leads inside its own Salesforce. Existing accounts with member bases, networks, or distribution power represent a warm path to partnership conversations that cold outreach can never replicate. The Partnership Intelligence System makes those accounts visible, scored, and actionable — automatically.</w:t>
            </w:r>
          </w:p>
        </w:tc>
      </w:tr>
    </w:tbl>
    <w:p>
      <w:pPr>
        <w:spacing w:after="240" w:before="0"/>
      </w:pPr>
    </w:p>
    <w:p>
      <w:pPr>
        <w:pStyle w:val="Heading2"/>
        <w:spacing w:after="120" w:before="280"/>
      </w:pPr>
      <w:r>
        <w:rPr>
          <w:rFonts w:ascii="Arial" w:cs="Arial" w:eastAsia="Arial" w:hAnsi="Arial"/>
          <w:b/>
          <w:bCs/>
          <w:color w:val="10121A"/>
          <w:sz w:val="26"/>
          <w:szCs w:val="26"/>
        </w:rPr>
        <w:t xml:space="preserve">What This System Delivers</w:t>
      </w:r>
    </w:p>
    <w:p>
      <w:pPr>
        <w:pStyle w:val="ListParagraph"/>
        <w:numPr>
          <w:ilvl w:val="0"/>
          <w:numId w:val="2"/>
        </w:numPr>
        <w:spacing w:after="40" w:before="40"/>
        <w:ind w:left="480" w:hanging="240"/>
      </w:pPr>
      <w:r>
        <w:rPr>
          <w:rFonts w:ascii="Arial" w:cs="Arial" w:eastAsia="Arial" w:hAnsi="Arial"/>
          <w:color w:val="10121A"/>
          <w:sz w:val="20"/>
          <w:szCs w:val="20"/>
        </w:rPr>
        <w:t xml:space="preserve">A scored, tiered view of every Salesforce account by partnership fit — updated automatically</w:t>
      </w:r>
    </w:p>
    <w:p>
      <w:pPr>
        <w:pStyle w:val="ListParagraph"/>
        <w:numPr>
          <w:ilvl w:val="0"/>
          <w:numId w:val="2"/>
        </w:numPr>
        <w:spacing w:after="40" w:before="40"/>
        <w:ind w:left="480" w:hanging="240"/>
      </w:pPr>
      <w:r>
        <w:rPr>
          <w:rFonts w:ascii="Arial" w:cs="Arial" w:eastAsia="Arial" w:hAnsi="Arial"/>
          <w:color w:val="10121A"/>
          <w:sz w:val="20"/>
          <w:szCs w:val="20"/>
        </w:rPr>
        <w:t xml:space="preserve">A dedicated list view for the partnerships team showing the highest-value targets</w:t>
      </w:r>
    </w:p>
    <w:p>
      <w:pPr>
        <w:pStyle w:val="ListParagraph"/>
        <w:numPr>
          <w:ilvl w:val="0"/>
          <w:numId w:val="2"/>
        </w:numPr>
        <w:spacing w:after="40" w:before="40"/>
        <w:ind w:left="480" w:hanging="240"/>
      </w:pPr>
      <w:r>
        <w:rPr>
          <w:rFonts w:ascii="Arial" w:cs="Arial" w:eastAsia="Arial" w:hAnsi="Arial"/>
          <w:color w:val="10121A"/>
          <w:sz w:val="20"/>
          <w:szCs w:val="20"/>
        </w:rPr>
        <w:t xml:space="preserve">Warm path identification: existing customers with network/distribution potential highlighted first</w:t>
      </w:r>
    </w:p>
    <w:p>
      <w:pPr>
        <w:pStyle w:val="ListParagraph"/>
        <w:numPr>
          <w:ilvl w:val="0"/>
          <w:numId w:val="2"/>
        </w:numPr>
        <w:spacing w:after="40" w:before="40"/>
        <w:ind w:left="480" w:hanging="240"/>
      </w:pPr>
      <w:r>
        <w:rPr>
          <w:rFonts w:ascii="Arial" w:cs="Arial" w:eastAsia="Arial" w:hAnsi="Arial"/>
          <w:color w:val="10121A"/>
          <w:sz w:val="20"/>
          <w:szCs w:val="20"/>
        </w:rPr>
        <w:t xml:space="preserve">Crossbeam overlap signals integrated into every account record</w:t>
      </w:r>
    </w:p>
    <w:p>
      <w:pPr>
        <w:pStyle w:val="ListParagraph"/>
        <w:numPr>
          <w:ilvl w:val="0"/>
          <w:numId w:val="2"/>
        </w:numPr>
        <w:spacing w:after="40" w:before="40"/>
        <w:ind w:left="480" w:hanging="240"/>
      </w:pPr>
      <w:r>
        <w:rPr>
          <w:rFonts w:ascii="Arial" w:cs="Arial" w:eastAsia="Arial" w:hAnsi="Arial"/>
          <w:color w:val="10121A"/>
          <w:sz w:val="20"/>
          <w:szCs w:val="20"/>
        </w:rPr>
        <w:t xml:space="preserve">Automated outreach angle generation for Tier 1 accounts</w:t>
      </w:r>
    </w:p>
    <w:p>
      <w:pPr>
        <w:pStyle w:val="ListParagraph"/>
        <w:numPr>
          <w:ilvl w:val="0"/>
          <w:numId w:val="2"/>
        </w:numPr>
        <w:spacing w:after="40" w:before="40"/>
        <w:ind w:left="480" w:hanging="240"/>
      </w:pPr>
      <w:r>
        <w:rPr>
          <w:rFonts w:ascii="Arial" w:cs="Arial" w:eastAsia="Arial" w:hAnsi="Arial"/>
          <w:color w:val="10121A"/>
          <w:sz w:val="20"/>
          <w:szCs w:val="20"/>
        </w:rPr>
        <w:t xml:space="preserve">Referral revenue estimates to support the partnership pitch</w:t>
      </w:r>
    </w:p>
    <w:p>
      <w:pPr>
        <w:spacing w:after="240" w:before="0"/>
      </w:pPr>
    </w:p>
    <w:p>
      <w:pPr>
        <w:pStyle w:val="Heading2"/>
        <w:spacing w:after="120" w:before="280"/>
      </w:pPr>
      <w:r>
        <w:rPr>
          <w:rFonts w:ascii="Arial" w:cs="Arial" w:eastAsia="Arial" w:hAnsi="Arial"/>
          <w:b/>
          <w:bCs/>
          <w:color w:val="10121A"/>
          <w:sz w:val="26"/>
          <w:szCs w:val="26"/>
        </w:rPr>
        <w:t xml:space="preserve">Immediate Next Steps</w:t>
      </w:r>
    </w:p>
    <w:p>
      <w:pPr>
        <w:pStyle w:val="ListParagraph"/>
        <w:numPr>
          <w:ilvl w:val="0"/>
          <w:numId w:val="3"/>
        </w:numPr>
        <w:spacing w:after="40" w:before="40"/>
        <w:ind w:left="480" w:hanging="240"/>
      </w:pPr>
      <w:r>
        <w:rPr>
          <w:rFonts w:ascii="Arial" w:cs="Arial" w:eastAsia="Arial" w:hAnsi="Arial"/>
          <w:color w:val="10121A"/>
          <w:sz w:val="20"/>
          <w:szCs w:val="20"/>
        </w:rPr>
        <w:t xml:space="preserve">Present this framework to the partnerships and GTM systems team for feedback</w:t>
      </w:r>
    </w:p>
    <w:p>
      <w:pPr>
        <w:pStyle w:val="ListParagraph"/>
        <w:numPr>
          <w:ilvl w:val="0"/>
          <w:numId w:val="3"/>
        </w:numPr>
        <w:spacing w:after="40" w:before="40"/>
        <w:ind w:left="480" w:hanging="240"/>
      </w:pPr>
      <w:r>
        <w:rPr>
          <w:rFonts w:ascii="Arial" w:cs="Arial" w:eastAsia="Arial" w:hAnsi="Arial"/>
          <w:color w:val="10121A"/>
          <w:sz w:val="20"/>
          <w:szCs w:val="20"/>
        </w:rPr>
        <w:t xml:space="preserve">GTM Systems to confirm Salesforce Connected App feasibility and custom field creation</w:t>
      </w:r>
    </w:p>
    <w:p>
      <w:pPr>
        <w:pStyle w:val="ListParagraph"/>
        <w:numPr>
          <w:ilvl w:val="0"/>
          <w:numId w:val="3"/>
        </w:numPr>
        <w:spacing w:after="40" w:before="40"/>
        <w:ind w:left="480" w:hanging="240"/>
      </w:pPr>
      <w:r>
        <w:rPr>
          <w:rFonts w:ascii="Arial" w:cs="Arial" w:eastAsia="Arial" w:hAnsi="Arial"/>
          <w:color w:val="10121A"/>
          <w:sz w:val="20"/>
          <w:szCs w:val="20"/>
        </w:rPr>
        <w:t xml:space="preserve">Run a manual pilot: pull 50 existing Engine customers and score them manually against the framework to validate the signal quality</w:t>
      </w:r>
    </w:p>
    <w:p>
      <w:pPr>
        <w:pStyle w:val="ListParagraph"/>
        <w:numPr>
          <w:ilvl w:val="0"/>
          <w:numId w:val="3"/>
        </w:numPr>
        <w:spacing w:after="40" w:before="40"/>
        <w:ind w:left="480" w:hanging="240"/>
      </w:pPr>
      <w:r>
        <w:rPr>
          <w:rFonts w:ascii="Arial" w:cs="Arial" w:eastAsia="Arial" w:hAnsi="Arial"/>
          <w:color w:val="10121A"/>
          <w:sz w:val="20"/>
          <w:szCs w:val="20"/>
        </w:rPr>
        <w:t xml:space="preserve">Define partnership tiers with the BD team lead to calibrate scoring thresholds</w:t>
      </w:r>
    </w:p>
    <w:p>
      <w:pPr>
        <w:pStyle w:val="ListParagraph"/>
        <w:numPr>
          <w:ilvl w:val="0"/>
          <w:numId w:val="3"/>
        </w:numPr>
        <w:spacing w:after="40" w:before="40"/>
        <w:ind w:left="480" w:hanging="240"/>
      </w:pPr>
      <w:r>
        <w:rPr>
          <w:rFonts w:ascii="Arial" w:cs="Arial" w:eastAsia="Arial" w:hAnsi="Arial"/>
          <w:color w:val="10121A"/>
          <w:sz w:val="20"/>
          <w:szCs w:val="20"/>
        </w:rPr>
        <w:t xml:space="preserve">Get Crossbeam API key added to environment to unlock overlap intelligence</w:t>
      </w:r>
    </w:p>
    <w:p>
      <w:pPr>
        <w:pStyle w:val="ListParagraph"/>
        <w:numPr>
          <w:ilvl w:val="0"/>
          <w:numId w:val="3"/>
        </w:numPr>
        <w:spacing w:after="40" w:before="40"/>
        <w:ind w:left="480" w:hanging="240"/>
      </w:pPr>
      <w:r>
        <w:rPr>
          <w:rFonts w:ascii="Arial" w:cs="Arial" w:eastAsia="Arial" w:hAnsi="Arial"/>
          <w:color w:val="10121A"/>
          <w:sz w:val="20"/>
          <w:szCs w:val="20"/>
        </w:rPr>
        <w:t xml:space="preserve">Begin Phase 1 build once framework is approved</w:t>
      </w:r>
    </w:p>
    <w:p>
      <w:pPr>
        <w:spacing w:after="360" w:before="0"/>
      </w:pPr>
    </w:p>
    <w:p>
      <w:pPr>
        <w:pBdr>
          <w:bottom w:val="single" w:color="E0E0E0" w:sz="4" w:space="1"/>
        </w:pBdr>
        <w:spacing w:after="160" w:before="160"/>
      </w:pPr>
    </w:p>
    <w:p>
      <w:pPr>
        <w:spacing w:after="80" w:before="160"/>
        <w:jc w:val="center"/>
      </w:pPr>
      <w:r>
        <w:rPr>
          <w:rFonts w:ascii="Arial" w:cs="Arial" w:eastAsia="Arial" w:hAnsi="Arial"/>
          <w:i/>
          <w:iCs/>
          <w:color w:val="888888"/>
          <w:sz w:val="18"/>
          <w:szCs w:val="18"/>
        </w:rPr>
        <w:t xml:space="preserve">Questions? Contact Darren Callaghan — darren.callaghan@engine.com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888888"/>
        <w:sz w:val="17"/>
        <w:szCs w:val="17"/>
      </w:rPr>
      <w:t xml:space="preserve">Confidential — Engine Internal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pPr>
    <w:r>
      <w:rPr>
        <w:rFonts w:ascii="Arial" w:cs="Arial" w:eastAsia="Arial" w:hAnsi="Arial"/>
        <w:b/>
        <w:bCs/>
        <w:color w:val="1C3A6B"/>
        <w:sz w:val="18"/>
        <w:szCs w:val="18"/>
      </w:rPr>
      <w:t xml:space="preserve">Engine Partnership Intelligence System</w:t>
    </w:r>
    <w:r>
      <w:rPr>
        <w:rFonts w:ascii="Arial" w:cs="Arial" w:eastAsia="Arial" w:hAnsi="Arial"/>
        <w:color w:val="888888"/>
        <w:sz w:val="18"/>
        <w:szCs w:val="18"/>
      </w:rPr>
      <w:t xml:space="preserve">  |  Strategy &amp; Technical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012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2026-04-23T03:42:21.337Z</dcterms:created>
  <dcterms:modified xsi:type="dcterms:W3CDTF">2026-04-23T03:42:21.337Z</dcterms:modified>
</cp:coreProperties>
</file>

<file path=docProps/custom.xml><?xml version="1.0" encoding="utf-8"?>
<Properties xmlns="http://schemas.openxmlformats.org/officeDocument/2006/custom-properties" xmlns:vt="http://schemas.openxmlformats.org/officeDocument/2006/docPropsVTypes"/>
</file>