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FD4B23"/>
          <w:sz w:val="52"/>
          <w:szCs w:val="52"/>
        </w:rPr>
        <w:t xml:space="preserve">ENGINE AGENT</w:t>
      </w:r>
    </w:p>
    <w:p>
      <w:pPr>
        <w:spacing w:after="80" w:before="0"/>
      </w:pPr>
      <w:r>
        <w:rPr>
          <w:rFonts w:ascii="Arial" w:cs="Arial" w:eastAsia="Arial" w:hAnsi="Arial"/>
          <w:color w:val="10121A"/>
          <w:sz w:val="32"/>
          <w:szCs w:val="32"/>
        </w:rPr>
        <w:t xml:space="preserve">Partnership Prospecting AI</w:t>
      </w:r>
    </w:p>
    <w:p>
      <w:pPr>
        <w:spacing w:after="400" w:before="0"/>
      </w:pPr>
      <w:r>
        <w:rPr>
          <w:rFonts w:ascii="Arial" w:cs="Arial" w:eastAsia="Arial" w:hAnsi="Arial"/>
          <w:color w:val="616368"/>
          <w:sz w:val="22"/>
          <w:szCs w:val="22"/>
        </w:rPr>
        <w:t xml:space="preserve">Salesforce Integration Brief  ·  April 2026</w:t>
      </w: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1. What is Engine Agent?</w:t>
      </w:r>
    </w:p>
    <w:p>
      <w:pPr>
        <w:spacing w:after="140" w:before="0"/>
      </w:pPr>
      <w:r>
        <w:rPr>
          <w:rFonts w:ascii="Arial" w:cs="Arial" w:eastAsia="Arial" w:hAnsi="Arial"/>
          <w:color w:val="616368"/>
          <w:sz w:val="22"/>
          <w:szCs w:val="22"/>
        </w:rPr>
        <w:t xml:space="preserve">Engine Agent is an internal AI sales tool built for Engine’s partnerships team. It automates the most time-consuming parts of outbound prospecting: finding the right decision-makers at target membership organizations, researching each org, and drafting personalized outreach emails in the rep’s own writing style.</w:t>
      </w:r>
    </w:p>
    <w:p>
      <w:pPr>
        <w:spacing w:after="140" w:before="0"/>
      </w:pPr>
      <w:r>
        <w:rPr>
          <w:rFonts w:ascii="Arial" w:cs="Arial" w:eastAsia="Arial" w:hAnsi="Arial"/>
          <w:color w:val="616368"/>
          <w:sz w:val="22"/>
          <w:szCs w:val="22"/>
        </w:rPr>
        <w:t xml:space="preserve">The tool runs in the browser at engine-agent.vercel.app and requires no installation. Any Engine rep can use it immediately by visiting the URL and setting up their writing style profile.</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Live URL</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engine-agent.vercel.app</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Built by</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Darren Callaghan, Engine Partnerships</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Tech stack</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Next.js (React), hosted on Vercel, powered by Anthropic Claude AI</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Current users</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Darren Callaghan — expanding to full partnerships team</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Status</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Live and operational as of April 2026</w:t>
            </w:r>
          </w:p>
        </w:tc>
      </w:tr>
    </w:tbl>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2. The Problem It Solves</w:t>
      </w:r>
    </w:p>
    <w:p>
      <w:pPr>
        <w:spacing w:after="140" w:before="0"/>
      </w:pPr>
      <w:r>
        <w:rPr>
          <w:rFonts w:ascii="Arial" w:cs="Arial" w:eastAsia="Arial" w:hAnsi="Arial"/>
          <w:color w:val="616368"/>
          <w:sz w:val="22"/>
          <w:szCs w:val="22"/>
        </w:rPr>
        <w:t xml:space="preserve">Engine’s partnerships team manually researches membership organizations, hunts for the right contact at each org, and writes individual cold outreach emails from scratch. For a rep prospecting 10–20 orgs per week, this takes hours of repetitive work that produces inconsistent results.</w:t>
      </w:r>
    </w:p>
    <w:p>
      <w:pPr>
        <w:spacing w:after="140" w:before="0"/>
      </w:pPr>
      <w:r>
        <w:rPr>
          <w:rFonts w:ascii="Arial" w:cs="Arial" w:eastAsia="Arial" w:hAnsi="Arial"/>
          <w:color w:val="616368"/>
          <w:sz w:val="22"/>
          <w:szCs w:val="22"/>
        </w:rPr>
        <w:t xml:space="preserve">Engine Agent compresses this workflow from hours to minutes by automating every step between “identify a target org” and “email ready to send.”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5E0" w:sz="1"/>
              <w:left w:val="single" w:color="E8E5E0" w:sz="1"/>
              <w:bottom w:val="single" w:color="E8E5E0" w:sz="1"/>
              <w:right w:val="single" w:color="E8E5E0" w:sz="1"/>
            </w:tcBorders>
            <w:shd w:fill="10121A" w:val="clear"/>
            <w:tcMar>
              <w:top w:type="dxa" w:w="100"/>
              <w:left w:type="dxa" w:w="160"/>
              <w:bottom w:type="dxa" w:w="100"/>
              <w:right w:type="dxa" w:w="160"/>
            </w:tcMar>
          </w:tcPr>
          <w:p>
            <w:r>
              <w:rPr>
                <w:rFonts w:ascii="Arial" w:cs="Arial" w:eastAsia="Arial" w:hAnsi="Arial"/>
                <w:b/>
                <w:bCs/>
                <w:color w:val="FFFFFF"/>
                <w:sz w:val="22"/>
                <w:szCs w:val="22"/>
              </w:rPr>
              <w:t xml:space="preserve">Before Engine Agent</w:t>
            </w:r>
          </w:p>
        </w:tc>
        <w:tc>
          <w:tcPr>
            <w:tcW w:type="dxa" w:w="4680"/>
            <w:tcBorders>
              <w:top w:val="single" w:color="E8E5E0" w:sz="1"/>
              <w:left w:val="single" w:color="E8E5E0" w:sz="1"/>
              <w:bottom w:val="single" w:color="E8E5E0" w:sz="1"/>
              <w:right w:val="single" w:color="E8E5E0" w:sz="1"/>
            </w:tcBorders>
            <w:shd w:fill="FD4B23" w:val="clear"/>
            <w:tcMar>
              <w:top w:type="dxa" w:w="100"/>
              <w:left w:type="dxa" w:w="160"/>
              <w:bottom w:type="dxa" w:w="100"/>
              <w:right w:type="dxa" w:w="160"/>
            </w:tcMar>
          </w:tcPr>
          <w:p>
            <w:r>
              <w:rPr>
                <w:rFonts w:ascii="Arial" w:cs="Arial" w:eastAsia="Arial" w:hAnsi="Arial"/>
                <w:b/>
                <w:bCs/>
                <w:color w:val="FFFFFF"/>
                <w:sz w:val="22"/>
                <w:szCs w:val="22"/>
              </w:rPr>
              <w:t xml:space="preserve">After Engine Agent</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Manually search LinkedIn / ZoomInfo for contacts</w:t>
            </w:r>
          </w:p>
        </w:tc>
        <w:tc>
          <w:tcPr>
            <w:tcW w:type="dxa" w:w="4680"/>
            <w:tcBorders>
              <w:top w:val="single" w:color="E8E5E0" w:sz="1"/>
              <w:left w:val="single" w:color="E8E5E0" w:sz="1"/>
              <w:bottom w:val="single" w:color="E8E5E0" w:sz="1"/>
              <w:right w:val="single" w:color="E8E5E0" w:sz="1"/>
            </w:tcBorders>
            <w:shd w:fill="FFF5F3" w:val="clear"/>
            <w:tcMar>
              <w:top w:type="dxa" w:w="100"/>
              <w:left w:type="dxa" w:w="160"/>
              <w:bottom w:type="dxa" w:w="100"/>
              <w:right w:type="dxa" w:w="160"/>
            </w:tcMar>
          </w:tcPr>
          <w:p>
            <w:r>
              <w:rPr>
                <w:rFonts w:ascii="Arial" w:cs="Arial" w:eastAsia="Arial" w:hAnsi="Arial"/>
                <w:color w:val="616368"/>
                <w:sz w:val="20"/>
                <w:szCs w:val="20"/>
              </w:rPr>
              <w:t xml:space="preserve">AI finds 3 decision-makers per org automatically</w:t>
            </w:r>
          </w:p>
        </w:tc>
      </w:tr>
      <w:tr>
        <w:tc>
          <w:tcPr>
            <w:tcW w:type="dxa" w:w="468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Research each org’s events, membership, travel patterns</w:t>
            </w:r>
          </w:p>
        </w:tc>
        <w:tc>
          <w:tcPr>
            <w:tcW w:type="dxa" w:w="4680"/>
            <w:tcBorders>
              <w:top w:val="single" w:color="E8E5E0" w:sz="1"/>
              <w:left w:val="single" w:color="E8E5E0" w:sz="1"/>
              <w:bottom w:val="single" w:color="E8E5E0" w:sz="1"/>
              <w:right w:val="single" w:color="E8E5E0" w:sz="1"/>
            </w:tcBorders>
            <w:shd w:fill="FFF5F3" w:val="clear"/>
            <w:tcMar>
              <w:top w:type="dxa" w:w="100"/>
              <w:left w:type="dxa" w:w="160"/>
              <w:bottom w:type="dxa" w:w="100"/>
              <w:right w:type="dxa" w:w="160"/>
            </w:tcMar>
          </w:tcPr>
          <w:p>
            <w:r>
              <w:rPr>
                <w:rFonts w:ascii="Arial" w:cs="Arial" w:eastAsia="Arial" w:hAnsi="Arial"/>
                <w:color w:val="616368"/>
                <w:sz w:val="20"/>
                <w:szCs w:val="20"/>
              </w:rPr>
              <w:t xml:space="preserve">AI researches the org and surfaces the best partnership angle</w:t>
            </w:r>
          </w:p>
        </w:tc>
      </w:tr>
      <w:tr>
        <w:tc>
          <w:tcPr>
            <w:tcW w:type="dxa" w:w="468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Write individual emails tailored to each contact’s role</w:t>
            </w:r>
          </w:p>
        </w:tc>
        <w:tc>
          <w:tcPr>
            <w:tcW w:type="dxa" w:w="4680"/>
            <w:tcBorders>
              <w:top w:val="single" w:color="E8E5E0" w:sz="1"/>
              <w:left w:val="single" w:color="E8E5E0" w:sz="1"/>
              <w:bottom w:val="single" w:color="E8E5E0" w:sz="1"/>
              <w:right w:val="single" w:color="E8E5E0" w:sz="1"/>
            </w:tcBorders>
            <w:shd w:fill="FFF5F3" w:val="clear"/>
            <w:tcMar>
              <w:top w:type="dxa" w:w="100"/>
              <w:left w:type="dxa" w:w="160"/>
              <w:bottom w:type="dxa" w:w="100"/>
              <w:right w:type="dxa" w:w="160"/>
            </w:tcMar>
          </w:tcPr>
          <w:p>
            <w:r>
              <w:rPr>
                <w:rFonts w:ascii="Arial" w:cs="Arial" w:eastAsia="Arial" w:hAnsi="Arial"/>
                <w:color w:val="616368"/>
                <w:sz w:val="20"/>
                <w:szCs w:val="20"/>
              </w:rPr>
              <w:t xml:space="preserve">AI drafts personalized emails in the rep’s own voice</w:t>
            </w:r>
          </w:p>
        </w:tc>
      </w:tr>
      <w:tr>
        <w:tc>
          <w:tcPr>
            <w:tcW w:type="dxa" w:w="468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Hours per day, inconsistent output, no activity logging</w:t>
            </w:r>
          </w:p>
        </w:tc>
        <w:tc>
          <w:tcPr>
            <w:tcW w:type="dxa" w:w="4680"/>
            <w:tcBorders>
              <w:top w:val="single" w:color="E8E5E0" w:sz="1"/>
              <w:left w:val="single" w:color="E8E5E0" w:sz="1"/>
              <w:bottom w:val="single" w:color="E8E5E0" w:sz="1"/>
              <w:right w:val="single" w:color="E8E5E0" w:sz="1"/>
            </w:tcBorders>
            <w:shd w:fill="FFF5F3" w:val="clear"/>
            <w:tcMar>
              <w:top w:type="dxa" w:w="100"/>
              <w:left w:type="dxa" w:w="160"/>
              <w:bottom w:type="dxa" w:w="100"/>
              <w:right w:type="dxa" w:w="160"/>
            </w:tcMar>
          </w:tcPr>
          <w:p>
            <w:r>
              <w:rPr>
                <w:rFonts w:ascii="Arial" w:cs="Arial" w:eastAsia="Arial" w:hAnsi="Arial"/>
                <w:color w:val="616368"/>
                <w:sz w:val="20"/>
                <w:szCs w:val="20"/>
              </w:rPr>
              <w:t xml:space="preserve">Minutes per batch, consistent quality, ready to send</w:t>
            </w:r>
          </w:p>
        </w:tc>
      </w:tr>
    </w:tbl>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3. How It Works — The Workflow</w:t>
      </w:r>
    </w:p>
    <w:p>
      <w:pPr>
        <w:spacing w:after="140" w:before="0"/>
      </w:pPr>
      <w:r>
        <w:rPr>
          <w:rFonts w:ascii="Arial" w:cs="Arial" w:eastAsia="Arial" w:hAnsi="Arial"/>
          <w:color w:val="616368"/>
          <w:sz w:val="22"/>
          <w:szCs w:val="22"/>
        </w:rPr>
        <w:t xml:space="preserve">The tool runs a 5-step workflow that can process a single organization or up to 10 similar organizations at once (Batch Mode).</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8E5E0" w:sz="1"/>
              <w:left w:val="single" w:color="E8E5E0" w:sz="1"/>
              <w:bottom w:val="single" w:color="E8E5E0" w:sz="1"/>
              <w:right w:val="single" w:color="E8E5E0" w:sz="1"/>
            </w:tcBorders>
            <w:shd w:fill="FD4B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2200"/>
            <w:tcBorders>
              <w:top w:val="single" w:color="E8E5E0" w:sz="1"/>
              <w:left w:val="single" w:color="E8E5E0" w:sz="1"/>
              <w:bottom w:val="single" w:color="E8E5E0" w:sz="1"/>
              <w:right w:val="single" w:color="E8E5E0" w:sz="1"/>
            </w:tcBorders>
            <w:shd w:fill="FD4B23"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560"/>
            <w:tcBorders>
              <w:top w:val="single" w:color="E8E5E0" w:sz="1"/>
              <w:left w:val="single" w:color="E8E5E0" w:sz="1"/>
              <w:bottom w:val="single" w:color="E8E5E0" w:sz="1"/>
              <w:right w:val="single" w:color="E8E5E0" w:sz="1"/>
            </w:tcBorders>
            <w:shd w:fill="FD4B23"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pPr>
              <w:jc w:val="center"/>
            </w:pPr>
            <w:r>
              <w:rPr>
                <w:rFonts w:ascii="Arial" w:cs="Arial" w:eastAsia="Arial" w:hAnsi="Arial"/>
                <w:b/>
                <w:bCs/>
                <w:color w:val="FD4B23"/>
                <w:sz w:val="20"/>
                <w:szCs w:val="20"/>
              </w:rPr>
              <w:t xml:space="preserve">1</w:t>
            </w:r>
          </w:p>
        </w:tc>
        <w:tc>
          <w:tcPr>
            <w:tcW w:type="dxa" w:w="22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b/>
                <w:bCs/>
                <w:color w:val="10121A"/>
                <w:sz w:val="20"/>
                <w:szCs w:val="20"/>
              </w:rPr>
              <w:t xml:space="preserve">Find Contacts</w:t>
            </w:r>
          </w:p>
        </w:tc>
        <w:tc>
          <w:tcPr>
            <w:tcW w:type="dxa" w:w="65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For each target org, the AI identifies up to 3 decision-makers (Executive Director, VP of Programs, Director of Events, etc.) using ZoomInfo where available, or AI-generated contacts as a fallback.</w:t>
            </w:r>
          </w:p>
        </w:tc>
      </w:tr>
      <w:tr>
        <w:tc>
          <w:tcPr>
            <w:tcW w:type="dxa" w:w="6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pPr>
              <w:jc w:val="center"/>
            </w:pPr>
            <w:r>
              <w:rPr>
                <w:rFonts w:ascii="Arial" w:cs="Arial" w:eastAsia="Arial" w:hAnsi="Arial"/>
                <w:b/>
                <w:bCs/>
                <w:color w:val="FD4B23"/>
                <w:sz w:val="20"/>
                <w:szCs w:val="20"/>
              </w:rPr>
              <w:t xml:space="preserve">2</w:t>
            </w:r>
          </w:p>
        </w:tc>
        <w:tc>
          <w:tcPr>
            <w:tcW w:type="dxa" w:w="22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Enrich Emails</w:t>
            </w:r>
          </w:p>
        </w:tc>
        <w:tc>
          <w:tcPr>
            <w:tcW w:type="dxa" w:w="65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The AI enriches each contact with role-specific context — what matters most to someone in that role at that type of organization.</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pPr>
              <w:jc w:val="center"/>
            </w:pPr>
            <w:r>
              <w:rPr>
                <w:rFonts w:ascii="Arial" w:cs="Arial" w:eastAsia="Arial" w:hAnsi="Arial"/>
                <w:b/>
                <w:bCs/>
                <w:color w:val="FD4B23"/>
                <w:sz w:val="20"/>
                <w:szCs w:val="20"/>
              </w:rPr>
              <w:t xml:space="preserve">3</w:t>
            </w:r>
          </w:p>
        </w:tc>
        <w:tc>
          <w:tcPr>
            <w:tcW w:type="dxa" w:w="22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b/>
                <w:bCs/>
                <w:color w:val="10121A"/>
                <w:sz w:val="20"/>
                <w:szCs w:val="20"/>
              </w:rPr>
              <w:t xml:space="preserve">Research Each Org</w:t>
            </w:r>
          </w:p>
        </w:tc>
        <w:tc>
          <w:tcPr>
            <w:tcW w:type="dxa" w:w="65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The AI researches the organization: their events calendar, membership size, travel patterns, and how Engine’s hotel platform would fit their needs.</w:t>
            </w:r>
          </w:p>
        </w:tc>
      </w:tr>
      <w:tr>
        <w:tc>
          <w:tcPr>
            <w:tcW w:type="dxa" w:w="6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pPr>
              <w:jc w:val="center"/>
            </w:pPr>
            <w:r>
              <w:rPr>
                <w:rFonts w:ascii="Arial" w:cs="Arial" w:eastAsia="Arial" w:hAnsi="Arial"/>
                <w:b/>
                <w:bCs/>
                <w:color w:val="FD4B23"/>
                <w:sz w:val="20"/>
                <w:szCs w:val="20"/>
              </w:rPr>
              <w:t xml:space="preserve">4</w:t>
            </w:r>
          </w:p>
        </w:tc>
        <w:tc>
          <w:tcPr>
            <w:tcW w:type="dxa" w:w="22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Draft Emails</w:t>
            </w:r>
          </w:p>
        </w:tc>
        <w:tc>
          <w:tcPr>
            <w:tcW w:type="dxa" w:w="65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Personalized outreach emails are drafted for each contact in the rep’s own writing style. Emails reference the research and are tailored to the contact’s role.</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pPr>
              <w:jc w:val="center"/>
            </w:pPr>
            <w:r>
              <w:rPr>
                <w:rFonts w:ascii="Arial" w:cs="Arial" w:eastAsia="Arial" w:hAnsi="Arial"/>
                <w:b/>
                <w:bCs/>
                <w:color w:val="FD4B23"/>
                <w:sz w:val="20"/>
                <w:szCs w:val="20"/>
              </w:rPr>
              <w:t xml:space="preserve">5</w:t>
            </w:r>
          </w:p>
        </w:tc>
        <w:tc>
          <w:tcPr>
            <w:tcW w:type="dxa" w:w="22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b/>
                <w:bCs/>
                <w:color w:val="10121A"/>
                <w:sz w:val="20"/>
                <w:szCs w:val="20"/>
              </w:rPr>
              <w:t xml:space="preserve">Review &amp; Send</w:t>
            </w:r>
          </w:p>
        </w:tc>
        <w:tc>
          <w:tcPr>
            <w:tcW w:type="dxa" w:w="65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The rep reviews each draft, can edit them (edits are learned for future emails), and clicks “Open in Gmail” to send directly from their own inbox.</w:t>
            </w:r>
          </w:p>
        </w:tc>
      </w:tr>
    </w:tbl>
    <w:p>
      <w:pPr>
        <w:spacing w:after="80" w:before="200"/>
      </w:pPr>
    </w:p>
    <w:p>
      <w:pPr>
        <w:spacing w:after="80" w:before="200"/>
      </w:pPr>
      <w:r>
        <w:rPr>
          <w:rFonts w:ascii="Arial" w:cs="Arial" w:eastAsia="Arial" w:hAnsi="Arial"/>
          <w:b/>
          <w:bCs/>
          <w:color w:val="10121A"/>
          <w:sz w:val="22"/>
          <w:szCs w:val="22"/>
        </w:rPr>
        <w:t xml:space="preserve">Batch Mode</w:t>
      </w:r>
    </w:p>
    <w:p>
      <w:pPr>
        <w:spacing w:after="140" w:before="0"/>
      </w:pPr>
      <w:r>
        <w:rPr>
          <w:rFonts w:ascii="Arial" w:cs="Arial" w:eastAsia="Arial" w:hAnsi="Arial"/>
          <w:color w:val="616368"/>
          <w:sz w:val="22"/>
          <w:szCs w:val="22"/>
        </w:rPr>
        <w:t xml:space="preserve">The rep enters one seed organization (e.g. “DECA”) and the AI finds 10 similar membership organizations automatically, then runs the full workflow for all 10 simultaneously. This produces up to 30 personalized email drafts in a single run.</w:t>
      </w:r>
    </w:p>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4. Rep Setup — Writing Style Profiles</w:t>
      </w:r>
    </w:p>
    <w:p>
      <w:pPr>
        <w:spacing w:after="140" w:before="0"/>
      </w:pPr>
      <w:r>
        <w:rPr>
          <w:rFonts w:ascii="Arial" w:cs="Arial" w:eastAsia="Arial" w:hAnsi="Arial"/>
          <w:color w:val="616368"/>
          <w:sz w:val="22"/>
          <w:szCs w:val="22"/>
        </w:rPr>
        <w:t xml:space="preserve">Each rep sets up a personal writing style profile the first time they use the tool. They paste in a sample of their own writing (a real email they’ve sent) and the AI analyzes their voice, tone, rhythm, and patterns.</w:t>
      </w:r>
    </w:p>
    <w:p>
      <w:pPr>
        <w:spacing w:after="140" w:before="0"/>
      </w:pPr>
      <w:r>
        <w:rPr>
          <w:rFonts w:ascii="Arial" w:cs="Arial" w:eastAsia="Arial" w:hAnsi="Arial"/>
          <w:color w:val="616368"/>
          <w:sz w:val="22"/>
          <w:szCs w:val="22"/>
        </w:rPr>
        <w:t xml:space="preserve">All future emails drafted by the AI are written to match that specific rep’s style. When a rep edits a draft, those edits are saved and used to continuously improve the AI’s understanding of how they write.</w:t>
      </w:r>
    </w:p>
    <w:p>
      <w:pPr>
        <w:spacing w:after="140" w:before="0"/>
      </w:pPr>
      <w:r>
        <w:rPr>
          <w:rFonts w:ascii="Arial" w:cs="Arial" w:eastAsia="Arial" w:hAnsi="Arial"/>
          <w:color w:val="616368"/>
          <w:sz w:val="22"/>
          <w:szCs w:val="22"/>
        </w:rPr>
        <w:t xml:space="preserve">Style profiles are stored locally in the rep’s browser. No login or account is required.</w:t>
      </w:r>
    </w:p>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5.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Frontend</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Next.js 16 (React 19) — single-page app, no database</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Hosting</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Vercel — auto-deploys from GitHub on every push</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AI Provider</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Anthropic Claude (claude-haiku-4-5) via REST API</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Contact Data</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ZoomInfo MCP (via Anthropic) with AI fallback</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Email Sending</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Gmail compose URL — opens pre-filled email in the rep’s own Gmail</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Data Storage</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Writing style profiles stored in browser localStorage only</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Authentication</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None currently — URL-based access, no login required</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Source Code</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Private GitHub repository (darrencallaghan-designs-projects)</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API Key</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Anthropic API key stored as Vercel environment variable</w:t>
            </w:r>
          </w:p>
        </w:tc>
      </w:tr>
    </w:tbl>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6. Proposed Salesforce Integration</w:t>
      </w:r>
    </w:p>
    <w:p>
      <w:pPr>
        <w:pStyle w:val="Heading2"/>
        <w:spacing w:after="120" w:before="280"/>
      </w:pPr>
      <w:r>
        <w:rPr>
          <w:rFonts w:ascii="Arial" w:cs="Arial" w:eastAsia="Arial" w:hAnsi="Arial"/>
          <w:b/>
          <w:bCs/>
          <w:color w:val="10121A"/>
          <w:sz w:val="26"/>
          <w:szCs w:val="26"/>
        </w:rPr>
        <w:t xml:space="preserve">6a. Recommended Approach</w:t>
      </w:r>
    </w:p>
    <w:p>
      <w:pPr>
        <w:spacing w:after="140" w:before="0"/>
      </w:pPr>
      <w:r>
        <w:rPr>
          <w:rFonts w:ascii="Arial" w:cs="Arial" w:eastAsia="Arial" w:hAnsi="Arial"/>
          <w:color w:val="616368"/>
          <w:sz w:val="22"/>
          <w:szCs w:val="22"/>
        </w:rPr>
        <w:t xml:space="preserve">Based on our existing ZoomInfo → Salesforce workflow, the recommended integration focuses on one high-value gap: logging email activity from Engine Agent back into Salesforce automatically.</w:t>
      </w:r>
    </w:p>
    <w:p>
      <w:pPr>
        <w:spacing w:after="140" w:before="0"/>
      </w:pPr>
      <w:r>
        <w:rPr>
          <w:rFonts w:ascii="Arial" w:cs="Arial" w:eastAsia="Arial" w:hAnsi="Arial"/>
          <w:color w:val="616368"/>
          <w:sz w:val="22"/>
          <w:szCs w:val="22"/>
        </w:rPr>
        <w:t xml:space="preserve">Contacts discovered via ZoomInfo should continue to be imported into Salesforce through ZoomInfo’s native Salesforce integration as normal. Engine Agent should not duplicate this contact creation process.</w:t>
      </w:r>
    </w:p>
    <w:p>
      <w:pPr>
        <w:spacing w:after="140" w:before="0"/>
      </w:pPr>
      <w:r>
        <w:rPr>
          <w:rFonts w:ascii="Arial" w:cs="Arial" w:eastAsia="Arial" w:hAnsi="Arial"/>
          <w:color w:val="616368"/>
          <w:sz w:val="22"/>
          <w:szCs w:val="22"/>
        </w:rPr>
        <w:t xml:space="preserve">Where Engine Agent adds unique value is the email activity — today, there is no way for a sent outreach email to appear in Salesforce as a logged activity. This integration would close that gap.</w:t>
      </w:r>
    </w:p>
    <w:p>
      <w:pPr>
        <w:spacing w:after="80" w:before="160"/>
      </w:pPr>
    </w:p>
    <w:p>
      <w:pPr>
        <w:pStyle w:val="Heading2"/>
        <w:spacing w:after="120" w:before="280"/>
      </w:pPr>
      <w:r>
        <w:rPr>
          <w:rFonts w:ascii="Arial" w:cs="Arial" w:eastAsia="Arial" w:hAnsi="Arial"/>
          <w:b/>
          <w:bCs/>
          <w:color w:val="10121A"/>
          <w:sz w:val="26"/>
          <w:szCs w:val="26"/>
        </w:rPr>
        <w:t xml:space="preserve">6b. Data Mapping</w:t>
      </w:r>
    </w:p>
    <w:p>
      <w:pPr>
        <w:spacing w:after="140" w:before="0"/>
      </w:pPr>
      <w:r>
        <w:rPr>
          <w:rFonts w:ascii="Arial" w:cs="Arial" w:eastAsia="Arial" w:hAnsi="Arial"/>
          <w:color w:val="616368"/>
          <w:sz w:val="22"/>
          <w:szCs w:val="22"/>
        </w:rPr>
        <w:t xml:space="preserve">The following table outlines what Engine Agent captures and how it maps to Salesforce objects: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8E5E0" w:sz="1"/>
              <w:left w:val="single" w:color="E8E5E0" w:sz="1"/>
              <w:bottom w:val="single" w:color="E8E5E0" w:sz="1"/>
              <w:right w:val="single" w:color="E8E5E0" w:sz="1"/>
            </w:tcBorders>
            <w:shd w:fill="10121A" w:val="clear"/>
            <w:tcMar>
              <w:top w:type="dxa" w:w="100"/>
              <w:left w:type="dxa" w:w="160"/>
              <w:bottom w:type="dxa" w:w="100"/>
              <w:right w:type="dxa" w:w="160"/>
            </w:tcMar>
          </w:tcPr>
          <w:p>
            <w:r>
              <w:rPr>
                <w:rFonts w:ascii="Arial" w:cs="Arial" w:eastAsia="Arial" w:hAnsi="Arial"/>
                <w:b/>
                <w:bCs/>
                <w:color w:val="FFFFFF"/>
                <w:sz w:val="20"/>
                <w:szCs w:val="20"/>
              </w:rPr>
              <w:t xml:space="preserve">Engine Agent Data</w:t>
            </w:r>
          </w:p>
        </w:tc>
        <w:tc>
          <w:tcPr>
            <w:tcW w:type="dxa" w:w="3000"/>
            <w:tcBorders>
              <w:top w:val="single" w:color="E8E5E0" w:sz="1"/>
              <w:left w:val="single" w:color="E8E5E0" w:sz="1"/>
              <w:bottom w:val="single" w:color="E8E5E0" w:sz="1"/>
              <w:right w:val="single" w:color="E8E5E0" w:sz="1"/>
            </w:tcBorders>
            <w:shd w:fill="10121A" w:val="clear"/>
            <w:tcMar>
              <w:top w:type="dxa" w:w="100"/>
              <w:left w:type="dxa" w:w="160"/>
              <w:bottom w:type="dxa" w:w="100"/>
              <w:right w:type="dxa" w:w="160"/>
            </w:tcMar>
          </w:tcPr>
          <w:p>
            <w:r>
              <w:rPr>
                <w:rFonts w:ascii="Arial" w:cs="Arial" w:eastAsia="Arial" w:hAnsi="Arial"/>
                <w:b/>
                <w:bCs/>
                <w:color w:val="FFFFFF"/>
                <w:sz w:val="20"/>
                <w:szCs w:val="20"/>
              </w:rPr>
              <w:t xml:space="preserve">Salesforce Object</w:t>
            </w:r>
          </w:p>
        </w:tc>
        <w:tc>
          <w:tcPr>
            <w:tcW w:type="dxa" w:w="3360"/>
            <w:tcBorders>
              <w:top w:val="single" w:color="E8E5E0" w:sz="1"/>
              <w:left w:val="single" w:color="E8E5E0" w:sz="1"/>
              <w:bottom w:val="single" w:color="E8E5E0" w:sz="1"/>
              <w:right w:val="single" w:color="E8E5E0" w:sz="1"/>
            </w:tcBorders>
            <w:shd w:fill="10121A" w:val="clear"/>
            <w:tcMar>
              <w:top w:type="dxa" w:w="100"/>
              <w:left w:type="dxa" w:w="160"/>
              <w:bottom w:type="dxa" w:w="100"/>
              <w:right w:type="dxa" w:w="160"/>
            </w:tcMar>
          </w:tcPr>
          <w:p>
            <w:r>
              <w:rPr>
                <w:rFonts w:ascii="Arial" w:cs="Arial" w:eastAsia="Arial" w:hAnsi="Arial"/>
                <w:b/>
                <w:bCs/>
                <w:color w:val="FFFFFF"/>
                <w:sz w:val="20"/>
                <w:szCs w:val="20"/>
              </w:rPr>
              <w:t xml:space="preserve">Action / Notes</w:t>
            </w:r>
          </w:p>
        </w:tc>
      </w:tr>
      <w:tr>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Organization name</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Account (existing or new)</w:t>
            </w:r>
          </w:p>
        </w:tc>
        <w:tc>
          <w:tcPr>
            <w:tcW w:type="dxa" w:w="33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Match by name; create Account if not found</w:t>
            </w:r>
          </w:p>
        </w:tc>
      </w:tr>
      <w:tr>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Contact name + title</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Lead or Contact</w:t>
            </w:r>
          </w:p>
        </w:tc>
        <w:tc>
          <w:tcPr>
            <w:tcW w:type="dxa" w:w="33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ZoomInfo handles this via existing integration</w:t>
            </w:r>
          </w:p>
        </w:tc>
      </w:tr>
      <w:tr>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Contact email address</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Lead.Email / Contact.Email</w:t>
            </w:r>
          </w:p>
        </w:tc>
        <w:tc>
          <w:tcPr>
            <w:tcW w:type="dxa" w:w="33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Match field for linking activity to record</w:t>
            </w:r>
          </w:p>
        </w:tc>
      </w:tr>
      <w:tr>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Email subject line</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Task.Subject</w:t>
            </w:r>
          </w:p>
        </w:tc>
        <w:tc>
          <w:tcPr>
            <w:tcW w:type="dxa" w:w="33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Log as email activity subject</w:t>
            </w:r>
          </w:p>
        </w:tc>
      </w:tr>
      <w:tr>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Email body (full text)</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Task.Description</w:t>
            </w:r>
          </w:p>
        </w:tc>
        <w:tc>
          <w:tcPr>
            <w:tcW w:type="dxa" w:w="33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Full email body stored on Task record</w:t>
            </w:r>
          </w:p>
        </w:tc>
      </w:tr>
      <w:tr>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Date sent</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Task.ActivityDate</w:t>
            </w:r>
          </w:p>
        </w:tc>
        <w:tc>
          <w:tcPr>
            <w:tcW w:type="dxa" w:w="33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Timestamp when rep clicked Send in Agent</w:t>
            </w:r>
          </w:p>
        </w:tc>
      </w:tr>
      <w:tr>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Rep name</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Task.OwnerId</w:t>
            </w:r>
          </w:p>
        </w:tc>
        <w:tc>
          <w:tcPr>
            <w:tcW w:type="dxa" w:w="33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Mapped to the rep’s Salesforce user</w:t>
            </w:r>
          </w:p>
        </w:tc>
      </w:tr>
      <w:tr>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Organization type</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Account.Type or custom field</w:t>
            </w:r>
          </w:p>
        </w:tc>
        <w:tc>
          <w:tcPr>
            <w:tcW w:type="dxa" w:w="33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e.g. Professional Association, Student Org</w:t>
            </w:r>
          </w:p>
        </w:tc>
      </w:tr>
    </w:tbl>
    <w:p>
      <w:pPr>
        <w:spacing w:after="80" w:before="200"/>
      </w:pPr>
    </w:p>
    <w:p>
      <w:pPr>
        <w:pStyle w:val="Heading2"/>
        <w:spacing w:after="120" w:before="280"/>
      </w:pPr>
      <w:r>
        <w:rPr>
          <w:rFonts w:ascii="Arial" w:cs="Arial" w:eastAsia="Arial" w:hAnsi="Arial"/>
          <w:b/>
          <w:bCs/>
          <w:color w:val="10121A"/>
          <w:sz w:val="26"/>
          <w:szCs w:val="26"/>
        </w:rPr>
        <w:t xml:space="preserve">6c. Integration Options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1600"/>
        <w:gridCol w:w="1800"/>
      </w:tblGrid>
      <w:tr>
        <w:tc>
          <w:tcPr>
            <w:tcW w:type="dxa" w:w="1800"/>
            <w:tcBorders>
              <w:top w:val="single" w:color="E8E5E0" w:sz="1"/>
              <w:left w:val="single" w:color="E8E5E0" w:sz="1"/>
              <w:bottom w:val="single" w:color="E8E5E0" w:sz="1"/>
              <w:right w:val="single" w:color="E8E5E0" w:sz="1"/>
            </w:tcBorders>
            <w:shd w:fill="10121A" w:val="clear"/>
            <w:tcMar>
              <w:top w:type="dxa" w:w="100"/>
              <w:left w:type="dxa" w:w="120"/>
              <w:bottom w:type="dxa" w:w="100"/>
              <w:right w:type="dxa" w:w="120"/>
            </w:tcMar>
          </w:tcPr>
          <w:p>
            <w:r>
              <w:rPr>
                <w:rFonts w:ascii="Arial" w:cs="Arial" w:eastAsia="Arial" w:hAnsi="Arial"/>
                <w:b/>
                <w:bCs/>
                <w:color w:val="FFFFFF"/>
                <w:sz w:val="18"/>
                <w:szCs w:val="18"/>
              </w:rPr>
              <w:t xml:space="preserve">Option</w:t>
            </w:r>
          </w:p>
        </w:tc>
        <w:tc>
          <w:tcPr>
            <w:tcW w:type="dxa" w:w="4160"/>
            <w:tcBorders>
              <w:top w:val="single" w:color="E8E5E0" w:sz="1"/>
              <w:left w:val="single" w:color="E8E5E0" w:sz="1"/>
              <w:bottom w:val="single" w:color="E8E5E0" w:sz="1"/>
              <w:right w:val="single" w:color="E8E5E0" w:sz="1"/>
            </w:tcBorders>
            <w:shd w:fill="10121A" w:val="clear"/>
            <w:tcMar>
              <w:top w:type="dxa" w:w="100"/>
              <w:left w:type="dxa" w:w="120"/>
              <w:bottom w:type="dxa" w:w="100"/>
              <w:right w:type="dxa" w:w="120"/>
            </w:tcMar>
          </w:tcPr>
          <w:p>
            <w:r>
              <w:rPr>
                <w:rFonts w:ascii="Arial" w:cs="Arial" w:eastAsia="Arial" w:hAnsi="Arial"/>
                <w:b/>
                <w:bCs/>
                <w:color w:val="FFFFFF"/>
                <w:sz w:val="18"/>
                <w:szCs w:val="18"/>
              </w:rPr>
              <w:t xml:space="preserve">How It Works</w:t>
            </w:r>
          </w:p>
        </w:tc>
        <w:tc>
          <w:tcPr>
            <w:tcW w:type="dxa" w:w="1600"/>
            <w:tcBorders>
              <w:top w:val="single" w:color="E8E5E0" w:sz="1"/>
              <w:left w:val="single" w:color="E8E5E0" w:sz="1"/>
              <w:bottom w:val="single" w:color="E8E5E0" w:sz="1"/>
              <w:right w:val="single" w:color="E8E5E0" w:sz="1"/>
            </w:tcBorders>
            <w:shd w:fill="10121A" w:val="clear"/>
            <w:tcMar>
              <w:top w:type="dxa" w:w="100"/>
              <w:left w:type="dxa" w:w="120"/>
              <w:bottom w:type="dxa" w:w="100"/>
              <w:right w:type="dxa" w:w="120"/>
            </w:tcMar>
          </w:tcPr>
          <w:p>
            <w:r>
              <w:rPr>
                <w:rFonts w:ascii="Arial" w:cs="Arial" w:eastAsia="Arial" w:hAnsi="Arial"/>
                <w:b/>
                <w:bCs/>
                <w:color w:val="FFFFFF"/>
                <w:sz w:val="18"/>
                <w:szCs w:val="18"/>
              </w:rPr>
              <w:t xml:space="preserve">Effort</w:t>
            </w:r>
          </w:p>
        </w:tc>
        <w:tc>
          <w:tcPr>
            <w:tcW w:type="dxa" w:w="1800"/>
            <w:tcBorders>
              <w:top w:val="single" w:color="E8E5E0" w:sz="1"/>
              <w:left w:val="single" w:color="E8E5E0" w:sz="1"/>
              <w:bottom w:val="single" w:color="E8E5E0" w:sz="1"/>
              <w:right w:val="single" w:color="E8E5E0" w:sz="1"/>
            </w:tcBorders>
            <w:shd w:fill="10121A" w:val="clear"/>
            <w:tcMar>
              <w:top w:type="dxa" w:w="100"/>
              <w:left w:type="dxa" w:w="120"/>
              <w:bottom w:type="dxa" w:w="100"/>
              <w:right w:type="dxa" w:w="120"/>
            </w:tcMar>
          </w:tcPr>
          <w:p>
            <w:r>
              <w:rPr>
                <w:rFonts w:ascii="Arial" w:cs="Arial" w:eastAsia="Arial" w:hAnsi="Arial"/>
                <w:b/>
                <w:bCs/>
                <w:color w:val="FFFFFF"/>
                <w:sz w:val="18"/>
                <w:szCs w:val="18"/>
              </w:rPr>
              <w:t xml:space="preserve">Per-Rep Setup</w:t>
            </w:r>
          </w:p>
        </w:tc>
      </w:tr>
      <w:tr>
        <w:tc>
          <w:tcPr>
            <w:tcW w:type="dxa" w:w="1800"/>
            <w:tcBorders>
              <w:top w:val="single" w:color="E8E5E0" w:sz="1"/>
              <w:left w:val="single" w:color="E8E5E0" w:sz="1"/>
              <w:bottom w:val="single" w:color="E8E5E0" w:sz="1"/>
              <w:right w:val="single" w:color="E8E5E0" w:sz="1"/>
            </w:tcBorders>
            <w:shd w:fill="FFF5F3" w:val="clear"/>
            <w:tcMar>
              <w:top w:type="dxa" w:w="100"/>
              <w:left w:type="dxa" w:w="120"/>
              <w:bottom w:type="dxa" w:w="100"/>
              <w:right w:type="dxa" w:w="120"/>
            </w:tcMar>
          </w:tcPr>
          <w:p>
            <w:r>
              <w:rPr>
                <w:rFonts w:ascii="Arial" w:cs="Arial" w:eastAsia="Arial" w:hAnsi="Arial"/>
                <w:b/>
                <w:bCs/>
                <w:color w:val="FD4B23"/>
                <w:sz w:val="18"/>
                <w:szCs w:val="18"/>
              </w:rPr>
              <w:t xml:space="preserve">A: OAuth per rep (Recommended)</w:t>
            </w:r>
          </w:p>
        </w:tc>
        <w:tc>
          <w:tcPr>
            <w:tcW w:type="dxa" w:w="4160"/>
            <w:tcBorders>
              <w:top w:val="single" w:color="E8E5E0" w:sz="1"/>
              <w:left w:val="single" w:color="E8E5E0" w:sz="1"/>
              <w:bottom w:val="single" w:color="E8E5E0" w:sz="1"/>
              <w:right w:val="single" w:color="E8E5E0" w:sz="1"/>
            </w:tcBorders>
            <w:shd w:fill="FFF5F3" w:val="clear"/>
            <w:tcMar>
              <w:top w:type="dxa" w:w="100"/>
              <w:left w:type="dxa" w:w="120"/>
              <w:bottom w:type="dxa" w:w="100"/>
              <w:right w:type="dxa" w:w="120"/>
            </w:tcMar>
          </w:tcPr>
          <w:p>
            <w:r>
              <w:rPr>
                <w:rFonts w:ascii="Arial" w:cs="Arial" w:eastAsia="Arial" w:hAnsi="Arial"/>
                <w:color w:val="616368"/>
                <w:sz w:val="18"/>
                <w:szCs w:val="18"/>
              </w:rPr>
              <w:t xml:space="preserve">Each rep connects their Salesforce account once via OAuth. Activities log against their own Salesforce user automatically.</w:t>
            </w:r>
          </w:p>
        </w:tc>
        <w:tc>
          <w:tcPr>
            <w:tcW w:type="dxa" w:w="1600"/>
            <w:tcBorders>
              <w:top w:val="single" w:color="E8E5E0" w:sz="1"/>
              <w:left w:val="single" w:color="E8E5E0" w:sz="1"/>
              <w:bottom w:val="single" w:color="E8E5E0" w:sz="1"/>
              <w:right w:val="single" w:color="E8E5E0" w:sz="1"/>
            </w:tcBorders>
            <w:shd w:fill="FFF5F3" w:val="clear"/>
            <w:tcMar>
              <w:top w:type="dxa" w:w="100"/>
              <w:left w:type="dxa" w:w="120"/>
              <w:bottom w:type="dxa" w:w="100"/>
              <w:right w:type="dxa" w:w="120"/>
            </w:tcMar>
          </w:tcPr>
          <w:p>
            <w:r>
              <w:rPr>
                <w:rFonts w:ascii="Arial" w:cs="Arial" w:eastAsia="Arial" w:hAnsi="Arial"/>
                <w:color w:val="616368"/>
                <w:sz w:val="18"/>
                <w:szCs w:val="18"/>
              </w:rPr>
              <w:t xml:space="preserve">1 day dev + Connected App setup</w:t>
            </w:r>
          </w:p>
        </w:tc>
        <w:tc>
          <w:tcPr>
            <w:tcW w:type="dxa" w:w="1800"/>
            <w:tcBorders>
              <w:top w:val="single" w:color="E8E5E0" w:sz="1"/>
              <w:left w:val="single" w:color="E8E5E0" w:sz="1"/>
              <w:bottom w:val="single" w:color="E8E5E0" w:sz="1"/>
              <w:right w:val="single" w:color="E8E5E0" w:sz="1"/>
            </w:tcBorders>
            <w:shd w:fill="FFF5F3" w:val="clear"/>
            <w:tcMar>
              <w:top w:type="dxa" w:w="100"/>
              <w:left w:type="dxa" w:w="120"/>
              <w:bottom w:type="dxa" w:w="100"/>
              <w:right w:type="dxa" w:w="120"/>
            </w:tcMar>
          </w:tcPr>
          <w:p>
            <w:r>
              <w:rPr>
                <w:rFonts w:ascii="Arial" w:cs="Arial" w:eastAsia="Arial" w:hAnsi="Arial"/>
                <w:color w:val="616368"/>
                <w:sz w:val="18"/>
                <w:szCs w:val="18"/>
              </w:rPr>
              <w:t xml:space="preserve">One-time click to connect SF account</w:t>
            </w:r>
          </w:p>
        </w:tc>
      </w:tr>
      <w:tr>
        <w:tc>
          <w:tcPr>
            <w:tcW w:type="dxa" w:w="180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r>
              <w:rPr>
                <w:rFonts w:ascii="Arial" w:cs="Arial" w:eastAsia="Arial" w:hAnsi="Arial"/>
                <w:b/>
                <w:bCs/>
                <w:color w:val="10121A"/>
                <w:sz w:val="18"/>
                <w:szCs w:val="18"/>
              </w:rPr>
              <w:t xml:space="preserve">B: Shared service account</w:t>
            </w:r>
          </w:p>
        </w:tc>
        <w:tc>
          <w:tcPr>
            <w:tcW w:type="dxa" w:w="416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r>
              <w:rPr>
                <w:rFonts w:ascii="Arial" w:cs="Arial" w:eastAsia="Arial" w:hAnsi="Arial"/>
                <w:color w:val="616368"/>
                <w:sz w:val="18"/>
                <w:szCs w:val="18"/>
              </w:rPr>
              <w:t xml:space="preserve">A single Salesforce integration user’s credentials are stored in Vercel. All reps’ activities log via this shared account. Rep name stored in the Task notes.</w:t>
            </w:r>
          </w:p>
        </w:tc>
        <w:tc>
          <w:tcPr>
            <w:tcW w:type="dxa" w:w="160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r>
              <w:rPr>
                <w:rFonts w:ascii="Arial" w:cs="Arial" w:eastAsia="Arial" w:hAnsi="Arial"/>
                <w:color w:val="616368"/>
                <w:sz w:val="18"/>
                <w:szCs w:val="18"/>
              </w:rPr>
              <w:t xml:space="preserve">Half day dev + admin creates integration user</w:t>
            </w:r>
          </w:p>
        </w:tc>
        <w:tc>
          <w:tcPr>
            <w:tcW w:type="dxa" w:w="180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r>
              <w:rPr>
                <w:rFonts w:ascii="Arial" w:cs="Arial" w:eastAsia="Arial" w:hAnsi="Arial"/>
                <w:color w:val="616368"/>
                <w:sz w:val="18"/>
                <w:szCs w:val="18"/>
              </w:rPr>
              <w:t xml:space="preserve">No setup needed per rep</w:t>
            </w:r>
          </w:p>
        </w:tc>
      </w:tr>
    </w:tbl>
    <w:p>
      <w:pPr>
        <w:spacing w:after="80" w:before="200"/>
      </w:pPr>
    </w:p>
    <w:p>
      <w:pPr>
        <w:pStyle w:val="Heading2"/>
        <w:spacing w:after="120" w:before="280"/>
      </w:pPr>
      <w:r>
        <w:rPr>
          <w:rFonts w:ascii="Arial" w:cs="Arial" w:eastAsia="Arial" w:hAnsi="Arial"/>
          <w:b/>
          <w:bCs/>
          <w:color w:val="10121A"/>
          <w:sz w:val="26"/>
          <w:szCs w:val="26"/>
        </w:rPr>
        <w:t xml:space="preserve">6d. What the Salesforce Admin Needs to Do</w:t>
      </w:r>
    </w:p>
    <w:p>
      <w:pPr>
        <w:spacing w:after="140" w:before="0"/>
      </w:pPr>
      <w:r>
        <w:rPr>
          <w:rFonts w:ascii="Arial" w:cs="Arial" w:eastAsia="Arial" w:hAnsi="Arial"/>
          <w:color w:val="616368"/>
          <w:sz w:val="22"/>
          <w:szCs w:val="22"/>
        </w:rPr>
        <w:t xml:space="preserve">Regardless of which option is chosen, the following is required from the Salesforce admin:</w:t>
      </w:r>
    </w:p>
    <w:p>
      <w:pPr>
        <w:spacing w:after="40" w:before="80"/>
      </w:pPr>
    </w:p>
    <w:p>
      <w:pPr>
        <w:pStyle w:val="ListParagraph"/>
        <w:numPr>
          <w:ilvl w:val="0"/>
          <w:numId w:val="2"/>
        </w:numPr>
        <w:spacing w:after="40" w:before="40"/>
      </w:pPr>
      <w:r>
        <w:rPr>
          <w:rFonts w:ascii="Arial" w:cs="Arial" w:eastAsia="Arial" w:hAnsi="Arial"/>
          <w:color w:val="616368"/>
          <w:sz w:val="22"/>
          <w:szCs w:val="22"/>
        </w:rPr>
        <w:t xml:space="preserve">Create a Connected App in Salesforce (Setup → App Manager → New Connected App) with OAuth enabled and the Engine Agent callback URL whitelisted.</w:t>
      </w:r>
    </w:p>
    <w:p>
      <w:pPr>
        <w:pStyle w:val="ListParagraph"/>
        <w:numPr>
          <w:ilvl w:val="0"/>
          <w:numId w:val="2"/>
        </w:numPr>
        <w:spacing w:after="40" w:before="40"/>
      </w:pPr>
      <w:r>
        <w:rPr>
          <w:rFonts w:ascii="Arial" w:cs="Arial" w:eastAsia="Arial" w:hAnsi="Arial"/>
          <w:color w:val="616368"/>
          <w:sz w:val="22"/>
          <w:szCs w:val="22"/>
        </w:rPr>
        <w:t xml:space="preserve">Provide the Connected App’s Consumer Key and Consumer Secret to be stored as Vercel environment variables.</w:t>
      </w:r>
    </w:p>
    <w:p>
      <w:pPr>
        <w:pStyle w:val="ListParagraph"/>
        <w:numPr>
          <w:ilvl w:val="0"/>
          <w:numId w:val="2"/>
        </w:numPr>
        <w:spacing w:after="40" w:before="40"/>
      </w:pPr>
      <w:r>
        <w:rPr>
          <w:rFonts w:ascii="Arial" w:cs="Arial" w:eastAsia="Arial" w:hAnsi="Arial"/>
          <w:color w:val="616368"/>
          <w:sz w:val="22"/>
          <w:szCs w:val="22"/>
        </w:rPr>
        <w:t xml:space="preserve">Confirm which Salesforce object to use for newly found contacts: Lead or Contact.</w:t>
      </w:r>
    </w:p>
    <w:p>
      <w:pPr>
        <w:pStyle w:val="ListParagraph"/>
        <w:numPr>
          <w:ilvl w:val="0"/>
          <w:numId w:val="2"/>
        </w:numPr>
        <w:spacing w:after="40" w:before="40"/>
      </w:pPr>
      <w:r>
        <w:rPr>
          <w:rFonts w:ascii="Arial" w:cs="Arial" w:eastAsia="Arial" w:hAnsi="Arial"/>
          <w:color w:val="616368"/>
          <w:sz w:val="22"/>
          <w:szCs w:val="22"/>
        </w:rPr>
        <w:t xml:space="preserve">Confirm whether to auto-create Account records for organizations not already in Salesforce, or to require manual matching.</w:t>
      </w:r>
    </w:p>
    <w:p>
      <w:pPr>
        <w:pStyle w:val="ListParagraph"/>
        <w:numPr>
          <w:ilvl w:val="0"/>
          <w:numId w:val="2"/>
        </w:numPr>
        <w:spacing w:after="40" w:before="40"/>
      </w:pPr>
      <w:r>
        <w:rPr>
          <w:rFonts w:ascii="Arial" w:cs="Arial" w:eastAsia="Arial" w:hAnsi="Arial"/>
          <w:color w:val="616368"/>
          <w:sz w:val="22"/>
          <w:szCs w:val="22"/>
        </w:rPr>
        <w:t xml:space="preserve">If Option B (shared service account): create a dedicated Salesforce integration user with API access and provide credentials.</w:t>
      </w:r>
    </w:p>
    <w:p>
      <w:pPr>
        <w:pStyle w:val="ListParagraph"/>
        <w:numPr>
          <w:ilvl w:val="0"/>
          <w:numId w:val="2"/>
        </w:numPr>
        <w:spacing w:after="40" w:before="40"/>
      </w:pPr>
      <w:r>
        <w:rPr>
          <w:rFonts w:ascii="Arial" w:cs="Arial" w:eastAsia="Arial" w:hAnsi="Arial"/>
          <w:color w:val="616368"/>
          <w:sz w:val="22"/>
          <w:szCs w:val="22"/>
        </w:rPr>
        <w:t xml:space="preserve">Define the Lead Source value to tag all Engine Agent–created records (e.g. “Engine Agent” or “Outbound AI”).</w:t>
      </w:r>
    </w:p>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7. Multi-Rep Rollout Considerations</w:t>
      </w:r>
    </w:p>
    <w:p>
      <w:pPr>
        <w:spacing w:after="140" w:before="0"/>
      </w:pPr>
      <w:r>
        <w:rPr>
          <w:rFonts w:ascii="Arial" w:cs="Arial" w:eastAsia="Arial" w:hAnsi="Arial"/>
          <w:color w:val="616368"/>
          <w:sz w:val="22"/>
          <w:szCs w:val="22"/>
        </w:rPr>
        <w:t xml:space="preserve">The tool is designed to scale to the full partnerships team with minimal additional work. Here is what changes when more reps use it:</w:t>
      </w:r>
    </w:p>
    <w:p>
      <w:pPr>
        <w:spacing w:after="40" w:before="80"/>
      </w:pPr>
    </w:p>
    <w:p>
      <w:pPr>
        <w:pStyle w:val="ListParagraph"/>
        <w:numPr>
          <w:ilvl w:val="0"/>
          <w:numId w:val="2"/>
        </w:numPr>
        <w:spacing w:after="40" w:before="40"/>
      </w:pPr>
      <w:r>
        <w:rPr>
          <w:rFonts w:ascii="Arial" w:cs="Arial" w:eastAsia="Arial" w:hAnsi="Arial"/>
          <w:b/>
          <w:bCs/>
          <w:color w:val="10121A"/>
          <w:sz w:val="22"/>
          <w:szCs w:val="22"/>
        </w:rPr>
        <w:t xml:space="preserve">Style Profiles: </w:t>
      </w:r>
      <w:r>
        <w:rPr>
          <w:rFonts w:ascii="Arial" w:cs="Arial" w:eastAsia="Arial" w:hAnsi="Arial"/>
          <w:color w:val="616368"/>
          <w:sz w:val="22"/>
          <w:szCs w:val="22"/>
        </w:rPr>
        <w:t xml:space="preserve">Each rep sets up their own writing style profile independently — this takes under 5 minutes and requires no admin involvement.</w:t>
      </w:r>
    </w:p>
    <w:p>
      <w:pPr>
        <w:pStyle w:val="ListParagraph"/>
        <w:numPr>
          <w:ilvl w:val="0"/>
          <w:numId w:val="2"/>
        </w:numPr>
        <w:spacing w:after="40" w:before="40"/>
      </w:pPr>
      <w:r>
        <w:rPr>
          <w:rFonts w:ascii="Arial" w:cs="Arial" w:eastAsia="Arial" w:hAnsi="Arial"/>
          <w:b/>
          <w:bCs/>
          <w:color w:val="10121A"/>
          <w:sz w:val="22"/>
          <w:szCs w:val="22"/>
        </w:rPr>
        <w:t xml:space="preserve">API Costs: </w:t>
      </w:r>
      <w:r>
        <w:rPr>
          <w:rFonts w:ascii="Arial" w:cs="Arial" w:eastAsia="Arial" w:hAnsi="Arial"/>
          <w:color w:val="616368"/>
          <w:sz w:val="22"/>
          <w:szCs w:val="22"/>
        </w:rPr>
        <w:t xml:space="preserve">All reps share the same Anthropic API key stored in Vercel. Usage costs are pooled. This should be moved to Engine’s company Anthropic account once IT access is resolved.</w:t>
      </w:r>
    </w:p>
    <w:p>
      <w:pPr>
        <w:pStyle w:val="ListParagraph"/>
        <w:numPr>
          <w:ilvl w:val="0"/>
          <w:numId w:val="2"/>
        </w:numPr>
        <w:spacing w:after="40" w:before="40"/>
      </w:pPr>
      <w:r>
        <w:rPr>
          <w:rFonts w:ascii="Arial" w:cs="Arial" w:eastAsia="Arial" w:hAnsi="Arial"/>
          <w:b/>
          <w:bCs/>
          <w:color w:val="10121A"/>
          <w:sz w:val="22"/>
          <w:szCs w:val="22"/>
        </w:rPr>
        <w:t xml:space="preserve">Salesforce Auth: </w:t>
      </w:r>
      <w:r>
        <w:rPr>
          <w:rFonts w:ascii="Arial" w:cs="Arial" w:eastAsia="Arial" w:hAnsi="Arial"/>
          <w:color w:val="616368"/>
          <w:sz w:val="22"/>
          <w:szCs w:val="22"/>
        </w:rPr>
        <w:t xml:space="preserve">If Salesforce OAuth is implemented (Option A), each rep connects their own Salesforce account once. No admin action is needed per rep beyond the initial Connected App setup.</w:t>
      </w:r>
    </w:p>
    <w:p>
      <w:pPr>
        <w:pStyle w:val="ListParagraph"/>
        <w:numPr>
          <w:ilvl w:val="0"/>
          <w:numId w:val="2"/>
        </w:numPr>
        <w:spacing w:after="40" w:before="40"/>
      </w:pPr>
      <w:r>
        <w:rPr>
          <w:rFonts w:ascii="Arial" w:cs="Arial" w:eastAsia="Arial" w:hAnsi="Arial"/>
          <w:b/>
          <w:bCs/>
          <w:color w:val="10121A"/>
          <w:sz w:val="22"/>
          <w:szCs w:val="22"/>
        </w:rPr>
        <w:t xml:space="preserve">Access Control: </w:t>
      </w:r>
      <w:r>
        <w:rPr>
          <w:rFonts w:ascii="Arial" w:cs="Arial" w:eastAsia="Arial" w:hAnsi="Arial"/>
          <w:color w:val="616368"/>
          <w:sz w:val="22"/>
          <w:szCs w:val="22"/>
        </w:rPr>
        <w:t xml:space="preserve">The current tool has no login or access controls. Any rep with the URL can use it. If access controls are needed, Vercel supports password protection or SSO at the deployment level.</w:t>
      </w:r>
    </w:p>
    <w:p>
      <w:pPr>
        <w:pStyle w:val="ListParagraph"/>
        <w:numPr>
          <w:ilvl w:val="0"/>
          <w:numId w:val="2"/>
        </w:numPr>
        <w:spacing w:after="40" w:before="40"/>
      </w:pPr>
      <w:r>
        <w:rPr>
          <w:rFonts w:ascii="Arial" w:cs="Arial" w:eastAsia="Arial" w:hAnsi="Arial"/>
          <w:b/>
          <w:bCs/>
          <w:color w:val="10121A"/>
          <w:sz w:val="22"/>
          <w:szCs w:val="22"/>
        </w:rPr>
        <w:t xml:space="preserve">Data Storage: </w:t>
      </w:r>
      <w:r>
        <w:rPr>
          <w:rFonts w:ascii="Arial" w:cs="Arial" w:eastAsia="Arial" w:hAnsi="Arial"/>
          <w:color w:val="616368"/>
          <w:sz w:val="22"/>
          <w:szCs w:val="22"/>
        </w:rPr>
        <w:t xml:space="preserve">No database or backend is required. The app is stateless — style profiles live in each rep’s browser. If centralized profile management is needed in the future, a lightweight database (e.g. Vercel KV) could be added.</w:t>
      </w:r>
    </w:p>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8. Recommended Next Steps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E8E5E0" w:sz="1"/>
              <w:left w:val="single" w:color="E8E5E0" w:sz="1"/>
              <w:bottom w:val="single" w:color="E8E5E0" w:sz="1"/>
              <w:right w:val="single" w:color="E8E5E0" w:sz="1"/>
            </w:tcBorders>
            <w:shd w:fill="1012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5760"/>
            <w:tcBorders>
              <w:top w:val="single" w:color="E8E5E0" w:sz="1"/>
              <w:left w:val="single" w:color="E8E5E0" w:sz="1"/>
              <w:bottom w:val="single" w:color="E8E5E0" w:sz="1"/>
              <w:right w:val="single" w:color="E8E5E0" w:sz="1"/>
            </w:tcBorders>
            <w:shd w:fill="10121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3000"/>
            <w:tcBorders>
              <w:top w:val="single" w:color="E8E5E0" w:sz="1"/>
              <w:left w:val="single" w:color="E8E5E0" w:sz="1"/>
              <w:bottom w:val="single" w:color="E8E5E0" w:sz="1"/>
              <w:right w:val="single" w:color="E8E5E0" w:sz="1"/>
            </w:tcBorders>
            <w:shd w:fill="10121A" w:val="clear"/>
            <w:tcMar>
              <w:top w:type="dxa" w:w="100"/>
              <w:left w:type="dxa" w:w="160"/>
              <w:bottom w:type="dxa" w:w="100"/>
              <w:right w:type="dxa" w:w="160"/>
            </w:tcMar>
          </w:tcPr>
          <w:p>
            <w:r>
              <w:rPr>
                <w:rFonts w:ascii="Arial" w:cs="Arial" w:eastAsia="Arial" w:hAnsi="Arial"/>
                <w:b/>
                <w:bCs/>
                <w:color w:val="FFFFFF"/>
                <w:sz w:val="20"/>
                <w:szCs w:val="20"/>
              </w:rPr>
              <w:t xml:space="preserve">Owner</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1</w:t>
            </w:r>
          </w:p>
        </w:tc>
        <w:tc>
          <w:tcPr>
            <w:tcW w:type="dxa" w:w="57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Salesforce admin reviews this document and confirms data mapping + Connected App option</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Salesforce Admin</w:t>
            </w:r>
          </w:p>
        </w:tc>
      </w:tr>
      <w:tr>
        <w:tc>
          <w:tcPr>
            <w:tcW w:type="dxa" w:w="60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2</w:t>
            </w:r>
          </w:p>
        </w:tc>
        <w:tc>
          <w:tcPr>
            <w:tcW w:type="dxa" w:w="57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Decide: Option A (OAuth per rep) or Option B (shared service account)</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Admin + Darren</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3</w:t>
            </w:r>
          </w:p>
        </w:tc>
        <w:tc>
          <w:tcPr>
            <w:tcW w:type="dxa" w:w="57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Admin creates Connected App in Salesforce and shares credentials</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Salesforce Admin</w:t>
            </w:r>
          </w:p>
        </w:tc>
      </w:tr>
      <w:tr>
        <w:tc>
          <w:tcPr>
            <w:tcW w:type="dxa" w:w="60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4</w:t>
            </w:r>
          </w:p>
        </w:tc>
        <w:tc>
          <w:tcPr>
            <w:tcW w:type="dxa" w:w="57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Darren builds Salesforce activity logging into Engine Agent (≈1 day dev)</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Darren</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5</w:t>
            </w:r>
          </w:p>
        </w:tc>
        <w:tc>
          <w:tcPr>
            <w:tcW w:type="dxa" w:w="57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Pilot with 2–3 reps, verify activities appear correctly in Salesforce</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Darren + Pilot Reps</w:t>
            </w:r>
          </w:p>
        </w:tc>
      </w:tr>
      <w:tr>
        <w:tc>
          <w:tcPr>
            <w:tcW w:type="dxa" w:w="600"/>
            <w:tcBorders>
              <w:top w:val="single" w:color="E8E5E0" w:sz="1"/>
              <w:left w:val="single" w:color="E8E5E0" w:sz="1"/>
              <w:bottom w:val="single" w:color="E8E5E0" w:sz="1"/>
              <w:right w:val="single" w:color="E8E5E0" w:sz="1"/>
            </w:tcBorders>
            <w:shd w:fill="F8F6F2"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6</w:t>
            </w:r>
          </w:p>
        </w:tc>
        <w:tc>
          <w:tcPr>
            <w:tcW w:type="dxa" w:w="576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616368"/>
                <w:sz w:val="20"/>
                <w:szCs w:val="20"/>
              </w:rPr>
              <w:t xml:space="preserve">Roll out to full partnerships team</w:t>
            </w:r>
          </w:p>
        </w:tc>
        <w:tc>
          <w:tcPr>
            <w:tcW w:type="dxa" w:w="30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color w:val="10121A"/>
                <w:sz w:val="20"/>
                <w:szCs w:val="20"/>
              </w:rPr>
              <w:t xml:space="preserve">Darren + Manager</w:t>
            </w:r>
          </w:p>
        </w:tc>
      </w:tr>
      <w:tr>
        <w:tc>
          <w:tcPr>
            <w:tcW w:type="dxa" w:w="600"/>
            <w:tcBorders>
              <w:top w:val="single" w:color="E8E5E0" w:sz="1"/>
              <w:left w:val="single" w:color="E8E5E0" w:sz="1"/>
              <w:bottom w:val="single" w:color="E8E5E0" w:sz="1"/>
              <w:right w:val="single" w:color="E8E5E0" w:sz="1"/>
            </w:tcBorders>
            <w:shd w:fill="FFFFFF" w:val="clear"/>
            <w:tcMar>
              <w:top w:type="dxa" w:w="100"/>
              <w:left w:type="dxa" w:w="120"/>
              <w:bottom w:type="dxa" w:w="100"/>
              <w:right w:type="dxa" w:w="120"/>
            </w:tcMar>
          </w:tcPr>
          <w:p>
            <w:pPr>
              <w:jc w:val="center"/>
            </w:pPr>
            <w:r>
              <w:rPr>
                <w:rFonts w:ascii="Arial" w:cs="Arial" w:eastAsia="Arial" w:hAnsi="Arial"/>
                <w:b/>
                <w:bCs/>
                <w:color w:val="FD4B23"/>
                <w:sz w:val="20"/>
                <w:szCs w:val="20"/>
              </w:rPr>
              <w:t xml:space="preserve">7</w:t>
            </w:r>
          </w:p>
        </w:tc>
        <w:tc>
          <w:tcPr>
            <w:tcW w:type="dxa" w:w="576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616368"/>
                <w:sz w:val="20"/>
                <w:szCs w:val="20"/>
              </w:rPr>
              <w:t xml:space="preserve">Move Anthropic API key from personal account to Engine company account</w:t>
            </w:r>
          </w:p>
        </w:tc>
        <w:tc>
          <w:tcPr>
            <w:tcW w:type="dxa" w:w="3000"/>
            <w:tcBorders>
              <w:top w:val="single" w:color="E8E5E0" w:sz="1"/>
              <w:left w:val="single" w:color="E8E5E0" w:sz="1"/>
              <w:bottom w:val="single" w:color="E8E5E0" w:sz="1"/>
              <w:right w:val="single" w:color="E8E5E0" w:sz="1"/>
            </w:tcBorders>
            <w:shd w:fill="FFFFFF" w:val="clear"/>
            <w:tcMar>
              <w:top w:type="dxa" w:w="100"/>
              <w:left w:type="dxa" w:w="160"/>
              <w:bottom w:type="dxa" w:w="100"/>
              <w:right w:type="dxa" w:w="160"/>
            </w:tcMar>
          </w:tcPr>
          <w:p>
            <w:r>
              <w:rPr>
                <w:rFonts w:ascii="Arial" w:cs="Arial" w:eastAsia="Arial" w:hAnsi="Arial"/>
                <w:color w:val="10121A"/>
                <w:sz w:val="20"/>
                <w:szCs w:val="20"/>
              </w:rPr>
              <w:t xml:space="preserve">IT + Darren</w:t>
            </w:r>
          </w:p>
        </w:tc>
      </w:tr>
    </w:tbl>
    <w:p>
      <w:pPr>
        <w:spacing w:after="0" w:before="240"/>
      </w:pPr>
    </w:p>
    <w:p>
      <w:pPr>
        <w:pBdr>
          <w:bottom w:val="single" w:color="E8E5E0" w:sz="4" w:space="1"/>
        </w:pBdr>
        <w:spacing w:after="160" w:before="160"/>
      </w:pPr>
    </w:p>
    <w:p>
      <w:pPr>
        <w:pStyle w:val="Heading1"/>
        <w:spacing w:after="160" w:before="360"/>
      </w:pPr>
      <w:r>
        <w:rPr>
          <w:rFonts w:ascii="Arial" w:cs="Arial" w:eastAsia="Arial" w:hAnsi="Arial"/>
          <w:b/>
          <w:bCs/>
          <w:color w:val="10121A"/>
          <w:sz w:val="32"/>
          <w:szCs w:val="32"/>
        </w:rPr>
        <w:t xml:space="preserve">9. Questions &amp; Contact</w:t>
      </w:r>
    </w:p>
    <w:p>
      <w:pPr>
        <w:spacing w:after="140" w:before="0"/>
      </w:pPr>
      <w:r>
        <w:rPr>
          <w:rFonts w:ascii="Arial" w:cs="Arial" w:eastAsia="Arial" w:hAnsi="Arial"/>
          <w:color w:val="616368"/>
          <w:sz w:val="22"/>
          <w:szCs w:val="22"/>
        </w:rPr>
        <w:t xml:space="preserve">For any questions about the Engine Agent tool, its technical architecture, or the proposed Salesforce integration, please reach out to:</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Name</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Darren Callaghan</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Role</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Partnerships, Engine</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Email</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darren.callaghan@engine.com</w:t>
            </w:r>
          </w:p>
        </w:tc>
      </w:tr>
      <w:tr>
        <w:tc>
          <w:tcPr>
            <w:tcW w:type="dxa" w:w="2800"/>
            <w:tcBorders>
              <w:top w:val="single" w:color="E8E5E0" w:sz="1"/>
              <w:left w:val="single" w:color="E8E5E0" w:sz="1"/>
              <w:bottom w:val="single" w:color="E8E5E0" w:sz="1"/>
              <w:right w:val="single" w:color="E8E5E0" w:sz="1"/>
            </w:tcBorders>
            <w:shd w:fill="F8F6F2" w:val="clear"/>
            <w:tcMar>
              <w:top w:type="dxa" w:w="100"/>
              <w:left w:type="dxa" w:w="160"/>
              <w:bottom w:type="dxa" w:w="100"/>
              <w:right w:type="dxa" w:w="160"/>
            </w:tcMar>
          </w:tcPr>
          <w:p>
            <w:r>
              <w:rPr>
                <w:rFonts w:ascii="Arial" w:cs="Arial" w:eastAsia="Arial" w:hAnsi="Arial"/>
                <w:b/>
                <w:bCs/>
                <w:color w:val="10121A"/>
                <w:sz w:val="20"/>
                <w:szCs w:val="20"/>
              </w:rPr>
              <w:t xml:space="preserve">Tool URL</w:t>
            </w:r>
          </w:p>
        </w:tc>
        <w:tc>
          <w:tcPr>
            <w:tcW w:type="dxa" w:w="6560"/>
            <w:tcBorders>
              <w:top w:val="single" w:color="E8E5E0" w:sz="1"/>
              <w:left w:val="single" w:color="E8E5E0" w:sz="1"/>
              <w:bottom w:val="single" w:color="E8E5E0" w:sz="1"/>
              <w:right w:val="single" w:color="E8E5E0" w:sz="1"/>
            </w:tcBorders>
            <w:tcMar>
              <w:top w:type="dxa" w:w="100"/>
              <w:left w:type="dxa" w:w="160"/>
              <w:bottom w:type="dxa" w:w="100"/>
              <w:right w:type="dxa" w:w="160"/>
            </w:tcMar>
          </w:tcPr>
          <w:p>
            <w:r>
              <w:rPr>
                <w:rFonts w:ascii="Arial" w:cs="Arial" w:eastAsia="Arial" w:hAnsi="Arial"/>
                <w:color w:val="616368"/>
                <w:sz w:val="20"/>
                <w:szCs w:val="20"/>
              </w:rPr>
              <w:t xml:space="preserve">engine-agent.vercel.app</w:t>
            </w:r>
          </w:p>
        </w:tc>
      </w:tr>
    </w:tbl>
    <w:p>
      <w:pPr>
        <w:spacing w:after="80" w:before="400"/>
      </w:pPr>
    </w:p>
    <w:p>
      <w:pPr>
        <w:jc w:val="center"/>
      </w:pPr>
      <w:r>
        <w:rPr>
          <w:rFonts w:ascii="Arial" w:cs="Arial" w:eastAsia="Arial" w:hAnsi="Arial"/>
          <w:color w:val="9E9E9E"/>
          <w:sz w:val="18"/>
          <w:szCs w:val="18"/>
        </w:rPr>
        <w:t xml:space="preserve">Engine Agent  ·  Confidential Internal Document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E0" w:sz="4" w:space="1"/>
      </w:pBdr>
      <w:jc w:val="right"/>
    </w:pPr>
    <w:r>
      <w:rPr>
        <w:rFonts w:ascii="Arial" w:cs="Arial" w:eastAsia="Arial" w:hAnsi="Arial"/>
        <w:color w:val="616368"/>
        <w:sz w:val="18"/>
        <w:szCs w:val="18"/>
      </w:rPr>
      <w:t xml:space="preserve">Confidential  ·  Page </w:t>
    </w:r>
    <w:r>
      <w:rPr>
        <w:rFonts w:ascii="Arial" w:cs="Arial" w:eastAsia="Arial" w:hAnsi="Arial"/>
        <w:color w:val="61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5E0" w:sz="4" w:space="1"/>
      </w:pBdr>
    </w:pPr>
    <w:r>
      <w:rPr>
        <w:rFonts w:ascii="Arial" w:cs="Arial" w:eastAsia="Arial" w:hAnsi="Arial"/>
        <w:b/>
        <w:bCs/>
        <w:color w:val="10121A"/>
        <w:sz w:val="20"/>
        <w:szCs w:val="20"/>
      </w:rPr>
      <w:t xml:space="preserve">Engine Agent</w:t>
    </w:r>
    <w:r>
      <w:rPr>
        <w:rFonts w:ascii="Arial" w:cs="Arial" w:eastAsia="Arial" w:hAnsi="Arial"/>
        <w:color w:val="616368"/>
        <w:sz w:val="20"/>
        <w:szCs w:val="20"/>
      </w:rPr>
      <w:t xml:space="preserve">  ·  Salesforce Integration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12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012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2026-04-08T19:23:48.985Z</dcterms:created>
  <dcterms:modified xsi:type="dcterms:W3CDTF">2026-04-08T19:23:48.985Z</dcterms:modified>
</cp:coreProperties>
</file>

<file path=docProps/custom.xml><?xml version="1.0" encoding="utf-8"?>
<Properties xmlns="http://schemas.openxmlformats.org/officeDocument/2006/custom-properties" xmlns:vt="http://schemas.openxmlformats.org/officeDocument/2006/docPropsVTypes"/>
</file>