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F5A13" w14:textId="77777777" w:rsidR="00C732CA" w:rsidRPr="00C732CA" w:rsidRDefault="00C732CA" w:rsidP="00C732CA">
      <w:pPr>
        <w:rPr>
          <w:rFonts w:cs="Segoe UI Emoji"/>
          <w:b/>
          <w:bCs/>
          <w:sz w:val="56"/>
          <w:szCs w:val="56"/>
        </w:rPr>
      </w:pPr>
      <w:r w:rsidRPr="00C732CA">
        <w:rPr>
          <w:rFonts w:cs="Segoe UI Emoji"/>
          <w:b/>
          <w:bCs/>
          <w:sz w:val="56"/>
          <w:szCs w:val="56"/>
        </w:rPr>
        <w:t>Advanced Business Report: Customer Churn Analysis &amp; Strategic Recommendations</w:t>
      </w:r>
    </w:p>
    <w:p w14:paraId="185F54EF" w14:textId="194BFEF3" w:rsidR="00C732CA" w:rsidRPr="00C732CA" w:rsidRDefault="00C732CA" w:rsidP="00C732CA">
      <w:pPr>
        <w:rPr>
          <w:rFonts w:cs="Segoe UI Emoji"/>
          <w:b/>
          <w:bCs/>
          <w:color w:val="A5C9EB" w:themeColor="text2" w:themeTint="40"/>
          <w:sz w:val="32"/>
          <w:szCs w:val="32"/>
          <w:u w:val="single"/>
        </w:rPr>
      </w:pPr>
      <w:r w:rsidRPr="00C732CA">
        <w:rPr>
          <w:rFonts w:cs="Segoe UI Emoji"/>
          <w:b/>
          <w:bCs/>
          <w:color w:val="A5C9EB" w:themeColor="text2" w:themeTint="40"/>
          <w:sz w:val="32"/>
          <w:szCs w:val="32"/>
          <w:u w:val="single"/>
        </w:rPr>
        <w:t>Executive Summary</w:t>
      </w:r>
    </w:p>
    <w:p w14:paraId="1C4A19FC" w14:textId="402262E6" w:rsidR="00C732CA" w:rsidRPr="00C732CA" w:rsidRDefault="00C732CA" w:rsidP="00C732CA">
      <w:pPr>
        <w:rPr>
          <w:rFonts w:cs="Segoe UI Emoji"/>
        </w:rPr>
      </w:pPr>
      <w:r w:rsidRPr="00C732CA">
        <w:rPr>
          <w:rFonts w:cs="Segoe UI Emoji"/>
        </w:rPr>
        <w:t xml:space="preserve">Customer churn is a significant challenge in the telecom industry, impacting revenue and customer lifetime value. This analysis evaluates the factors contributing to churn, applies predictive </w:t>
      </w:r>
      <w:r w:rsidR="004E1F2A" w:rsidRPr="00C732CA">
        <w:rPr>
          <w:rFonts w:cs="Segoe UI Emoji"/>
        </w:rPr>
        <w:t>modelling</w:t>
      </w:r>
      <w:r w:rsidRPr="00C732CA">
        <w:rPr>
          <w:rFonts w:cs="Segoe UI Emoji"/>
        </w:rPr>
        <w:t>, and offers data-driven recommendations to improve customer retention.</w:t>
      </w:r>
    </w:p>
    <w:p w14:paraId="61D3A51F" w14:textId="77777777" w:rsidR="00C732CA" w:rsidRPr="00C732CA" w:rsidRDefault="00C732CA" w:rsidP="00C732CA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cs="Segoe UI Emoji"/>
        </w:rPr>
      </w:pPr>
      <w:r w:rsidRPr="00C732CA">
        <w:rPr>
          <w:rFonts w:cs="Segoe UI Emoji"/>
        </w:rPr>
        <w:t>The overall churn rate is approximately 26%.</w:t>
      </w:r>
    </w:p>
    <w:p w14:paraId="0F728888" w14:textId="77777777" w:rsidR="00C732CA" w:rsidRPr="00C732CA" w:rsidRDefault="00C732CA" w:rsidP="00C732CA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cs="Segoe UI Emoji"/>
        </w:rPr>
      </w:pPr>
      <w:r w:rsidRPr="00C732CA">
        <w:rPr>
          <w:rFonts w:cs="Segoe UI Emoji"/>
        </w:rPr>
        <w:t>High-risk segments include customers with month-to-month contracts, electronic check payments, and short tenure.</w:t>
      </w:r>
    </w:p>
    <w:p w14:paraId="37EC7CF5" w14:textId="77777777" w:rsidR="00C732CA" w:rsidRPr="00C732CA" w:rsidRDefault="00C732CA" w:rsidP="00C732CA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cs="Segoe UI Emoji"/>
        </w:rPr>
      </w:pPr>
      <w:r w:rsidRPr="00C732CA">
        <w:rPr>
          <w:rFonts w:cs="Segoe UI Emoji"/>
        </w:rPr>
        <w:t>The Random Forest model achieved 84.2% accuracy, making it the most effective churn prediction model.</w:t>
      </w:r>
    </w:p>
    <w:p w14:paraId="06829BA6" w14:textId="77777777" w:rsidR="00C732CA" w:rsidRPr="00C732CA" w:rsidRDefault="00C732CA" w:rsidP="00C732CA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cs="Segoe UI Emoji"/>
        </w:rPr>
      </w:pPr>
      <w:r w:rsidRPr="00C732CA">
        <w:rPr>
          <w:rFonts w:cs="Segoe UI Emoji"/>
        </w:rPr>
        <w:t>Implementing the recommended retention strategies can significantly reduce churn and increase long-term revenue.</w:t>
      </w:r>
    </w:p>
    <w:p w14:paraId="5B99DE35" w14:textId="77777777" w:rsidR="00C732CA" w:rsidRPr="00C732CA" w:rsidRDefault="00C732CA" w:rsidP="00C732CA">
      <w:pPr>
        <w:rPr>
          <w:rFonts w:cs="Segoe UI Emoji"/>
          <w:b/>
          <w:bCs/>
          <w:color w:val="A5C9EB" w:themeColor="text2" w:themeTint="40"/>
          <w:sz w:val="32"/>
          <w:szCs w:val="32"/>
          <w:u w:val="single"/>
        </w:rPr>
      </w:pPr>
      <w:r w:rsidRPr="00C732CA">
        <w:rPr>
          <w:rFonts w:cs="Segoe UI Emoji"/>
          <w:b/>
          <w:bCs/>
          <w:color w:val="A5C9EB" w:themeColor="text2" w:themeTint="40"/>
          <w:sz w:val="32"/>
          <w:szCs w:val="32"/>
          <w:u w:val="single"/>
        </w:rPr>
        <w:t>Key Insights from Data Analysis</w:t>
      </w:r>
    </w:p>
    <w:p w14:paraId="38EE8C38" w14:textId="77777777" w:rsidR="00C732CA" w:rsidRPr="00C732CA" w:rsidRDefault="00C732CA" w:rsidP="00C732CA">
      <w:pPr>
        <w:rPr>
          <w:rFonts w:cs="Segoe UI Emoji"/>
        </w:rPr>
      </w:pPr>
      <w:r w:rsidRPr="00C732CA">
        <w:rPr>
          <w:rFonts w:cs="Segoe UI Emoji"/>
        </w:rPr>
        <w:t>Customer Churn Trends</w:t>
      </w:r>
    </w:p>
    <w:p w14:paraId="32860893" w14:textId="77777777" w:rsidR="00C732CA" w:rsidRPr="00C732CA" w:rsidRDefault="00C732CA" w:rsidP="00C732CA">
      <w:pPr>
        <w:numPr>
          <w:ilvl w:val="0"/>
          <w:numId w:val="11"/>
        </w:numPr>
        <w:rPr>
          <w:rFonts w:cs="Segoe UI Emoji"/>
        </w:rPr>
      </w:pPr>
      <w:r w:rsidRPr="00C732CA">
        <w:rPr>
          <w:rFonts w:cs="Segoe UI Emoji"/>
        </w:rPr>
        <w:t>Contract Type Influence: Customers on month-to-month contracts exhibit the highest churn rates, whereas those with one-year or two-year contracts show significantly lower churn rates.</w:t>
      </w:r>
    </w:p>
    <w:p w14:paraId="5B03CD23" w14:textId="77777777" w:rsidR="00C732CA" w:rsidRPr="00C732CA" w:rsidRDefault="00C732CA" w:rsidP="00C732CA">
      <w:pPr>
        <w:numPr>
          <w:ilvl w:val="0"/>
          <w:numId w:val="11"/>
        </w:numPr>
        <w:rPr>
          <w:rFonts w:cs="Segoe UI Emoji"/>
        </w:rPr>
      </w:pPr>
      <w:r w:rsidRPr="00C732CA">
        <w:rPr>
          <w:rFonts w:cs="Segoe UI Emoji"/>
        </w:rPr>
        <w:t>Payment Method Impact: Customers using electronic check payments tend to churn more frequently, suggesting dissatisfaction with the payment process.</w:t>
      </w:r>
    </w:p>
    <w:p w14:paraId="3BE19A79" w14:textId="77777777" w:rsidR="00C732CA" w:rsidRPr="00C732CA" w:rsidRDefault="00C732CA" w:rsidP="00C732CA">
      <w:pPr>
        <w:numPr>
          <w:ilvl w:val="0"/>
          <w:numId w:val="11"/>
        </w:numPr>
        <w:rPr>
          <w:rFonts w:cs="Segoe UI Emoji"/>
        </w:rPr>
      </w:pPr>
      <w:r w:rsidRPr="00C732CA">
        <w:rPr>
          <w:rFonts w:cs="Segoe UI Emoji"/>
        </w:rPr>
        <w:t xml:space="preserve">Tenure &amp; Monthly Charges: </w:t>
      </w:r>
    </w:p>
    <w:p w14:paraId="58EFD6DE" w14:textId="77777777" w:rsidR="00C732CA" w:rsidRPr="00C732CA" w:rsidRDefault="00C732CA" w:rsidP="00C732CA">
      <w:pPr>
        <w:numPr>
          <w:ilvl w:val="1"/>
          <w:numId w:val="11"/>
        </w:numPr>
        <w:rPr>
          <w:rFonts w:cs="Segoe UI Emoji"/>
        </w:rPr>
      </w:pPr>
      <w:r w:rsidRPr="00C732CA">
        <w:rPr>
          <w:rFonts w:cs="Segoe UI Emoji"/>
        </w:rPr>
        <w:t>Customers with less than 12 months of tenure are more likely to churn compared to long-term customers.</w:t>
      </w:r>
    </w:p>
    <w:p w14:paraId="0412E45C" w14:textId="77777777" w:rsidR="00C732CA" w:rsidRPr="00C732CA" w:rsidRDefault="00C732CA" w:rsidP="00C732CA">
      <w:pPr>
        <w:numPr>
          <w:ilvl w:val="1"/>
          <w:numId w:val="11"/>
        </w:numPr>
        <w:rPr>
          <w:rFonts w:cs="Segoe UI Emoji"/>
        </w:rPr>
      </w:pPr>
      <w:r w:rsidRPr="00C732CA">
        <w:rPr>
          <w:rFonts w:cs="Segoe UI Emoji"/>
        </w:rPr>
        <w:t>Customers with monthly charges above $80 show a slightly higher tendency to churn.</w:t>
      </w:r>
    </w:p>
    <w:p w14:paraId="63CF4B80" w14:textId="77777777" w:rsidR="00C732CA" w:rsidRPr="00C732CA" w:rsidRDefault="00C732CA" w:rsidP="00C732CA">
      <w:pPr>
        <w:rPr>
          <w:rFonts w:cs="Segoe UI Emoji"/>
        </w:rPr>
      </w:pPr>
      <w:r w:rsidRPr="00C732CA">
        <w:rPr>
          <w:rFonts w:cs="Segoe UI Emoji"/>
        </w:rPr>
        <w:t>Feature Importance from Machine Learning Models</w:t>
      </w:r>
    </w:p>
    <w:p w14:paraId="2290628A" w14:textId="77777777" w:rsidR="00C732CA" w:rsidRPr="00C732CA" w:rsidRDefault="00C732CA" w:rsidP="00C732CA">
      <w:pPr>
        <w:rPr>
          <w:rFonts w:cs="Segoe UI Emoji"/>
        </w:rPr>
      </w:pPr>
      <w:r w:rsidRPr="00C732CA">
        <w:rPr>
          <w:rFonts w:cs="Segoe UI Emoji"/>
        </w:rPr>
        <w:t>The top predictors of churn include:</w:t>
      </w:r>
    </w:p>
    <w:p w14:paraId="18211756" w14:textId="77777777" w:rsidR="00C732CA" w:rsidRPr="00C732CA" w:rsidRDefault="00C732CA" w:rsidP="00C732CA">
      <w:pPr>
        <w:numPr>
          <w:ilvl w:val="0"/>
          <w:numId w:val="12"/>
        </w:numPr>
        <w:rPr>
          <w:rFonts w:cs="Segoe UI Emoji"/>
        </w:rPr>
      </w:pPr>
      <w:r w:rsidRPr="00C732CA">
        <w:rPr>
          <w:rFonts w:cs="Segoe UI Emoji"/>
        </w:rPr>
        <w:lastRenderedPageBreak/>
        <w:t>Contract Type – Customers with short-term contracts are at a higher risk of leaving.</w:t>
      </w:r>
    </w:p>
    <w:p w14:paraId="4888F17E" w14:textId="77777777" w:rsidR="00C732CA" w:rsidRPr="00C732CA" w:rsidRDefault="00C732CA" w:rsidP="00C732CA">
      <w:pPr>
        <w:numPr>
          <w:ilvl w:val="0"/>
          <w:numId w:val="12"/>
        </w:numPr>
        <w:rPr>
          <w:rFonts w:cs="Segoe UI Emoji"/>
        </w:rPr>
      </w:pPr>
      <w:r w:rsidRPr="00C732CA">
        <w:rPr>
          <w:rFonts w:cs="Segoe UI Emoji"/>
        </w:rPr>
        <w:t>Tenure – Customers with a short tenure are more likely to churn.</w:t>
      </w:r>
    </w:p>
    <w:p w14:paraId="48A551E7" w14:textId="77777777" w:rsidR="00C732CA" w:rsidRPr="00C732CA" w:rsidRDefault="00C732CA" w:rsidP="00C732CA">
      <w:pPr>
        <w:numPr>
          <w:ilvl w:val="0"/>
          <w:numId w:val="12"/>
        </w:numPr>
        <w:rPr>
          <w:rFonts w:cs="Segoe UI Emoji"/>
        </w:rPr>
      </w:pPr>
      <w:r w:rsidRPr="00C732CA">
        <w:rPr>
          <w:rFonts w:cs="Segoe UI Emoji"/>
        </w:rPr>
        <w:t>Payment Method – Electronic check users tend to have higher churn rates.</w:t>
      </w:r>
    </w:p>
    <w:p w14:paraId="0943F0AD" w14:textId="77777777" w:rsidR="00C732CA" w:rsidRPr="00C732CA" w:rsidRDefault="00C732CA" w:rsidP="00C732CA">
      <w:pPr>
        <w:numPr>
          <w:ilvl w:val="0"/>
          <w:numId w:val="12"/>
        </w:numPr>
        <w:rPr>
          <w:rFonts w:cs="Segoe UI Emoji"/>
        </w:rPr>
      </w:pPr>
      <w:r w:rsidRPr="00C732CA">
        <w:rPr>
          <w:rFonts w:cs="Segoe UI Emoji"/>
        </w:rPr>
        <w:t>Tech Support Availability – Customers without tech support show higher churn tendencies.</w:t>
      </w:r>
    </w:p>
    <w:p w14:paraId="0E74C397" w14:textId="33B9A9C9" w:rsidR="00C732CA" w:rsidRPr="00C732CA" w:rsidRDefault="00C732CA" w:rsidP="00C732CA">
      <w:pPr>
        <w:pStyle w:val="ListParagraph"/>
        <w:numPr>
          <w:ilvl w:val="0"/>
          <w:numId w:val="18"/>
        </w:numPr>
        <w:rPr>
          <w:rFonts w:cs="Segoe UI Emoji"/>
          <w:highlight w:val="yellow"/>
        </w:rPr>
      </w:pPr>
      <w:r w:rsidRPr="00C732CA">
        <w:rPr>
          <w:rFonts w:cs="Segoe UI Emoji"/>
          <w:highlight w:val="yellow"/>
        </w:rPr>
        <w:t>These insights highlight key areas for targeted retention strategies.</w:t>
      </w:r>
    </w:p>
    <w:p w14:paraId="308027D0" w14:textId="77777777" w:rsidR="00C732CA" w:rsidRPr="00C732CA" w:rsidRDefault="00C732CA" w:rsidP="00C732CA">
      <w:pPr>
        <w:rPr>
          <w:rFonts w:cs="Segoe UI Emoji"/>
          <w:b/>
          <w:bCs/>
          <w:color w:val="A5C9EB" w:themeColor="text2" w:themeTint="40"/>
          <w:sz w:val="32"/>
          <w:szCs w:val="32"/>
          <w:u w:val="single"/>
        </w:rPr>
      </w:pPr>
      <w:r w:rsidRPr="00C732CA">
        <w:rPr>
          <w:rFonts w:cs="Segoe UI Emoji"/>
          <w:b/>
          <w:bCs/>
          <w:color w:val="A5C9EB" w:themeColor="text2" w:themeTint="40"/>
          <w:sz w:val="32"/>
          <w:szCs w:val="32"/>
          <w:u w:val="single"/>
        </w:rPr>
        <w:t>Business Recommendations &amp; Action Plan</w:t>
      </w:r>
    </w:p>
    <w:p w14:paraId="3F8413A1" w14:textId="77777777" w:rsidR="00C732CA" w:rsidRPr="00C732CA" w:rsidRDefault="00C732CA" w:rsidP="00C732CA">
      <w:pPr>
        <w:rPr>
          <w:rFonts w:cs="Segoe UI Emoji"/>
          <w:b/>
          <w:bCs/>
          <w:color w:val="156082" w:themeColor="accent1"/>
        </w:rPr>
      </w:pPr>
      <w:r w:rsidRPr="00C732CA">
        <w:rPr>
          <w:rFonts w:cs="Segoe UI Emoji"/>
          <w:b/>
          <w:bCs/>
          <w:color w:val="156082" w:themeColor="accent1"/>
        </w:rPr>
        <w:t>Customer Retention Strategies</w:t>
      </w:r>
    </w:p>
    <w:p w14:paraId="48F1E2C0" w14:textId="77777777" w:rsidR="00C732CA" w:rsidRPr="00C732CA" w:rsidRDefault="00C732CA" w:rsidP="00C732CA">
      <w:pPr>
        <w:numPr>
          <w:ilvl w:val="0"/>
          <w:numId w:val="13"/>
        </w:numPr>
        <w:rPr>
          <w:rFonts w:cs="Segoe UI Emoji"/>
        </w:rPr>
      </w:pPr>
      <w:r w:rsidRPr="00C732CA">
        <w:rPr>
          <w:rFonts w:cs="Segoe UI Emoji"/>
        </w:rPr>
        <w:t>Introduce discounted long-term contracts to encourage commitment.</w:t>
      </w:r>
    </w:p>
    <w:p w14:paraId="0294C2BC" w14:textId="77777777" w:rsidR="00C732CA" w:rsidRPr="00C732CA" w:rsidRDefault="00C732CA" w:rsidP="00C732CA">
      <w:pPr>
        <w:numPr>
          <w:ilvl w:val="0"/>
          <w:numId w:val="13"/>
        </w:numPr>
        <w:rPr>
          <w:rFonts w:cs="Segoe UI Emoji"/>
        </w:rPr>
      </w:pPr>
      <w:r w:rsidRPr="00C732CA">
        <w:rPr>
          <w:rFonts w:cs="Segoe UI Emoji"/>
        </w:rPr>
        <w:t>Offer free months or additional perks for customers who renew contracts beyond their first year.</w:t>
      </w:r>
    </w:p>
    <w:p w14:paraId="1FFF57C0" w14:textId="77777777" w:rsidR="00C732CA" w:rsidRPr="00C732CA" w:rsidRDefault="00C732CA" w:rsidP="00C732CA">
      <w:pPr>
        <w:numPr>
          <w:ilvl w:val="0"/>
          <w:numId w:val="13"/>
        </w:numPr>
        <w:rPr>
          <w:rFonts w:cs="Segoe UI Emoji"/>
        </w:rPr>
      </w:pPr>
      <w:r w:rsidRPr="00C732CA">
        <w:rPr>
          <w:rFonts w:cs="Segoe UI Emoji"/>
        </w:rPr>
        <w:t>Encourage automatic payments via credit cards or bank transfers to reduce involuntary churn.</w:t>
      </w:r>
    </w:p>
    <w:p w14:paraId="21D63619" w14:textId="77777777" w:rsidR="00C732CA" w:rsidRPr="00C732CA" w:rsidRDefault="00C732CA" w:rsidP="00C732CA">
      <w:pPr>
        <w:numPr>
          <w:ilvl w:val="0"/>
          <w:numId w:val="13"/>
        </w:numPr>
        <w:rPr>
          <w:rFonts w:cs="Segoe UI Emoji"/>
        </w:rPr>
      </w:pPr>
      <w:r w:rsidRPr="00C732CA">
        <w:rPr>
          <w:rFonts w:cs="Segoe UI Emoji"/>
        </w:rPr>
        <w:t>Provide discount incentives for customers switching from electronic check payments.</w:t>
      </w:r>
    </w:p>
    <w:p w14:paraId="31E6234B" w14:textId="77777777" w:rsidR="00C732CA" w:rsidRPr="00C732CA" w:rsidRDefault="00C732CA" w:rsidP="00C732CA">
      <w:pPr>
        <w:numPr>
          <w:ilvl w:val="0"/>
          <w:numId w:val="13"/>
        </w:numPr>
        <w:rPr>
          <w:rFonts w:cs="Segoe UI Emoji"/>
        </w:rPr>
      </w:pPr>
      <w:r w:rsidRPr="00C732CA">
        <w:rPr>
          <w:rFonts w:cs="Segoe UI Emoji"/>
        </w:rPr>
        <w:t>Identify customers who do not have tech support and offer tailored support packages.</w:t>
      </w:r>
    </w:p>
    <w:p w14:paraId="64E4AF4A" w14:textId="77777777" w:rsidR="00C732CA" w:rsidRPr="00C732CA" w:rsidRDefault="00C732CA" w:rsidP="00C732CA">
      <w:pPr>
        <w:numPr>
          <w:ilvl w:val="0"/>
          <w:numId w:val="13"/>
        </w:numPr>
        <w:rPr>
          <w:rFonts w:cs="Segoe UI Emoji"/>
        </w:rPr>
      </w:pPr>
      <w:r w:rsidRPr="00C732CA">
        <w:rPr>
          <w:rFonts w:cs="Segoe UI Emoji"/>
        </w:rPr>
        <w:t>Enhance customer education on self-service options to improve engagement and satisfaction.</w:t>
      </w:r>
    </w:p>
    <w:p w14:paraId="342588D1" w14:textId="77777777" w:rsidR="00C732CA" w:rsidRPr="00C732CA" w:rsidRDefault="00C732CA" w:rsidP="00C732CA">
      <w:pPr>
        <w:rPr>
          <w:rFonts w:cs="Segoe UI Emoji"/>
          <w:color w:val="156082" w:themeColor="accent1"/>
        </w:rPr>
      </w:pPr>
      <w:r w:rsidRPr="00C732CA">
        <w:rPr>
          <w:rFonts w:cs="Segoe UI Emoji"/>
          <w:color w:val="156082" w:themeColor="accent1"/>
        </w:rPr>
        <w:t>Data-Driven Churn Prevention</w:t>
      </w:r>
    </w:p>
    <w:p w14:paraId="1EFE9916" w14:textId="77777777" w:rsidR="00C732CA" w:rsidRPr="00C732CA" w:rsidRDefault="00C732CA" w:rsidP="00C732CA">
      <w:pPr>
        <w:numPr>
          <w:ilvl w:val="0"/>
          <w:numId w:val="14"/>
        </w:numPr>
        <w:rPr>
          <w:rFonts w:cs="Segoe UI Emoji"/>
        </w:rPr>
      </w:pPr>
      <w:r w:rsidRPr="00C732CA">
        <w:rPr>
          <w:rFonts w:cs="Segoe UI Emoji"/>
        </w:rPr>
        <w:t>Deploy predictive churn models to identify high-risk customers in real time.</w:t>
      </w:r>
    </w:p>
    <w:p w14:paraId="2843AEB2" w14:textId="77777777" w:rsidR="00C732CA" w:rsidRPr="00C732CA" w:rsidRDefault="00C732CA" w:rsidP="00C732CA">
      <w:pPr>
        <w:numPr>
          <w:ilvl w:val="0"/>
          <w:numId w:val="14"/>
        </w:numPr>
        <w:rPr>
          <w:rFonts w:cs="Segoe UI Emoji"/>
        </w:rPr>
      </w:pPr>
      <w:r w:rsidRPr="00C732CA">
        <w:rPr>
          <w:rFonts w:cs="Segoe UI Emoji"/>
        </w:rPr>
        <w:t>Integrate churn prediction insights into customer relationship management (CRM) systems for proactive intervention.</w:t>
      </w:r>
    </w:p>
    <w:p w14:paraId="4791A400" w14:textId="77777777" w:rsidR="00C732CA" w:rsidRPr="00C732CA" w:rsidRDefault="00C732CA" w:rsidP="00C732CA">
      <w:pPr>
        <w:numPr>
          <w:ilvl w:val="0"/>
          <w:numId w:val="14"/>
        </w:numPr>
        <w:rPr>
          <w:rFonts w:cs="Segoe UI Emoji"/>
        </w:rPr>
      </w:pPr>
      <w:r w:rsidRPr="00C732CA">
        <w:rPr>
          <w:rFonts w:cs="Segoe UI Emoji"/>
        </w:rPr>
        <w:t>Develop a customer loyalty program with personalized incentives for high-value customers.</w:t>
      </w:r>
    </w:p>
    <w:p w14:paraId="394D7CD3" w14:textId="77777777" w:rsidR="00C732CA" w:rsidRPr="00C732CA" w:rsidRDefault="00C732CA" w:rsidP="00C732CA">
      <w:pPr>
        <w:numPr>
          <w:ilvl w:val="0"/>
          <w:numId w:val="14"/>
        </w:numPr>
        <w:rPr>
          <w:rFonts w:cs="Segoe UI Emoji"/>
        </w:rPr>
      </w:pPr>
      <w:r w:rsidRPr="00C732CA">
        <w:rPr>
          <w:rFonts w:cs="Segoe UI Emoji"/>
        </w:rPr>
        <w:t>Offer special retention deals for customers identified as churn risks.</w:t>
      </w:r>
    </w:p>
    <w:p w14:paraId="6CBA88E9" w14:textId="77777777" w:rsidR="00C732CA" w:rsidRPr="00C732CA" w:rsidRDefault="00C732CA" w:rsidP="00C732CA">
      <w:pPr>
        <w:numPr>
          <w:ilvl w:val="0"/>
          <w:numId w:val="14"/>
        </w:numPr>
        <w:rPr>
          <w:rFonts w:cs="Segoe UI Emoji"/>
        </w:rPr>
      </w:pPr>
      <w:r w:rsidRPr="00C732CA">
        <w:rPr>
          <w:rFonts w:cs="Segoe UI Emoji"/>
        </w:rPr>
        <w:t>Implement a customer engagement dashboard to monitor churn trends and track the effectiveness of retention strategies.</w:t>
      </w:r>
    </w:p>
    <w:p w14:paraId="4B233FD1" w14:textId="77777777" w:rsidR="00C732CA" w:rsidRPr="00C732CA" w:rsidRDefault="00C732CA" w:rsidP="00C732CA">
      <w:pPr>
        <w:rPr>
          <w:rFonts w:cs="Segoe UI Emoji"/>
          <w:b/>
          <w:bCs/>
          <w:color w:val="A5C9EB" w:themeColor="text2" w:themeTint="40"/>
          <w:sz w:val="32"/>
          <w:szCs w:val="32"/>
          <w:u w:val="single"/>
        </w:rPr>
      </w:pPr>
      <w:r w:rsidRPr="00C732CA">
        <w:rPr>
          <w:rFonts w:cs="Segoe UI Emoji"/>
          <w:b/>
          <w:bCs/>
          <w:color w:val="A5C9EB" w:themeColor="text2" w:themeTint="40"/>
          <w:sz w:val="32"/>
          <w:szCs w:val="32"/>
          <w:u w:val="single"/>
        </w:rPr>
        <w:t>Conclusion</w:t>
      </w:r>
    </w:p>
    <w:p w14:paraId="2254016E" w14:textId="77777777" w:rsidR="00C732CA" w:rsidRPr="00C732CA" w:rsidRDefault="00C732CA" w:rsidP="00C732CA">
      <w:pPr>
        <w:rPr>
          <w:rFonts w:cs="Segoe UI Emoji"/>
        </w:rPr>
      </w:pPr>
      <w:r w:rsidRPr="00C732CA">
        <w:rPr>
          <w:rFonts w:cs="Segoe UI Emoji"/>
        </w:rPr>
        <w:lastRenderedPageBreak/>
        <w:t>By implementing data-driven retention strategies, the company can significantly reduce churn rates, enhance customer satisfaction, and improve revenue growth.</w:t>
      </w:r>
    </w:p>
    <w:p w14:paraId="0BC79DE6" w14:textId="77777777" w:rsidR="00C732CA" w:rsidRPr="00C732CA" w:rsidRDefault="00C732CA" w:rsidP="00C732CA">
      <w:pPr>
        <w:rPr>
          <w:rFonts w:cs="Segoe UI Emoji"/>
          <w:b/>
          <w:bCs/>
          <w:u w:val="single"/>
        </w:rPr>
      </w:pPr>
      <w:r w:rsidRPr="00C732CA">
        <w:rPr>
          <w:rFonts w:cs="Segoe UI Emoji"/>
          <w:b/>
          <w:bCs/>
          <w:color w:val="156082" w:themeColor="accent1"/>
          <w:u w:val="single"/>
        </w:rPr>
        <w:t>Final Strategic Recommendations</w:t>
      </w:r>
      <w:r w:rsidRPr="00C732CA">
        <w:rPr>
          <w:rFonts w:cs="Segoe UI Emoji"/>
          <w:b/>
          <w:bCs/>
          <w:u w:val="single"/>
        </w:rPr>
        <w:t>:</w:t>
      </w:r>
    </w:p>
    <w:p w14:paraId="0401383B" w14:textId="77777777" w:rsidR="00C732CA" w:rsidRPr="00C732CA" w:rsidRDefault="00C732CA" w:rsidP="00C732CA">
      <w:pPr>
        <w:numPr>
          <w:ilvl w:val="0"/>
          <w:numId w:val="15"/>
        </w:numPr>
        <w:rPr>
          <w:rFonts w:cs="Segoe UI Emoji"/>
        </w:rPr>
      </w:pPr>
      <w:r w:rsidRPr="00C732CA">
        <w:rPr>
          <w:rFonts w:cs="Segoe UI Emoji"/>
        </w:rPr>
        <w:t>Automate churn prediction models to proactively address at-risk customers.</w:t>
      </w:r>
    </w:p>
    <w:p w14:paraId="3DD6E156" w14:textId="77777777" w:rsidR="00C732CA" w:rsidRPr="00C732CA" w:rsidRDefault="00C732CA" w:rsidP="00C732CA">
      <w:pPr>
        <w:numPr>
          <w:ilvl w:val="0"/>
          <w:numId w:val="15"/>
        </w:numPr>
        <w:rPr>
          <w:rFonts w:cs="Segoe UI Emoji"/>
        </w:rPr>
      </w:pPr>
      <w:r w:rsidRPr="00C732CA">
        <w:rPr>
          <w:rFonts w:cs="Segoe UI Emoji"/>
        </w:rPr>
        <w:t>Deploy a retention campaign targeting high-risk groups with personalized offers.</w:t>
      </w:r>
    </w:p>
    <w:p w14:paraId="778F7907" w14:textId="77777777" w:rsidR="00C732CA" w:rsidRPr="00C732CA" w:rsidRDefault="00C732CA" w:rsidP="00C732CA">
      <w:pPr>
        <w:numPr>
          <w:ilvl w:val="0"/>
          <w:numId w:val="15"/>
        </w:numPr>
        <w:rPr>
          <w:rFonts w:cs="Segoe UI Emoji"/>
        </w:rPr>
      </w:pPr>
      <w:r w:rsidRPr="00C732CA">
        <w:rPr>
          <w:rFonts w:cs="Segoe UI Emoji"/>
        </w:rPr>
        <w:t>Continuously monitor churn trends and refine intervention strategies using real-time analytics.</w:t>
      </w:r>
    </w:p>
    <w:p w14:paraId="56230B1C" w14:textId="77777777" w:rsidR="00C732CA" w:rsidRPr="00C732CA" w:rsidRDefault="00C732CA" w:rsidP="00C732CA">
      <w:pPr>
        <w:rPr>
          <w:rFonts w:cs="Segoe UI Emoji"/>
        </w:rPr>
      </w:pPr>
      <w:r w:rsidRPr="00C732CA">
        <w:rPr>
          <w:rFonts w:cs="Segoe UI Emoji"/>
        </w:rPr>
        <w:t>These measures will contribute to a stronger, more loyal customer base and a reduction in revenue losses due to churn.</w:t>
      </w:r>
    </w:p>
    <w:p w14:paraId="196E1DE5" w14:textId="180833AA" w:rsidR="00C732CA" w:rsidRPr="00C732CA" w:rsidRDefault="004E1F2A" w:rsidP="00C732CA">
      <w:pPr>
        <w:rPr>
          <w:rFonts w:cs="Segoe UI Emoji"/>
        </w:rPr>
      </w:pPr>
      <w:r w:rsidRPr="004E1F2A">
        <w:rPr>
          <w:rFonts w:cs="Segoe UI Emoji"/>
          <w:highlight w:val="yellow"/>
        </w:rPr>
        <w:t xml:space="preserve">Further </w:t>
      </w:r>
      <w:r w:rsidRPr="00C732CA">
        <w:rPr>
          <w:rFonts w:cs="Segoe UI Emoji"/>
          <w:highlight w:val="yellow"/>
        </w:rPr>
        <w:t>Steps</w:t>
      </w:r>
      <w:r w:rsidRPr="004E1F2A">
        <w:rPr>
          <w:rFonts w:cs="Segoe UI Emoji"/>
          <w:highlight w:val="yellow"/>
        </w:rPr>
        <w:t xml:space="preserve"> to </w:t>
      </w:r>
      <w:proofErr w:type="gramStart"/>
      <w:r w:rsidRPr="004E1F2A">
        <w:rPr>
          <w:rFonts w:cs="Segoe UI Emoji"/>
          <w:highlight w:val="yellow"/>
        </w:rPr>
        <w:t xml:space="preserve">Analyse </w:t>
      </w:r>
      <w:r w:rsidR="00C732CA" w:rsidRPr="00C732CA">
        <w:rPr>
          <w:rFonts w:cs="Segoe UI Emoji"/>
          <w:highlight w:val="yellow"/>
        </w:rPr>
        <w:t>:</w:t>
      </w:r>
      <w:proofErr w:type="gramEnd"/>
    </w:p>
    <w:p w14:paraId="6B76330F" w14:textId="68C279B2" w:rsidR="004E1F2A" w:rsidRPr="004E1F2A" w:rsidRDefault="004E1F2A" w:rsidP="004E1F2A">
      <w:pPr>
        <w:pStyle w:val="ListParagraph"/>
        <w:numPr>
          <w:ilvl w:val="0"/>
          <w:numId w:val="19"/>
        </w:numPr>
      </w:pPr>
      <w:r w:rsidRPr="004E1F2A">
        <w:rPr>
          <w:rFonts w:cs="Segoe UI Emoji"/>
          <w:b/>
          <w:bCs/>
        </w:rPr>
        <w:t>Deploy the final model</w:t>
      </w:r>
      <w:r w:rsidRPr="004E1F2A">
        <w:rPr>
          <w:rFonts w:cs="Segoe UI Emoji"/>
        </w:rPr>
        <w:t xml:space="preserve"> into a </w:t>
      </w:r>
      <w:r w:rsidRPr="004E1F2A">
        <w:rPr>
          <w:rFonts w:cs="Segoe UI Emoji"/>
          <w:b/>
          <w:bCs/>
        </w:rPr>
        <w:t>real-time churn prediction system</w:t>
      </w:r>
      <w:r w:rsidRPr="004E1F2A">
        <w:rPr>
          <w:rFonts w:cs="Segoe UI Emoji"/>
        </w:rPr>
        <w:t>.</w:t>
      </w:r>
    </w:p>
    <w:p w14:paraId="1E50BAAF" w14:textId="77777777" w:rsidR="004E1F2A" w:rsidRPr="004E1F2A" w:rsidRDefault="004E1F2A" w:rsidP="004E1F2A">
      <w:pPr>
        <w:pStyle w:val="ListParagraph"/>
        <w:numPr>
          <w:ilvl w:val="0"/>
          <w:numId w:val="19"/>
        </w:numPr>
      </w:pPr>
      <w:r w:rsidRPr="004E1F2A">
        <w:rPr>
          <w:rFonts w:cs="Segoe UI Emoji"/>
          <w:b/>
          <w:bCs/>
        </w:rPr>
        <w:t>Integrate predictions into SQL Server &amp; CRM</w:t>
      </w:r>
      <w:r w:rsidRPr="004E1F2A">
        <w:rPr>
          <w:rFonts w:cs="Segoe UI Emoji"/>
        </w:rPr>
        <w:t xml:space="preserve"> for proactive retention strategies.</w:t>
      </w:r>
    </w:p>
    <w:p w14:paraId="5C059393" w14:textId="6E622CE1" w:rsidR="00C732CA" w:rsidRPr="00C732CA" w:rsidRDefault="004E1F2A" w:rsidP="004E1F2A">
      <w:pPr>
        <w:pStyle w:val="ListParagraph"/>
        <w:numPr>
          <w:ilvl w:val="0"/>
          <w:numId w:val="19"/>
        </w:numPr>
      </w:pPr>
      <w:r w:rsidRPr="004E1F2A">
        <w:rPr>
          <w:rFonts w:cs="Segoe UI Emoji"/>
          <w:b/>
          <w:bCs/>
        </w:rPr>
        <w:t>Build a Tableau dashboard</w:t>
      </w:r>
      <w:r w:rsidRPr="004E1F2A">
        <w:rPr>
          <w:rFonts w:cs="Segoe UI Emoji"/>
        </w:rPr>
        <w:t xml:space="preserve"> to visualize churn trends and at-risk customers.</w:t>
      </w:r>
    </w:p>
    <w:sectPr w:rsidR="00C732CA" w:rsidRPr="00C73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E609A"/>
    <w:multiLevelType w:val="multilevel"/>
    <w:tmpl w:val="956A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A6270"/>
    <w:multiLevelType w:val="multilevel"/>
    <w:tmpl w:val="49B4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C5AE0"/>
    <w:multiLevelType w:val="multilevel"/>
    <w:tmpl w:val="0FD8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7670E"/>
    <w:multiLevelType w:val="multilevel"/>
    <w:tmpl w:val="9FC6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84795"/>
    <w:multiLevelType w:val="hybridMultilevel"/>
    <w:tmpl w:val="D8AAB2A6"/>
    <w:lvl w:ilvl="0" w:tplc="E096764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 Emoj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C28DF"/>
    <w:multiLevelType w:val="multilevel"/>
    <w:tmpl w:val="3CC2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D546B"/>
    <w:multiLevelType w:val="multilevel"/>
    <w:tmpl w:val="8372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C3E6B"/>
    <w:multiLevelType w:val="multilevel"/>
    <w:tmpl w:val="AB0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E5CE0"/>
    <w:multiLevelType w:val="multilevel"/>
    <w:tmpl w:val="AB44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761561"/>
    <w:multiLevelType w:val="multilevel"/>
    <w:tmpl w:val="D50E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93183"/>
    <w:multiLevelType w:val="multilevel"/>
    <w:tmpl w:val="3114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7627CD"/>
    <w:multiLevelType w:val="hybridMultilevel"/>
    <w:tmpl w:val="B0347188"/>
    <w:lvl w:ilvl="0" w:tplc="D97CF2F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="Segoe UI Emoj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C1C8F"/>
    <w:multiLevelType w:val="multilevel"/>
    <w:tmpl w:val="A476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FC4AF5"/>
    <w:multiLevelType w:val="multilevel"/>
    <w:tmpl w:val="B8C6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056A2E"/>
    <w:multiLevelType w:val="multilevel"/>
    <w:tmpl w:val="4B14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0579B8"/>
    <w:multiLevelType w:val="multilevel"/>
    <w:tmpl w:val="CAAE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3D2B70"/>
    <w:multiLevelType w:val="hybridMultilevel"/>
    <w:tmpl w:val="11A0AA3E"/>
    <w:lvl w:ilvl="0" w:tplc="F056D5F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="Segoe UI Emoji" w:hint="default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C2ED0"/>
    <w:multiLevelType w:val="multilevel"/>
    <w:tmpl w:val="614A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623757"/>
    <w:multiLevelType w:val="multilevel"/>
    <w:tmpl w:val="72BC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430340">
    <w:abstractNumId w:val="15"/>
  </w:num>
  <w:num w:numId="2" w16cid:durableId="1177694116">
    <w:abstractNumId w:val="6"/>
  </w:num>
  <w:num w:numId="3" w16cid:durableId="621351012">
    <w:abstractNumId w:val="13"/>
  </w:num>
  <w:num w:numId="4" w16cid:durableId="1808552547">
    <w:abstractNumId w:val="1"/>
  </w:num>
  <w:num w:numId="5" w16cid:durableId="308243085">
    <w:abstractNumId w:val="14"/>
  </w:num>
  <w:num w:numId="6" w16cid:durableId="47610203">
    <w:abstractNumId w:val="17"/>
  </w:num>
  <w:num w:numId="7" w16cid:durableId="1323659264">
    <w:abstractNumId w:val="12"/>
  </w:num>
  <w:num w:numId="8" w16cid:durableId="1586182589">
    <w:abstractNumId w:val="2"/>
  </w:num>
  <w:num w:numId="9" w16cid:durableId="236984175">
    <w:abstractNumId w:val="8"/>
  </w:num>
  <w:num w:numId="10" w16cid:durableId="1538543697">
    <w:abstractNumId w:val="3"/>
  </w:num>
  <w:num w:numId="11" w16cid:durableId="202450844">
    <w:abstractNumId w:val="18"/>
  </w:num>
  <w:num w:numId="12" w16cid:durableId="1821386694">
    <w:abstractNumId w:val="9"/>
  </w:num>
  <w:num w:numId="13" w16cid:durableId="700741408">
    <w:abstractNumId w:val="0"/>
  </w:num>
  <w:num w:numId="14" w16cid:durableId="408575170">
    <w:abstractNumId w:val="10"/>
  </w:num>
  <w:num w:numId="15" w16cid:durableId="889682529">
    <w:abstractNumId w:val="7"/>
  </w:num>
  <w:num w:numId="16" w16cid:durableId="89011150">
    <w:abstractNumId w:val="5"/>
  </w:num>
  <w:num w:numId="17" w16cid:durableId="839078105">
    <w:abstractNumId w:val="11"/>
  </w:num>
  <w:num w:numId="18" w16cid:durableId="1792624116">
    <w:abstractNumId w:val="4"/>
  </w:num>
  <w:num w:numId="19" w16cid:durableId="574825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CA"/>
    <w:rsid w:val="004E1F2A"/>
    <w:rsid w:val="005E2AFB"/>
    <w:rsid w:val="00C732CA"/>
    <w:rsid w:val="00DA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10D0"/>
  <w15:chartTrackingRefBased/>
  <w15:docId w15:val="{77AEE9C0-8807-40D8-8031-54F34C12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4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Forsen D</dc:creator>
  <cp:keywords/>
  <dc:description/>
  <cp:lastModifiedBy>Forsen D</cp:lastModifiedBy>
  <cp:revision>1</cp:revision>
  <dcterms:created xsi:type="dcterms:W3CDTF">2025-03-17T05:18:00Z</dcterms:created>
  <dcterms:modified xsi:type="dcterms:W3CDTF">2025-03-17T05:52:00Z</dcterms:modified>
</cp:coreProperties>
</file>