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D0B83" w14:textId="77777777" w:rsidR="0017506A" w:rsidRDefault="0017506A" w:rsidP="0017506A">
      <w:pPr>
        <w:pStyle w:val="Heading1"/>
        <w:spacing w:line="360" w:lineRule="auto"/>
      </w:pPr>
      <w:bookmarkStart w:id="0" w:name="_Toc100095145"/>
      <w:r w:rsidRPr="002337F9">
        <w:t>Title</w:t>
      </w:r>
      <w:bookmarkEnd w:id="0"/>
      <w:r>
        <w:t xml:space="preserve"> Page</w:t>
      </w:r>
    </w:p>
    <w:p w14:paraId="3FDF6C0B" w14:textId="77777777" w:rsidR="0017506A" w:rsidRDefault="0017506A" w:rsidP="0017506A">
      <w:pPr>
        <w:pStyle w:val="Heading2"/>
        <w:spacing w:line="360" w:lineRule="auto"/>
      </w:pPr>
      <w:r w:rsidRPr="007A640B">
        <w:t xml:space="preserve">Title: </w:t>
      </w:r>
      <w:bookmarkStart w:id="1" w:name="_Hlk103064407"/>
    </w:p>
    <w:bookmarkEnd w:id="1"/>
    <w:p w14:paraId="7940B876" w14:textId="77777777" w:rsidR="0017506A" w:rsidRPr="0017506A" w:rsidRDefault="0017506A" w:rsidP="0017506A">
      <w:pPr>
        <w:rPr>
          <w:rFonts w:ascii="Cambria" w:eastAsiaTheme="majorEastAsia" w:hAnsi="Cambria" w:cstheme="majorBidi"/>
          <w:color w:val="2F5496" w:themeColor="accent1" w:themeShade="BF"/>
          <w:kern w:val="0"/>
          <w:sz w:val="26"/>
          <w:szCs w:val="26"/>
          <w:lang w:val="en-AU"/>
          <w14:ligatures w14:val="none"/>
        </w:rPr>
      </w:pPr>
      <w:r w:rsidRPr="0017506A">
        <w:rPr>
          <w:rFonts w:ascii="Cambria" w:eastAsiaTheme="majorEastAsia" w:hAnsi="Cambria" w:cstheme="majorBidi"/>
          <w:color w:val="2F5496" w:themeColor="accent1" w:themeShade="BF"/>
          <w:kern w:val="0"/>
          <w:sz w:val="26"/>
          <w:szCs w:val="26"/>
          <w:lang w:val="en-AU"/>
          <w14:ligatures w14:val="none"/>
        </w:rPr>
        <w:t xml:space="preserve">Assessing the Feasibility of Automated Single Database Searches (PubMed, </w:t>
      </w:r>
      <w:proofErr w:type="spellStart"/>
      <w:r w:rsidRPr="0017506A">
        <w:rPr>
          <w:rFonts w:ascii="Cambria" w:eastAsiaTheme="majorEastAsia" w:hAnsi="Cambria" w:cstheme="majorBidi"/>
          <w:color w:val="2F5496" w:themeColor="accent1" w:themeShade="BF"/>
          <w:kern w:val="0"/>
          <w:sz w:val="26"/>
          <w:szCs w:val="26"/>
          <w:lang w:val="en-AU"/>
          <w14:ligatures w14:val="none"/>
        </w:rPr>
        <w:t>Embase</w:t>
      </w:r>
      <w:proofErr w:type="spellEnd"/>
      <w:r w:rsidRPr="0017506A">
        <w:rPr>
          <w:rFonts w:ascii="Cambria" w:eastAsiaTheme="majorEastAsia" w:hAnsi="Cambria" w:cstheme="majorBidi"/>
          <w:color w:val="2F5496" w:themeColor="accent1" w:themeShade="BF"/>
          <w:kern w:val="0"/>
          <w:sz w:val="26"/>
          <w:szCs w:val="26"/>
          <w:lang w:val="en-AU"/>
          <w14:ligatures w14:val="none"/>
        </w:rPr>
        <w:t xml:space="preserve">, </w:t>
      </w:r>
      <w:proofErr w:type="spellStart"/>
      <w:r w:rsidRPr="0017506A">
        <w:rPr>
          <w:rFonts w:ascii="Cambria" w:eastAsiaTheme="majorEastAsia" w:hAnsi="Cambria" w:cstheme="majorBidi"/>
          <w:color w:val="2F5496" w:themeColor="accent1" w:themeShade="BF"/>
          <w:kern w:val="0"/>
          <w:sz w:val="26"/>
          <w:szCs w:val="26"/>
          <w:lang w:val="en-AU"/>
          <w14:ligatures w14:val="none"/>
        </w:rPr>
        <w:t>OpenAlex</w:t>
      </w:r>
      <w:proofErr w:type="spellEnd"/>
      <w:r>
        <w:rPr>
          <w:rFonts w:ascii="Cambria" w:eastAsiaTheme="majorEastAsia" w:hAnsi="Cambria" w:cstheme="majorBidi"/>
          <w:color w:val="2F5496" w:themeColor="accent1" w:themeShade="BF"/>
          <w:kern w:val="0"/>
          <w:sz w:val="26"/>
          <w:szCs w:val="26"/>
          <w:lang w:val="en-AU"/>
          <w14:ligatures w14:val="none"/>
        </w:rPr>
        <w:t>,</w:t>
      </w:r>
      <w:r w:rsidRPr="0017506A">
        <w:rPr>
          <w:rFonts w:ascii="Cambria" w:eastAsiaTheme="majorEastAsia" w:hAnsi="Cambria" w:cstheme="majorBidi"/>
          <w:color w:val="2F5496" w:themeColor="accent1" w:themeShade="BF"/>
          <w:kern w:val="0"/>
          <w:sz w:val="26"/>
          <w:szCs w:val="26"/>
          <w:lang w:val="en-AU"/>
          <w14:ligatures w14:val="none"/>
        </w:rPr>
        <w:t xml:space="preserve"> and Semantic Scholar) for Living Guideline Maintenance and Evidence </w:t>
      </w:r>
      <w:commentRangeStart w:id="2"/>
      <w:r w:rsidRPr="0017506A">
        <w:rPr>
          <w:rFonts w:ascii="Cambria" w:eastAsiaTheme="majorEastAsia" w:hAnsi="Cambria" w:cstheme="majorBidi"/>
          <w:color w:val="2F5496" w:themeColor="accent1" w:themeShade="BF"/>
          <w:kern w:val="0"/>
          <w:sz w:val="26"/>
          <w:szCs w:val="26"/>
          <w:lang w:val="en-AU"/>
          <w14:ligatures w14:val="none"/>
        </w:rPr>
        <w:t>Surveillance</w:t>
      </w:r>
      <w:commentRangeEnd w:id="2"/>
      <w:r>
        <w:rPr>
          <w:rStyle w:val="CommentReference"/>
        </w:rPr>
        <w:commentReference w:id="2"/>
      </w:r>
      <w:r w:rsidRPr="0017506A">
        <w:rPr>
          <w:rFonts w:ascii="Cambria" w:eastAsiaTheme="majorEastAsia" w:hAnsi="Cambria" w:cstheme="majorBidi"/>
          <w:color w:val="2F5496" w:themeColor="accent1" w:themeShade="BF"/>
          <w:kern w:val="0"/>
          <w:sz w:val="26"/>
          <w:szCs w:val="26"/>
          <w:lang w:val="en-AU"/>
          <w14:ligatures w14:val="none"/>
        </w:rPr>
        <w:t xml:space="preserve"> </w:t>
      </w:r>
    </w:p>
    <w:p w14:paraId="42F1783C" w14:textId="77777777" w:rsidR="0017506A" w:rsidRPr="0059119B" w:rsidRDefault="0017506A" w:rsidP="0017506A">
      <w:pPr>
        <w:spacing w:line="360" w:lineRule="auto"/>
      </w:pPr>
    </w:p>
    <w:p w14:paraId="449E68E4" w14:textId="77777777" w:rsidR="0017506A" w:rsidRDefault="0017506A" w:rsidP="0017506A">
      <w:pPr>
        <w:pStyle w:val="Heading2"/>
        <w:spacing w:line="360" w:lineRule="auto"/>
      </w:pPr>
      <w:r>
        <w:t>First author: Darren Rajit</w:t>
      </w:r>
      <w:r w:rsidRPr="006A09A5">
        <w:rPr>
          <w:vertAlign w:val="superscript"/>
        </w:rPr>
        <w:t>1</w:t>
      </w:r>
      <w:r>
        <w:t xml:space="preserve"> </w:t>
      </w:r>
    </w:p>
    <w:p w14:paraId="0C2ADD88" w14:textId="77777777" w:rsidR="0017506A" w:rsidRDefault="0017506A" w:rsidP="0017506A">
      <w:pPr>
        <w:pStyle w:val="Heading2"/>
        <w:spacing w:line="360" w:lineRule="auto"/>
      </w:pPr>
      <w:r>
        <w:t>Other authors: Lan Du</w:t>
      </w:r>
      <w:r w:rsidRPr="006A09A5">
        <w:rPr>
          <w:vertAlign w:val="superscript"/>
        </w:rPr>
        <w:t>2</w:t>
      </w:r>
      <w:r>
        <w:t>, Helena Teede</w:t>
      </w:r>
      <w:r w:rsidRPr="006A09A5">
        <w:rPr>
          <w:vertAlign w:val="superscript"/>
        </w:rPr>
        <w:t>1,3</w:t>
      </w:r>
      <w:r>
        <w:t>, Joanne Enticott</w:t>
      </w:r>
      <w:r w:rsidRPr="006A09A5">
        <w:rPr>
          <w:vertAlign w:val="superscript"/>
        </w:rPr>
        <w:t>1,3</w:t>
      </w:r>
      <w:r>
        <w:t>*</w:t>
      </w:r>
    </w:p>
    <w:p w14:paraId="638150B1" w14:textId="77777777" w:rsidR="0017506A" w:rsidRDefault="0017506A" w:rsidP="0017506A">
      <w:pPr>
        <w:pStyle w:val="Heading2"/>
        <w:spacing w:line="360" w:lineRule="auto"/>
      </w:pPr>
    </w:p>
    <w:p w14:paraId="73018F88" w14:textId="77777777" w:rsidR="0017506A" w:rsidRDefault="0017506A" w:rsidP="0017506A">
      <w:pPr>
        <w:pStyle w:val="Heading2"/>
        <w:spacing w:line="360" w:lineRule="auto"/>
      </w:pPr>
      <w:r>
        <w:t xml:space="preserve">Affiliations: </w:t>
      </w:r>
    </w:p>
    <w:p w14:paraId="1DEC5091" w14:textId="77777777" w:rsidR="0017506A" w:rsidRPr="006A09A5" w:rsidRDefault="0017506A" w:rsidP="0017506A">
      <w:pPr>
        <w:pStyle w:val="Heading2"/>
        <w:spacing w:line="360" w:lineRule="auto"/>
        <w:rPr>
          <w:sz w:val="22"/>
          <w:szCs w:val="22"/>
        </w:rPr>
      </w:pPr>
      <w:r w:rsidRPr="006A09A5">
        <w:rPr>
          <w:sz w:val="22"/>
          <w:szCs w:val="22"/>
          <w:vertAlign w:val="superscript"/>
        </w:rPr>
        <w:t>1</w:t>
      </w:r>
      <w:r w:rsidRPr="006A09A5">
        <w:rPr>
          <w:sz w:val="22"/>
          <w:szCs w:val="22"/>
        </w:rPr>
        <w:t>Monash Centre for Health Research and Implementation, School of Public Health and Preventive Medicine, Faculty of Medicine, Nursing, and Health Sciences, Monash University, Clayton, Victoria, Australia</w:t>
      </w:r>
    </w:p>
    <w:p w14:paraId="0DDB7D68" w14:textId="77777777" w:rsidR="0017506A" w:rsidRPr="006A09A5" w:rsidRDefault="0017506A" w:rsidP="0017506A">
      <w:pPr>
        <w:pStyle w:val="Heading2"/>
        <w:spacing w:line="360" w:lineRule="auto"/>
        <w:rPr>
          <w:sz w:val="22"/>
          <w:szCs w:val="22"/>
        </w:rPr>
      </w:pPr>
      <w:r w:rsidRPr="006A09A5">
        <w:rPr>
          <w:sz w:val="22"/>
          <w:szCs w:val="22"/>
          <w:vertAlign w:val="superscript"/>
        </w:rPr>
        <w:t>2</w:t>
      </w:r>
      <w:r w:rsidRPr="006A09A5">
        <w:rPr>
          <w:sz w:val="22"/>
          <w:szCs w:val="22"/>
        </w:rPr>
        <w:t>Monash Faculty of Information Technology</w:t>
      </w:r>
      <w:r>
        <w:rPr>
          <w:sz w:val="22"/>
          <w:szCs w:val="22"/>
        </w:rPr>
        <w:t xml:space="preserve"> (Machine Learning Group) </w:t>
      </w:r>
    </w:p>
    <w:p w14:paraId="3866B122" w14:textId="77777777" w:rsidR="0017506A" w:rsidRDefault="0017506A" w:rsidP="0017506A">
      <w:pPr>
        <w:pStyle w:val="Heading2"/>
        <w:spacing w:line="360" w:lineRule="auto"/>
        <w:rPr>
          <w:sz w:val="22"/>
          <w:szCs w:val="22"/>
        </w:rPr>
      </w:pPr>
      <w:r w:rsidRPr="006A09A5">
        <w:rPr>
          <w:sz w:val="22"/>
          <w:szCs w:val="22"/>
          <w:vertAlign w:val="superscript"/>
        </w:rPr>
        <w:t>3</w:t>
      </w:r>
      <w:r w:rsidRPr="006A09A5">
        <w:rPr>
          <w:sz w:val="22"/>
          <w:szCs w:val="22"/>
        </w:rPr>
        <w:t>Monash Partners Academic Health Sciences Centre, Clayton, Victoria, Australia</w:t>
      </w:r>
    </w:p>
    <w:p w14:paraId="56A64196" w14:textId="77777777" w:rsidR="0017506A" w:rsidRDefault="0017506A" w:rsidP="0017506A">
      <w:pPr>
        <w:pStyle w:val="Heading2"/>
        <w:spacing w:line="360" w:lineRule="auto"/>
        <w:rPr>
          <w:rStyle w:val="Heading4Char"/>
        </w:rPr>
      </w:pPr>
    </w:p>
    <w:p w14:paraId="432F0856" w14:textId="77777777" w:rsidR="0017506A" w:rsidRDefault="0017506A" w:rsidP="0017506A">
      <w:pPr>
        <w:pStyle w:val="Heading2"/>
        <w:spacing w:line="360" w:lineRule="auto"/>
        <w:rPr>
          <w:i/>
          <w:iCs/>
          <w:sz w:val="22"/>
          <w:szCs w:val="22"/>
        </w:rPr>
      </w:pPr>
      <w:r w:rsidRPr="006A09A5">
        <w:rPr>
          <w:i/>
          <w:iCs/>
          <w:sz w:val="22"/>
          <w:szCs w:val="22"/>
        </w:rPr>
        <w:t xml:space="preserve">*Senior and corresponding author: Joanne </w:t>
      </w:r>
      <w:proofErr w:type="spellStart"/>
      <w:r w:rsidRPr="006A09A5">
        <w:rPr>
          <w:i/>
          <w:iCs/>
          <w:sz w:val="22"/>
          <w:szCs w:val="22"/>
        </w:rPr>
        <w:t>Enticott</w:t>
      </w:r>
      <w:proofErr w:type="spellEnd"/>
      <w:r w:rsidRPr="006A09A5">
        <w:rPr>
          <w:i/>
          <w:iCs/>
          <w:sz w:val="22"/>
          <w:szCs w:val="22"/>
        </w:rPr>
        <w:t xml:space="preserve">, E: joanne.enticott@monash.edu, Add: Level 1, 43-51 </w:t>
      </w:r>
      <w:proofErr w:type="spellStart"/>
      <w:r w:rsidRPr="006A09A5">
        <w:rPr>
          <w:i/>
          <w:iCs/>
          <w:sz w:val="22"/>
          <w:szCs w:val="22"/>
        </w:rPr>
        <w:t>Kanooka</w:t>
      </w:r>
      <w:proofErr w:type="spellEnd"/>
      <w:r w:rsidRPr="006A09A5">
        <w:rPr>
          <w:i/>
          <w:iCs/>
          <w:sz w:val="22"/>
          <w:szCs w:val="22"/>
        </w:rPr>
        <w:t xml:space="preserve"> Grove Clayton VIC 3168</w:t>
      </w:r>
    </w:p>
    <w:p w14:paraId="7E5F93D8" w14:textId="77777777" w:rsidR="0017506A" w:rsidRPr="0017506A" w:rsidRDefault="0017506A" w:rsidP="0017506A">
      <w:pPr>
        <w:pStyle w:val="Heading2"/>
        <w:spacing w:line="360" w:lineRule="auto"/>
        <w:rPr>
          <w:i/>
          <w:iCs/>
          <w:sz w:val="22"/>
          <w:szCs w:val="22"/>
        </w:rPr>
      </w:pPr>
      <w:r>
        <w:rPr>
          <w:rStyle w:val="Heading4Char"/>
        </w:rPr>
        <w:br/>
      </w:r>
    </w:p>
    <w:p w14:paraId="33B7C60C" w14:textId="77777777" w:rsidR="0017506A" w:rsidRDefault="0017506A" w:rsidP="0017506A">
      <w:pPr>
        <w:pStyle w:val="Heading2"/>
        <w:spacing w:line="360" w:lineRule="auto"/>
      </w:pPr>
      <w:r w:rsidRPr="007A640B">
        <w:t xml:space="preserve">Keywords: </w:t>
      </w:r>
      <w:r>
        <w:t xml:space="preserve">Evidence synthesis, learning health systems,  evidence retrieval, </w:t>
      </w:r>
      <w:r>
        <w:t>living evidence, living guidelines</w:t>
      </w:r>
    </w:p>
    <w:p w14:paraId="2C358883" w14:textId="77777777" w:rsidR="0017506A" w:rsidRDefault="0017506A" w:rsidP="0017506A">
      <w:pPr>
        <w:spacing w:line="360" w:lineRule="auto"/>
        <w:rPr>
          <w:lang w:val="en-AU"/>
        </w:rPr>
      </w:pPr>
    </w:p>
    <w:p w14:paraId="1CC2CE60" w14:textId="77777777" w:rsidR="0017506A" w:rsidRDefault="0017506A" w:rsidP="0017506A">
      <w:pPr>
        <w:pStyle w:val="Heading2"/>
        <w:spacing w:line="360" w:lineRule="auto"/>
      </w:pPr>
      <w:r>
        <w:t xml:space="preserve">Target Journal: </w:t>
      </w:r>
    </w:p>
    <w:p w14:paraId="787408F8" w14:textId="77777777" w:rsidR="0017506A" w:rsidRDefault="0017506A" w:rsidP="001750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Lancet </w:t>
      </w:r>
      <w:proofErr w:type="spellStart"/>
      <w:r>
        <w:rPr>
          <w:lang w:val="en-AU"/>
        </w:rPr>
        <w:t>EClinicalMedicine</w:t>
      </w:r>
      <w:proofErr w:type="spellEnd"/>
      <w:r>
        <w:rPr>
          <w:lang w:val="en-AU"/>
        </w:rPr>
        <w:t xml:space="preserve"> (IF: 9.6, $5,250, Discounts can be requested if accepted)</w:t>
      </w:r>
    </w:p>
    <w:p w14:paraId="168918F8" w14:textId="77777777" w:rsidR="0017506A" w:rsidRDefault="0017506A" w:rsidP="001750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Research Synthesis Methods (IF: 5.0,  Fee waiver available via Wiley Agreement)</w:t>
      </w:r>
    </w:p>
    <w:p w14:paraId="248F93C6" w14:textId="77777777" w:rsidR="0017506A" w:rsidRDefault="0017506A" w:rsidP="001750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Journal of Clinical Epidemiology</w:t>
      </w:r>
      <w:r>
        <w:rPr>
          <w:lang w:val="en-AU"/>
        </w:rPr>
        <w:t xml:space="preserve"> (IF: 7.3, Open Access Fee: $4030)</w:t>
      </w:r>
    </w:p>
    <w:p w14:paraId="3324D6D1" w14:textId="77777777" w:rsidR="0017506A" w:rsidRDefault="0017506A" w:rsidP="0017506A">
      <w:pPr>
        <w:rPr>
          <w:lang w:val="en-AU"/>
        </w:rPr>
      </w:pPr>
    </w:p>
    <w:p w14:paraId="2751D922" w14:textId="77777777" w:rsidR="0017506A" w:rsidRDefault="0017506A" w:rsidP="0017506A">
      <w:pPr>
        <w:rPr>
          <w:lang w:val="en-AU"/>
        </w:rPr>
      </w:pPr>
    </w:p>
    <w:p w14:paraId="0A03B297" w14:textId="77777777" w:rsidR="0017506A" w:rsidRDefault="0017506A" w:rsidP="0017506A">
      <w:pPr>
        <w:rPr>
          <w:lang w:val="en-AU"/>
        </w:rPr>
      </w:pPr>
    </w:p>
    <w:p w14:paraId="4AE6F809" w14:textId="77777777" w:rsidR="0017506A" w:rsidRDefault="0017506A" w:rsidP="0017506A">
      <w:pPr>
        <w:rPr>
          <w:lang w:val="en-AU"/>
        </w:rPr>
      </w:pPr>
    </w:p>
    <w:p w14:paraId="19C65F6B" w14:textId="77777777" w:rsidR="0017506A" w:rsidRPr="0017506A" w:rsidRDefault="0017506A" w:rsidP="0017506A">
      <w:pPr>
        <w:rPr>
          <w:lang w:val="en-AU"/>
        </w:rPr>
      </w:pPr>
    </w:p>
    <w:p w14:paraId="6A473FCB" w14:textId="77777777" w:rsidR="00B22B8F" w:rsidRDefault="0017506A" w:rsidP="0017506A">
      <w:pPr>
        <w:pStyle w:val="Heading1"/>
      </w:pPr>
      <w:r>
        <w:t xml:space="preserve">Introduction </w:t>
      </w:r>
    </w:p>
    <w:p w14:paraId="4A674A3A" w14:textId="77777777" w:rsidR="0017506A" w:rsidRDefault="0017506A" w:rsidP="0017506A"/>
    <w:p w14:paraId="77977A18" w14:textId="77777777" w:rsidR="0017506A" w:rsidRDefault="0017506A" w:rsidP="0017506A">
      <w:pPr>
        <w:pStyle w:val="Heading5"/>
      </w:pPr>
      <w:r>
        <w:t xml:space="preserve">Link Evidence Based Guideline Development to LHS, and Highlight importance of Living Evidence </w:t>
      </w:r>
      <w:r>
        <w:br/>
      </w:r>
    </w:p>
    <w:p w14:paraId="0933E18F" w14:textId="77777777" w:rsidR="0017506A" w:rsidRDefault="0017506A" w:rsidP="0017506A">
      <w:pPr>
        <w:pStyle w:val="ListParagraph"/>
        <w:numPr>
          <w:ilvl w:val="0"/>
          <w:numId w:val="2"/>
        </w:numPr>
      </w:pPr>
      <w:r>
        <w:t xml:space="preserve">Evidence Based Guidelines (EBGs) are crucial in </w:t>
      </w:r>
      <w:proofErr w:type="spellStart"/>
      <w:r>
        <w:t>pragmatising</w:t>
      </w:r>
      <w:proofErr w:type="spellEnd"/>
      <w:r>
        <w:t xml:space="preserve"> both Evidence Based Medicine and </w:t>
      </w:r>
      <w:r>
        <w:t>Person-Centred</w:t>
      </w:r>
      <w:r>
        <w:t xml:space="preserve"> Medicine within Learning Healt</w:t>
      </w:r>
      <w:r>
        <w:t>h</w:t>
      </w:r>
      <w:r>
        <w:t xml:space="preserve"> Systems (LHS) by ensuring stakeholder priorities are aligned with downstream evidence synthesis. </w:t>
      </w:r>
    </w:p>
    <w:p w14:paraId="2660E1B9" w14:textId="77777777" w:rsidR="0017506A" w:rsidRDefault="0017506A" w:rsidP="0017506A">
      <w:pPr>
        <w:pStyle w:val="ListParagraph"/>
        <w:numPr>
          <w:ilvl w:val="0"/>
          <w:numId w:val="2"/>
        </w:numPr>
      </w:pPr>
      <w:r>
        <w:t xml:space="preserve">This results in recommendations that are more likely to be of practical relevance to both frontline healthcare practitioners and consumers </w:t>
      </w:r>
    </w:p>
    <w:p w14:paraId="6DC04794" w14:textId="77777777" w:rsidR="0017506A" w:rsidRDefault="0017506A" w:rsidP="0017506A">
      <w:pPr>
        <w:pStyle w:val="ListParagraph"/>
        <w:numPr>
          <w:ilvl w:val="0"/>
          <w:numId w:val="2"/>
        </w:numPr>
      </w:pPr>
      <w:r>
        <w:t xml:space="preserve">Thus, the transition of EBGs towards a living format, where the available </w:t>
      </w:r>
      <w:r>
        <w:t>research</w:t>
      </w:r>
      <w:r>
        <w:t xml:space="preserve"> evidence is continuously synthesised as it is produced; is paramount to ensuring that recommendations and guidance remain relevant to frontline care.</w:t>
      </w:r>
    </w:p>
    <w:p w14:paraId="0486DCA6" w14:textId="77777777" w:rsidR="0017506A" w:rsidRDefault="0017506A" w:rsidP="0017506A">
      <w:pPr>
        <w:pStyle w:val="ListParagraph"/>
        <w:numPr>
          <w:ilvl w:val="0"/>
          <w:numId w:val="2"/>
        </w:numPr>
      </w:pPr>
      <w:r>
        <w:t xml:space="preserve">This is further crucial in realising high functioning and transformative learning health systems that are able to efficiently leverage the research evidence as it is produced. </w:t>
      </w:r>
    </w:p>
    <w:p w14:paraId="44CB84BA" w14:textId="77777777" w:rsidR="0017506A" w:rsidRDefault="0017506A" w:rsidP="0017506A">
      <w:pPr>
        <w:pStyle w:val="Heading5"/>
      </w:pPr>
      <w:r>
        <w:t xml:space="preserve">Sustainability of Living EBG is An Issue – Automation is route for Addressing this </w:t>
      </w:r>
      <w:r>
        <w:br/>
      </w:r>
    </w:p>
    <w:p w14:paraId="4EAFA4CB" w14:textId="77777777" w:rsidR="0017506A" w:rsidRDefault="0017506A" w:rsidP="0017506A">
      <w:pPr>
        <w:pStyle w:val="ListParagraph"/>
        <w:numPr>
          <w:ilvl w:val="0"/>
          <w:numId w:val="3"/>
        </w:numPr>
      </w:pPr>
      <w:r>
        <w:t>However, the production of EBGs is highly time-consuming and expensive. Transition towards a living format utilising current (mostly manual) approaches compounds this, and ongoing maintenance could be potentially cost-prohibitive.</w:t>
      </w:r>
    </w:p>
    <w:p w14:paraId="4351D5B0" w14:textId="77777777" w:rsidR="0017506A" w:rsidRDefault="0017506A" w:rsidP="0017506A">
      <w:pPr>
        <w:pStyle w:val="ListParagraph"/>
        <w:numPr>
          <w:ilvl w:val="0"/>
          <w:numId w:val="3"/>
        </w:numPr>
      </w:pPr>
      <w:r>
        <w:t xml:space="preserve">As such, both automation and </w:t>
      </w:r>
      <w:r>
        <w:t>artificial</w:t>
      </w:r>
      <w:r>
        <w:t xml:space="preserve"> intelligence enabled methods have a clear role to play towards enabling the goal of living, continually relevant guidelines. </w:t>
      </w:r>
    </w:p>
    <w:p w14:paraId="357FA7E4" w14:textId="77777777" w:rsidR="0017506A" w:rsidRDefault="0017506A" w:rsidP="0017506A">
      <w:pPr>
        <w:pStyle w:val="ListParagraph"/>
        <w:numPr>
          <w:ilvl w:val="0"/>
          <w:numId w:val="3"/>
        </w:numPr>
      </w:pPr>
      <w:r>
        <w:t xml:space="preserve">Thus, the first step in transitioning EBGs towards a living format </w:t>
      </w:r>
      <w:r>
        <w:t>firstly</w:t>
      </w:r>
      <w:r>
        <w:t xml:space="preserve"> requires a method to continuously monitor and retrieve the current state of the literature, prior to </w:t>
      </w:r>
      <w:r>
        <w:t>downstream</w:t>
      </w:r>
      <w:r>
        <w:t xml:space="preserve"> screening, data extraction and </w:t>
      </w:r>
      <w:r>
        <w:t>meta-analysis</w:t>
      </w:r>
      <w:r>
        <w:t>.</w:t>
      </w:r>
    </w:p>
    <w:p w14:paraId="7D589F54" w14:textId="77777777" w:rsidR="0017506A" w:rsidRDefault="00587429" w:rsidP="00587429">
      <w:pPr>
        <w:pStyle w:val="Heading5"/>
      </w:pPr>
      <w:r>
        <w:t>Highlight rise of next generation databases that allow for programmatic access</w:t>
      </w:r>
    </w:p>
    <w:p w14:paraId="4BE560FC" w14:textId="77777777" w:rsidR="00587429" w:rsidRPr="00587429" w:rsidRDefault="00587429" w:rsidP="00587429"/>
    <w:p w14:paraId="39C68CF9" w14:textId="0FE3D1B8" w:rsidR="00587429" w:rsidRDefault="0017506A" w:rsidP="0017506A">
      <w:pPr>
        <w:pStyle w:val="ListParagraph"/>
        <w:numPr>
          <w:ilvl w:val="0"/>
          <w:numId w:val="4"/>
        </w:numPr>
      </w:pPr>
      <w:r>
        <w:t xml:space="preserve">The past 5 years have seen the rise of bibliographic databases that allow for </w:t>
      </w:r>
      <w:r w:rsidR="004C4D04">
        <w:t>programmatic</w:t>
      </w:r>
      <w:r>
        <w:t xml:space="preserve"> (and by extension, automated) access to research evidence through </w:t>
      </w:r>
      <w:r w:rsidR="004C4D04">
        <w:t>application</w:t>
      </w:r>
      <w:r>
        <w:t xml:space="preserve"> programming interfaces (API). </w:t>
      </w:r>
    </w:p>
    <w:p w14:paraId="111AF5BD" w14:textId="42B353D0" w:rsidR="00587429" w:rsidRDefault="0017506A" w:rsidP="0017506A">
      <w:pPr>
        <w:pStyle w:val="ListParagraph"/>
        <w:numPr>
          <w:ilvl w:val="0"/>
          <w:numId w:val="4"/>
        </w:numPr>
      </w:pPr>
      <w:r>
        <w:t>However, limited work has been done in understanding the extent of coverage of s</w:t>
      </w:r>
      <w:bookmarkStart w:id="3" w:name="_GoBack"/>
      <w:bookmarkEnd w:id="3"/>
      <w:r>
        <w:t xml:space="preserve">uch databases, and whether focusing search or evidence retrieval efforts on a single bibliographic database is sufficient for the purposes of continually searching the literature, and triggering updates when relevant. </w:t>
      </w:r>
      <w:proofErr w:type="gramStart"/>
      <w:r>
        <w:t>Indeed</w:t>
      </w:r>
      <w:proofErr w:type="gramEnd"/>
      <w:r>
        <w:t xml:space="preserve"> the </w:t>
      </w:r>
      <w:r w:rsidR="004C4D04">
        <w:t>Australian</w:t>
      </w:r>
      <w:r>
        <w:t xml:space="preserve"> Living Str</w:t>
      </w:r>
      <w:r w:rsidR="004C4D04">
        <w:t>ok</w:t>
      </w:r>
      <w:r>
        <w:t xml:space="preserve">e Guidelines recently transitioned to such an approach, only searching PubMed for updates after uncovering that </w:t>
      </w:r>
      <w:r w:rsidR="004C4D04">
        <w:t>93</w:t>
      </w:r>
      <w:r>
        <w:t xml:space="preserve">% of articles could be retrieved from PubMed alone. </w:t>
      </w:r>
    </w:p>
    <w:p w14:paraId="52521FDD" w14:textId="77777777" w:rsidR="00587429" w:rsidRDefault="0017506A" w:rsidP="0017506A">
      <w:pPr>
        <w:pStyle w:val="ListParagraph"/>
        <w:numPr>
          <w:ilvl w:val="0"/>
          <w:numId w:val="4"/>
        </w:numPr>
      </w:pPr>
      <w:r>
        <w:t xml:space="preserve">As such, we build on our prior work developing the 2023 Edition of the International PCOS Guidelines by beginning the transition of the guidelines to a living format. The first step being understanding the extent of the coverage of this new generation of databases, and whether a single database search would be sufficient for evidence </w:t>
      </w:r>
      <w:r w:rsidR="00587429">
        <w:t>surveillance</w:t>
      </w:r>
      <w:r>
        <w:t xml:space="preserve"> purposes, thus allowing savings in terms of effort. </w:t>
      </w:r>
    </w:p>
    <w:p w14:paraId="339D30B6" w14:textId="77777777" w:rsidR="0017506A" w:rsidRDefault="0017506A" w:rsidP="0017506A">
      <w:pPr>
        <w:pStyle w:val="ListParagraph"/>
        <w:numPr>
          <w:ilvl w:val="0"/>
          <w:numId w:val="4"/>
        </w:numPr>
      </w:pPr>
      <w:r>
        <w:t xml:space="preserve">Here the assumption is that favourable coverage of articles included in the current edition of the guidelines would predict favourable coverage of potentially relevant articles in the future. </w:t>
      </w:r>
    </w:p>
    <w:p w14:paraId="30627E46" w14:textId="77777777" w:rsidR="00587429" w:rsidRDefault="00587429" w:rsidP="00587429">
      <w:pPr>
        <w:pStyle w:val="Heading5"/>
      </w:pPr>
      <w:r>
        <w:lastRenderedPageBreak/>
        <w:t xml:space="preserve">Context of International PCOS Guidelines as Dataset </w:t>
      </w:r>
      <w:r>
        <w:br/>
      </w:r>
    </w:p>
    <w:p w14:paraId="4D931A32" w14:textId="77777777" w:rsidR="00587429" w:rsidRDefault="0017506A" w:rsidP="0017506A">
      <w:pPr>
        <w:pStyle w:val="ListParagraph"/>
        <w:numPr>
          <w:ilvl w:val="0"/>
          <w:numId w:val="5"/>
        </w:numPr>
      </w:pPr>
      <w:r>
        <w:t xml:space="preserve">The International PCOS Guidelines involved the production of </w:t>
      </w:r>
      <w:r w:rsidR="00587429">
        <w:t>54</w:t>
      </w:r>
      <w:r>
        <w:t xml:space="preserve"> evidence reviews, across 5 themes or Guideline </w:t>
      </w:r>
      <w:r w:rsidR="00587429">
        <w:t>Development</w:t>
      </w:r>
      <w:r>
        <w:t xml:space="preserve"> Groups (GDGs). </w:t>
      </w:r>
    </w:p>
    <w:p w14:paraId="1F60D70B" w14:textId="77777777" w:rsidR="00587429" w:rsidRDefault="00587429" w:rsidP="0017506A">
      <w:pPr>
        <w:pStyle w:val="ListParagraph"/>
        <w:numPr>
          <w:ilvl w:val="0"/>
          <w:numId w:val="5"/>
        </w:numPr>
      </w:pPr>
      <w:r>
        <w:t>50% (27/54)</w:t>
      </w:r>
      <w:r w:rsidR="0017506A">
        <w:t xml:space="preserve"> of these evidence reviews were systematic review updates, </w:t>
      </w:r>
      <w:r>
        <w:t xml:space="preserve">37% (20/54) were </w:t>
      </w:r>
      <w:r w:rsidR="0017506A">
        <w:t xml:space="preserve">new systematic reviews, and a further </w:t>
      </w:r>
      <w:r>
        <w:t>11% (6/54)</w:t>
      </w:r>
      <w:r w:rsidR="0017506A">
        <w:t xml:space="preserve"> were narrative reviews. Here we tested coverage of articles that were included in both the systematic review updates and new systematic reviews that were carried out in the guidelines. </w:t>
      </w:r>
    </w:p>
    <w:p w14:paraId="61268388" w14:textId="77777777" w:rsidR="00587429" w:rsidRDefault="0017506A" w:rsidP="0017506A">
      <w:pPr>
        <w:pStyle w:val="ListParagraph"/>
        <w:numPr>
          <w:ilvl w:val="0"/>
          <w:numId w:val="5"/>
        </w:numPr>
      </w:pPr>
      <w:r>
        <w:t xml:space="preserve">4 databases were tested. Firstly, PubMed and </w:t>
      </w:r>
      <w:proofErr w:type="spellStart"/>
      <w:r>
        <w:t>Embase</w:t>
      </w:r>
      <w:proofErr w:type="spellEnd"/>
      <w:r>
        <w:t xml:space="preserve">, comprising the 2 most common databases that were searched. Secondly, </w:t>
      </w:r>
      <w:proofErr w:type="spellStart"/>
      <w:r>
        <w:t>OpenAlex</w:t>
      </w:r>
      <w:proofErr w:type="spellEnd"/>
      <w:r>
        <w:t xml:space="preserve"> and Semantic Scholar, which represent the new generation of field agnostic, bibliographic databases that </w:t>
      </w:r>
      <w:proofErr w:type="spellStart"/>
      <w:r>
        <w:t>i</w:t>
      </w:r>
      <w:proofErr w:type="spellEnd"/>
      <w:r>
        <w:t xml:space="preserve">) aggregate multiple sources ii) and allow for programmatic access to the research corpora via </w:t>
      </w:r>
      <w:r w:rsidR="00587429">
        <w:t>publicly</w:t>
      </w:r>
      <w:r>
        <w:t xml:space="preserve"> </w:t>
      </w:r>
      <w:r w:rsidR="00587429">
        <w:t>available</w:t>
      </w:r>
      <w:r>
        <w:t xml:space="preserve"> APIs. </w:t>
      </w:r>
    </w:p>
    <w:p w14:paraId="1D90DDA3" w14:textId="77777777" w:rsidR="0017506A" w:rsidRDefault="0017506A" w:rsidP="0017506A">
      <w:pPr>
        <w:pStyle w:val="ListParagraph"/>
        <w:numPr>
          <w:ilvl w:val="0"/>
          <w:numId w:val="5"/>
        </w:numPr>
      </w:pPr>
      <w:r>
        <w:t>All databases were also chosen on the basis of API availability that would enable automated and programmatic access to the research evidence.</w:t>
      </w:r>
    </w:p>
    <w:p w14:paraId="599378E6" w14:textId="77777777" w:rsidR="00587429" w:rsidRDefault="00587429" w:rsidP="00587429">
      <w:pPr>
        <w:pStyle w:val="Heading1"/>
      </w:pPr>
    </w:p>
    <w:p w14:paraId="099202B9" w14:textId="77777777" w:rsidR="00587429" w:rsidRDefault="00587429" w:rsidP="00587429">
      <w:pPr>
        <w:pStyle w:val="Heading1"/>
      </w:pPr>
      <w:r>
        <w:t xml:space="preserve">Aims </w:t>
      </w:r>
    </w:p>
    <w:p w14:paraId="417F2DA7" w14:textId="77777777" w:rsidR="00587429" w:rsidRDefault="00587429" w:rsidP="00587429"/>
    <w:p w14:paraId="47072D38" w14:textId="77777777" w:rsidR="00587429" w:rsidRDefault="00587429" w:rsidP="00587429">
      <w:pPr>
        <w:pStyle w:val="ListParagraph"/>
        <w:numPr>
          <w:ilvl w:val="0"/>
          <w:numId w:val="5"/>
        </w:numPr>
      </w:pPr>
      <w:r>
        <w:t xml:space="preserve">To evaluate the coverage and feasibility of using only PubMed, </w:t>
      </w:r>
      <w:proofErr w:type="spellStart"/>
      <w:r>
        <w:t>Embase</w:t>
      </w:r>
      <w:proofErr w:type="spellEnd"/>
      <w:r>
        <w:t xml:space="preserve">, </w:t>
      </w:r>
      <w:proofErr w:type="spellStart"/>
      <w:r>
        <w:t>OpenAlex</w:t>
      </w:r>
      <w:proofErr w:type="spellEnd"/>
      <w:r>
        <w:t xml:space="preserve"> or Semantic Scholar in programmatically retrieving articles that were included in the 2023 Edition of the International PCOS Guidelines.</w:t>
      </w:r>
    </w:p>
    <w:p w14:paraId="795E971B" w14:textId="77777777" w:rsidR="00587429" w:rsidRDefault="00587429" w:rsidP="00587429">
      <w:pPr>
        <w:pStyle w:val="Heading1"/>
      </w:pPr>
    </w:p>
    <w:p w14:paraId="3CD7D7E0" w14:textId="77777777" w:rsidR="00587429" w:rsidRDefault="00587429" w:rsidP="00587429">
      <w:pPr>
        <w:pStyle w:val="Heading1"/>
      </w:pPr>
      <w:r>
        <w:t xml:space="preserve">Methods </w:t>
      </w:r>
    </w:p>
    <w:p w14:paraId="3F8189F6" w14:textId="77777777" w:rsidR="00587429" w:rsidRDefault="00587429" w:rsidP="00587429"/>
    <w:p w14:paraId="6796772F" w14:textId="77777777" w:rsidR="00587429" w:rsidRDefault="00587429" w:rsidP="00587429">
      <w:r>
        <w:t xml:space="preserve">Code and data required to replicate the retrieval process and subsequent analyses is available as a public GitHub repository: </w:t>
      </w:r>
      <w:hyperlink r:id="rId8" w:history="1">
        <w:r w:rsidRPr="00DA51DA">
          <w:rPr>
            <w:rStyle w:val="Hyperlink"/>
          </w:rPr>
          <w:t>https://github.com/darrenkjr/International_PCOS_EBG_Surveillance_ResearchLetter</w:t>
        </w:r>
      </w:hyperlink>
      <w:r>
        <w:t xml:space="preserve"> </w:t>
      </w:r>
    </w:p>
    <w:p w14:paraId="12673798" w14:textId="77777777" w:rsidR="00587429" w:rsidRDefault="00587429" w:rsidP="00587429"/>
    <w:p w14:paraId="1CCC7CD1" w14:textId="77777777" w:rsidR="00587429" w:rsidRDefault="00587429" w:rsidP="00587429">
      <w:pPr>
        <w:pStyle w:val="ListParagraph"/>
        <w:numPr>
          <w:ilvl w:val="0"/>
          <w:numId w:val="6"/>
        </w:numPr>
      </w:pPr>
      <w:r>
        <w:t xml:space="preserve">Articles that were included after full text screening for each evidence review conducted as part of the 2023 International PCOS Guideline, were extracted from the technical report of the guidelines. </w:t>
      </w:r>
    </w:p>
    <w:p w14:paraId="6BDD130C" w14:textId="77777777" w:rsidR="00587429" w:rsidRDefault="00587429" w:rsidP="00587429">
      <w:pPr>
        <w:pStyle w:val="ListParagraph"/>
        <w:numPr>
          <w:ilvl w:val="0"/>
          <w:numId w:val="6"/>
        </w:numPr>
      </w:pPr>
      <w:r>
        <w:t xml:space="preserve"> The Digital Object Identifier (DOI) of each included article was then retrieved for each article. Where DOIs were not </w:t>
      </w:r>
      <w:proofErr w:type="spellStart"/>
      <w:r>
        <w:t>retreivable</w:t>
      </w:r>
      <w:proofErr w:type="spellEnd"/>
      <w:r>
        <w:t>, PubMed IDs were retrieved instead. If this failed, then the title of the article was extracted.</w:t>
      </w:r>
    </w:p>
    <w:p w14:paraId="1B30AB3F" w14:textId="77777777" w:rsidR="00587429" w:rsidRDefault="00587429" w:rsidP="00587429">
      <w:pPr>
        <w:pStyle w:val="ListParagraph"/>
        <w:numPr>
          <w:ilvl w:val="0"/>
          <w:numId w:val="6"/>
        </w:numPr>
      </w:pPr>
      <w:r>
        <w:t xml:space="preserve"> DOIs and PubMed IDs were then used to programmatically retrieve article metadata from the PubMed, </w:t>
      </w:r>
      <w:proofErr w:type="spellStart"/>
      <w:r>
        <w:t>OpenAlex</w:t>
      </w:r>
      <w:proofErr w:type="spellEnd"/>
      <w:r>
        <w:t xml:space="preserve">, and Semantic Scholar APIs respectively to confirm coverage.  </w:t>
      </w:r>
    </w:p>
    <w:p w14:paraId="35265B57" w14:textId="77777777" w:rsidR="00587429" w:rsidRDefault="00587429" w:rsidP="00587429">
      <w:pPr>
        <w:pStyle w:val="ListParagraph"/>
        <w:numPr>
          <w:ilvl w:val="0"/>
          <w:numId w:val="6"/>
        </w:numPr>
      </w:pPr>
      <w:r>
        <w:t xml:space="preserve">As the </w:t>
      </w:r>
      <w:proofErr w:type="spellStart"/>
      <w:r>
        <w:t>Embase</w:t>
      </w:r>
      <w:proofErr w:type="spellEnd"/>
      <w:r>
        <w:t xml:space="preserve"> API required an additional subscription for access, searching within </w:t>
      </w:r>
      <w:proofErr w:type="spellStart"/>
      <w:r>
        <w:t>Embase</w:t>
      </w:r>
      <w:proofErr w:type="spellEnd"/>
      <w:r>
        <w:t xml:space="preserve"> was instead conducted via the Ovid interface.</w:t>
      </w:r>
    </w:p>
    <w:p w14:paraId="1B8AEF13" w14:textId="77777777" w:rsidR="00587429" w:rsidRDefault="00587429" w:rsidP="00587429">
      <w:pPr>
        <w:pStyle w:val="ListParagraph"/>
        <w:numPr>
          <w:ilvl w:val="0"/>
          <w:numId w:val="6"/>
        </w:numPr>
      </w:pPr>
      <w:r>
        <w:lastRenderedPageBreak/>
        <w:t xml:space="preserve">A second round, title only search was then conducted for all databases in instances where retrieval by DOI or PMID failed, or if a DOI or PMID was not retrievable for a particular article. </w:t>
      </w:r>
    </w:p>
    <w:p w14:paraId="3C0276E8" w14:textId="77777777" w:rsidR="00587429" w:rsidRDefault="00587429" w:rsidP="00587429">
      <w:pPr>
        <w:pStyle w:val="ListParagraph"/>
        <w:numPr>
          <w:ilvl w:val="0"/>
          <w:numId w:val="6"/>
        </w:numPr>
      </w:pPr>
      <w:r>
        <w:t xml:space="preserve"> Article metadata was then consolidated for each database and the extent of coverage for each database was then evaluated. </w:t>
      </w:r>
    </w:p>
    <w:p w14:paraId="4598754D" w14:textId="77777777" w:rsidR="00587429" w:rsidRDefault="00587429" w:rsidP="00587429">
      <w:pPr>
        <w:pStyle w:val="ListParagraph"/>
        <w:numPr>
          <w:ilvl w:val="0"/>
          <w:numId w:val="6"/>
        </w:numPr>
      </w:pPr>
      <w:commentRangeStart w:id="4"/>
      <w:r>
        <w:t xml:space="preserve">The </w:t>
      </w:r>
      <w:r>
        <w:t>extent</w:t>
      </w:r>
      <w:r>
        <w:t xml:space="preserve"> of overlap across each database was also evaluated </w:t>
      </w:r>
    </w:p>
    <w:p w14:paraId="04D8EEB5" w14:textId="77777777" w:rsidR="00587429" w:rsidRDefault="00587429" w:rsidP="00587429">
      <w:pPr>
        <w:pStyle w:val="ListParagraph"/>
        <w:numPr>
          <w:ilvl w:val="0"/>
          <w:numId w:val="6"/>
        </w:numPr>
      </w:pPr>
      <w:r>
        <w:t xml:space="preserve">An exploratory sensitivity analysis of articles that were not retrievable for each database was also conducted via extracting the risk of bias assessment that was conducted for each non-retrievable article as part of the 2023 International PCOS Guideline. This is then presented as a proportion by database. </w:t>
      </w:r>
      <w:commentRangeEnd w:id="4"/>
      <w:r>
        <w:rPr>
          <w:rStyle w:val="CommentReference"/>
        </w:rPr>
        <w:commentReference w:id="4"/>
      </w:r>
    </w:p>
    <w:p w14:paraId="114A402B" w14:textId="77777777" w:rsidR="00587429" w:rsidRDefault="00587429" w:rsidP="00587429">
      <w:pPr>
        <w:pStyle w:val="Heading1"/>
      </w:pPr>
      <w:r>
        <w:t xml:space="preserve">Results </w:t>
      </w:r>
    </w:p>
    <w:p w14:paraId="688C5DC0" w14:textId="77777777" w:rsidR="00587429" w:rsidRDefault="00587429" w:rsidP="00587429"/>
    <w:p w14:paraId="6BF58E6D" w14:textId="77777777" w:rsidR="00576DCF" w:rsidRDefault="00587429" w:rsidP="00587429">
      <w:r>
        <w:t xml:space="preserve">A total of </w:t>
      </w:r>
      <w:r>
        <w:t>1249</w:t>
      </w:r>
      <w:r>
        <w:t xml:space="preserve"> articles were included in the international PCOS guidelines across all systematic reviews and systematic review updates. Table </w:t>
      </w:r>
      <w:r>
        <w:t>1</w:t>
      </w:r>
      <w:r>
        <w:t xml:space="preserve"> below depicts the extent of coverage of databases that were tested. </w:t>
      </w:r>
      <w:proofErr w:type="spellStart"/>
      <w:r>
        <w:t>OpenAlex</w:t>
      </w:r>
      <w:proofErr w:type="spellEnd"/>
      <w:r>
        <w:t xml:space="preserve"> had the best coverage, followed by Semantic Scholar, </w:t>
      </w:r>
      <w:proofErr w:type="spellStart"/>
      <w:r>
        <w:t>Embase</w:t>
      </w:r>
      <w:proofErr w:type="spellEnd"/>
      <w:r>
        <w:t xml:space="preserve">, and </w:t>
      </w:r>
      <w:r w:rsidR="00576DCF">
        <w:t>lastly,</w:t>
      </w:r>
      <w:r>
        <w:t xml:space="preserve"> PubMed. </w:t>
      </w:r>
    </w:p>
    <w:p w14:paraId="4665D938" w14:textId="77777777" w:rsidR="00576DCF" w:rsidRDefault="00576DCF" w:rsidP="00576DC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Percentage coverage of articles that were included (n=1249) as part of the 2023 International PCOS Guidelines that were retrievable for each tested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76DCF" w14:paraId="337125C2" w14:textId="77777777" w:rsidTr="00576DCF">
        <w:tc>
          <w:tcPr>
            <w:tcW w:w="1803" w:type="dxa"/>
          </w:tcPr>
          <w:p w14:paraId="4C4B094B" w14:textId="77777777" w:rsidR="00576DCF" w:rsidRDefault="00576DCF" w:rsidP="00576DCF">
            <w:pPr>
              <w:jc w:val="center"/>
            </w:pPr>
          </w:p>
        </w:tc>
        <w:tc>
          <w:tcPr>
            <w:tcW w:w="1803" w:type="dxa"/>
          </w:tcPr>
          <w:p w14:paraId="75B054D0" w14:textId="77777777" w:rsidR="00576DCF" w:rsidRDefault="00576DCF" w:rsidP="00576DCF">
            <w:pPr>
              <w:jc w:val="center"/>
            </w:pPr>
            <w:r>
              <w:t>PubMed (%)</w:t>
            </w:r>
          </w:p>
        </w:tc>
        <w:tc>
          <w:tcPr>
            <w:tcW w:w="1803" w:type="dxa"/>
          </w:tcPr>
          <w:p w14:paraId="08B2B636" w14:textId="77777777" w:rsidR="00576DCF" w:rsidRDefault="00576DCF" w:rsidP="00576DCF">
            <w:pPr>
              <w:jc w:val="center"/>
            </w:pPr>
            <w:proofErr w:type="spellStart"/>
            <w:r>
              <w:t>Embase</w:t>
            </w:r>
            <w:proofErr w:type="spellEnd"/>
          </w:p>
        </w:tc>
        <w:tc>
          <w:tcPr>
            <w:tcW w:w="1803" w:type="dxa"/>
          </w:tcPr>
          <w:p w14:paraId="4B04F8D4" w14:textId="77777777" w:rsidR="00576DCF" w:rsidRDefault="00576DCF" w:rsidP="00576DCF">
            <w:pPr>
              <w:jc w:val="center"/>
            </w:pPr>
            <w:proofErr w:type="spellStart"/>
            <w:r>
              <w:t>OpenAlex</w:t>
            </w:r>
            <w:proofErr w:type="spellEnd"/>
          </w:p>
        </w:tc>
        <w:tc>
          <w:tcPr>
            <w:tcW w:w="1804" w:type="dxa"/>
          </w:tcPr>
          <w:p w14:paraId="18CAB43C" w14:textId="77777777" w:rsidR="00576DCF" w:rsidRDefault="00576DCF" w:rsidP="00576DCF">
            <w:pPr>
              <w:jc w:val="center"/>
            </w:pPr>
            <w:r>
              <w:t>Semantic Scholar</w:t>
            </w:r>
          </w:p>
        </w:tc>
      </w:tr>
      <w:tr w:rsidR="00576DCF" w14:paraId="2E5A1E10" w14:textId="77777777" w:rsidTr="00EC5D60">
        <w:tc>
          <w:tcPr>
            <w:tcW w:w="1803" w:type="dxa"/>
          </w:tcPr>
          <w:p w14:paraId="16C253A7" w14:textId="77777777" w:rsidR="00576DCF" w:rsidRDefault="00576DCF" w:rsidP="00576DCF">
            <w:pPr>
              <w:jc w:val="center"/>
            </w:pPr>
            <w:r>
              <w:t>Overall</w:t>
            </w:r>
          </w:p>
        </w:tc>
        <w:tc>
          <w:tcPr>
            <w:tcW w:w="1803" w:type="dxa"/>
          </w:tcPr>
          <w:p w14:paraId="380FEEC8" w14:textId="77777777" w:rsidR="00576DCF" w:rsidRDefault="00576DCF" w:rsidP="00576DCF">
            <w:pPr>
              <w:jc w:val="center"/>
            </w:pPr>
            <w:r>
              <w:t>92.0</w:t>
            </w:r>
          </w:p>
        </w:tc>
        <w:tc>
          <w:tcPr>
            <w:tcW w:w="1803" w:type="dxa"/>
            <w:vAlign w:val="bottom"/>
          </w:tcPr>
          <w:p w14:paraId="56484293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  <w:kern w:val="0"/>
                <w:lang w:val="en-AU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96.4</w:t>
            </w:r>
          </w:p>
        </w:tc>
        <w:tc>
          <w:tcPr>
            <w:tcW w:w="1803" w:type="dxa"/>
            <w:vAlign w:val="bottom"/>
          </w:tcPr>
          <w:p w14:paraId="2D2EEC07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  <w:kern w:val="0"/>
                <w:lang w:val="en-AU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98.6</w:t>
            </w:r>
          </w:p>
        </w:tc>
        <w:tc>
          <w:tcPr>
            <w:tcW w:w="1804" w:type="dxa"/>
            <w:vAlign w:val="bottom"/>
          </w:tcPr>
          <w:p w14:paraId="7C218E39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  <w:kern w:val="0"/>
                <w:lang w:val="en-AU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98.2</w:t>
            </w:r>
          </w:p>
        </w:tc>
      </w:tr>
      <w:tr w:rsidR="00576DCF" w14:paraId="37758830" w14:textId="77777777" w:rsidTr="00EC5D60">
        <w:tc>
          <w:tcPr>
            <w:tcW w:w="1803" w:type="dxa"/>
          </w:tcPr>
          <w:p w14:paraId="5240214E" w14:textId="77777777" w:rsidR="00576DCF" w:rsidRDefault="00576DCF" w:rsidP="00576DCF">
            <w:pPr>
              <w:jc w:val="center"/>
            </w:pPr>
            <w:r>
              <w:t>GDG 1</w:t>
            </w:r>
          </w:p>
        </w:tc>
        <w:tc>
          <w:tcPr>
            <w:tcW w:w="1803" w:type="dxa"/>
            <w:vAlign w:val="bottom"/>
          </w:tcPr>
          <w:p w14:paraId="014A90D8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  <w:kern w:val="0"/>
                <w:lang w:val="en-AU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89.8</w:t>
            </w:r>
          </w:p>
        </w:tc>
        <w:tc>
          <w:tcPr>
            <w:tcW w:w="1803" w:type="dxa"/>
            <w:vAlign w:val="bottom"/>
          </w:tcPr>
          <w:p w14:paraId="24A36A57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97.0</w:t>
            </w:r>
          </w:p>
        </w:tc>
        <w:tc>
          <w:tcPr>
            <w:tcW w:w="1803" w:type="dxa"/>
            <w:vAlign w:val="bottom"/>
          </w:tcPr>
          <w:p w14:paraId="2C33441B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98.2</w:t>
            </w:r>
          </w:p>
        </w:tc>
        <w:tc>
          <w:tcPr>
            <w:tcW w:w="1804" w:type="dxa"/>
            <w:vAlign w:val="bottom"/>
          </w:tcPr>
          <w:p w14:paraId="45C87D23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96.1</w:t>
            </w:r>
          </w:p>
        </w:tc>
      </w:tr>
      <w:tr w:rsidR="00576DCF" w14:paraId="6ECF5B54" w14:textId="77777777" w:rsidTr="00EC5D60">
        <w:tc>
          <w:tcPr>
            <w:tcW w:w="1803" w:type="dxa"/>
          </w:tcPr>
          <w:p w14:paraId="32F65AC7" w14:textId="77777777" w:rsidR="00576DCF" w:rsidRDefault="00576DCF" w:rsidP="00576DCF">
            <w:pPr>
              <w:jc w:val="center"/>
            </w:pPr>
            <w:r>
              <w:t>GDG 2</w:t>
            </w:r>
          </w:p>
        </w:tc>
        <w:tc>
          <w:tcPr>
            <w:tcW w:w="1803" w:type="dxa"/>
            <w:vAlign w:val="bottom"/>
          </w:tcPr>
          <w:p w14:paraId="300546C1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91.4</w:t>
            </w:r>
          </w:p>
        </w:tc>
        <w:tc>
          <w:tcPr>
            <w:tcW w:w="1803" w:type="dxa"/>
            <w:vAlign w:val="bottom"/>
          </w:tcPr>
          <w:p w14:paraId="5578385F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94.7</w:t>
            </w:r>
          </w:p>
        </w:tc>
        <w:tc>
          <w:tcPr>
            <w:tcW w:w="1803" w:type="dxa"/>
            <w:vAlign w:val="bottom"/>
          </w:tcPr>
          <w:p w14:paraId="001781B0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99.2</w:t>
            </w:r>
          </w:p>
        </w:tc>
        <w:tc>
          <w:tcPr>
            <w:tcW w:w="1804" w:type="dxa"/>
            <w:vAlign w:val="bottom"/>
          </w:tcPr>
          <w:p w14:paraId="20D6E301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99.2</w:t>
            </w:r>
          </w:p>
        </w:tc>
      </w:tr>
      <w:tr w:rsidR="00576DCF" w14:paraId="0B8043D7" w14:textId="77777777" w:rsidTr="00EC5D60">
        <w:tc>
          <w:tcPr>
            <w:tcW w:w="1803" w:type="dxa"/>
          </w:tcPr>
          <w:p w14:paraId="23EF9550" w14:textId="77777777" w:rsidR="00576DCF" w:rsidRDefault="00576DCF" w:rsidP="00576DCF">
            <w:pPr>
              <w:jc w:val="center"/>
            </w:pPr>
            <w:r>
              <w:t>GDG 3</w:t>
            </w:r>
          </w:p>
        </w:tc>
        <w:tc>
          <w:tcPr>
            <w:tcW w:w="1803" w:type="dxa"/>
            <w:vAlign w:val="bottom"/>
          </w:tcPr>
          <w:p w14:paraId="393FD1D7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93.5</w:t>
            </w:r>
          </w:p>
        </w:tc>
        <w:tc>
          <w:tcPr>
            <w:tcW w:w="1803" w:type="dxa"/>
            <w:vAlign w:val="bottom"/>
          </w:tcPr>
          <w:p w14:paraId="6061EC49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92.7</w:t>
            </w:r>
          </w:p>
        </w:tc>
        <w:tc>
          <w:tcPr>
            <w:tcW w:w="1803" w:type="dxa"/>
            <w:vAlign w:val="bottom"/>
          </w:tcPr>
          <w:p w14:paraId="27B29BCA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97.6</w:t>
            </w:r>
          </w:p>
        </w:tc>
        <w:tc>
          <w:tcPr>
            <w:tcW w:w="1804" w:type="dxa"/>
            <w:vAlign w:val="bottom"/>
          </w:tcPr>
          <w:p w14:paraId="0A0F641C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97.6</w:t>
            </w:r>
          </w:p>
        </w:tc>
      </w:tr>
      <w:tr w:rsidR="00576DCF" w14:paraId="18739E77" w14:textId="77777777" w:rsidTr="00EC5D60">
        <w:tc>
          <w:tcPr>
            <w:tcW w:w="1803" w:type="dxa"/>
          </w:tcPr>
          <w:p w14:paraId="52B75563" w14:textId="77777777" w:rsidR="00576DCF" w:rsidRDefault="00576DCF" w:rsidP="00576DCF">
            <w:pPr>
              <w:jc w:val="center"/>
            </w:pPr>
            <w:r>
              <w:t>GDG 4</w:t>
            </w:r>
          </w:p>
        </w:tc>
        <w:tc>
          <w:tcPr>
            <w:tcW w:w="1803" w:type="dxa"/>
            <w:vAlign w:val="bottom"/>
          </w:tcPr>
          <w:p w14:paraId="5E539F57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93.0</w:t>
            </w:r>
          </w:p>
        </w:tc>
        <w:tc>
          <w:tcPr>
            <w:tcW w:w="1803" w:type="dxa"/>
            <w:vAlign w:val="bottom"/>
          </w:tcPr>
          <w:p w14:paraId="4914A76B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97.3</w:t>
            </w:r>
          </w:p>
        </w:tc>
        <w:tc>
          <w:tcPr>
            <w:tcW w:w="1803" w:type="dxa"/>
            <w:vAlign w:val="bottom"/>
          </w:tcPr>
          <w:p w14:paraId="38679368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98.8</w:t>
            </w:r>
          </w:p>
        </w:tc>
        <w:tc>
          <w:tcPr>
            <w:tcW w:w="1804" w:type="dxa"/>
            <w:vAlign w:val="bottom"/>
          </w:tcPr>
          <w:p w14:paraId="788EC6F5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99.5</w:t>
            </w:r>
          </w:p>
        </w:tc>
      </w:tr>
      <w:tr w:rsidR="00576DCF" w14:paraId="07435952" w14:textId="77777777" w:rsidTr="00EC5D60">
        <w:tc>
          <w:tcPr>
            <w:tcW w:w="1803" w:type="dxa"/>
          </w:tcPr>
          <w:p w14:paraId="2692FFA4" w14:textId="77777777" w:rsidR="00576DCF" w:rsidRDefault="00576DCF" w:rsidP="00576DCF">
            <w:pPr>
              <w:jc w:val="center"/>
            </w:pPr>
            <w:r>
              <w:t>GDG 5</w:t>
            </w:r>
          </w:p>
        </w:tc>
        <w:tc>
          <w:tcPr>
            <w:tcW w:w="1803" w:type="dxa"/>
            <w:vAlign w:val="bottom"/>
          </w:tcPr>
          <w:p w14:paraId="70660A32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93.9</w:t>
            </w:r>
          </w:p>
        </w:tc>
        <w:tc>
          <w:tcPr>
            <w:tcW w:w="1803" w:type="dxa"/>
            <w:vAlign w:val="bottom"/>
          </w:tcPr>
          <w:p w14:paraId="15A21548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98.6</w:t>
            </w:r>
          </w:p>
        </w:tc>
        <w:tc>
          <w:tcPr>
            <w:tcW w:w="1803" w:type="dxa"/>
            <w:vAlign w:val="bottom"/>
          </w:tcPr>
          <w:p w14:paraId="06171B0A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99.3</w:t>
            </w:r>
          </w:p>
        </w:tc>
        <w:tc>
          <w:tcPr>
            <w:tcW w:w="1804" w:type="dxa"/>
            <w:vAlign w:val="bottom"/>
          </w:tcPr>
          <w:p w14:paraId="3F7504BB" w14:textId="77777777" w:rsidR="00576DCF" w:rsidRDefault="00576DCF" w:rsidP="00576D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98.6</w:t>
            </w:r>
          </w:p>
        </w:tc>
      </w:tr>
    </w:tbl>
    <w:p w14:paraId="3DC65B08" w14:textId="77777777" w:rsidR="00587429" w:rsidRDefault="00587429" w:rsidP="00587429">
      <w:pPr>
        <w:pStyle w:val="Heading1"/>
      </w:pPr>
    </w:p>
    <w:p w14:paraId="7D9F1D3E" w14:textId="77777777" w:rsidR="00587429" w:rsidRDefault="00587429" w:rsidP="00587429">
      <w:pPr>
        <w:pStyle w:val="Heading1"/>
      </w:pPr>
      <w:r>
        <w:t xml:space="preserve">Discussion </w:t>
      </w:r>
    </w:p>
    <w:p w14:paraId="5C31BD78" w14:textId="77777777" w:rsidR="00587429" w:rsidRDefault="00587429" w:rsidP="00587429"/>
    <w:p w14:paraId="7B3E9ECC" w14:textId="77777777" w:rsidR="00587429" w:rsidRDefault="00587429" w:rsidP="00587429">
      <w:pPr>
        <w:pStyle w:val="ListParagraph"/>
        <w:numPr>
          <w:ilvl w:val="0"/>
          <w:numId w:val="5"/>
        </w:numPr>
      </w:pPr>
      <w:r>
        <w:t xml:space="preserve">Summary of results. Note that </w:t>
      </w:r>
      <w:proofErr w:type="spellStart"/>
      <w:r>
        <w:t>Embase</w:t>
      </w:r>
      <w:proofErr w:type="spellEnd"/>
      <w:r>
        <w:t xml:space="preserve"> API was planned to be used, however an institutional subscription was required, and due to time constraints, evaluation proceeded without waiting for API access to be granted. </w:t>
      </w:r>
      <w:r>
        <w:t xml:space="preserve">As such, </w:t>
      </w:r>
      <w:proofErr w:type="spellStart"/>
      <w:r>
        <w:t>Embase</w:t>
      </w:r>
      <w:proofErr w:type="spellEnd"/>
      <w:r>
        <w:t xml:space="preserve"> was searched via Ovid Medline instead</w:t>
      </w:r>
      <w:r>
        <w:t xml:space="preserve"> for completion</w:t>
      </w:r>
      <w:r>
        <w:t xml:space="preserve">. Nonetheless, the other 3 options have </w:t>
      </w:r>
      <w:r>
        <w:t>publicly</w:t>
      </w:r>
      <w:r>
        <w:t xml:space="preserve"> </w:t>
      </w:r>
      <w:r>
        <w:t>available</w:t>
      </w:r>
      <w:r>
        <w:t xml:space="preserve"> APIs that are accessible free of charge for </w:t>
      </w:r>
      <w:r>
        <w:t>research</w:t>
      </w:r>
      <w:r>
        <w:t xml:space="preserve"> / academic purposes. </w:t>
      </w:r>
      <w:r>
        <w:t>Thus,</w:t>
      </w:r>
      <w:r>
        <w:t xml:space="preserve"> these are recommended for surveillance purposes. </w:t>
      </w:r>
    </w:p>
    <w:p w14:paraId="2C5F0221" w14:textId="77777777" w:rsidR="00587429" w:rsidRDefault="00587429" w:rsidP="00587429">
      <w:pPr>
        <w:pStyle w:val="ListParagraph"/>
        <w:numPr>
          <w:ilvl w:val="0"/>
          <w:numId w:val="5"/>
        </w:numPr>
      </w:pPr>
      <w:r>
        <w:t xml:space="preserve">Placeholder - get co-authors first reaction </w:t>
      </w:r>
    </w:p>
    <w:p w14:paraId="53E175F1" w14:textId="77777777" w:rsidR="00587429" w:rsidRDefault="00587429" w:rsidP="00587429"/>
    <w:p w14:paraId="0B76831C" w14:textId="77777777" w:rsidR="00587429" w:rsidRDefault="00587429" w:rsidP="00587429">
      <w:pPr>
        <w:pStyle w:val="Heading1"/>
      </w:pPr>
      <w:r>
        <w:t xml:space="preserve">Limitations </w:t>
      </w:r>
    </w:p>
    <w:p w14:paraId="5C907381" w14:textId="77777777" w:rsidR="00587429" w:rsidRDefault="00587429" w:rsidP="00587429"/>
    <w:p w14:paraId="2CAC0DC1" w14:textId="77777777" w:rsidR="00587429" w:rsidRDefault="00587429" w:rsidP="00587429"/>
    <w:p w14:paraId="5F98828C" w14:textId="77777777" w:rsidR="00587429" w:rsidRDefault="00587429" w:rsidP="00587429">
      <w:pPr>
        <w:pStyle w:val="Heading1"/>
      </w:pPr>
      <w:r>
        <w:lastRenderedPageBreak/>
        <w:t xml:space="preserve">Future </w:t>
      </w:r>
      <w:r>
        <w:t>work</w:t>
      </w:r>
      <w:r>
        <w:t xml:space="preserve"> </w:t>
      </w:r>
    </w:p>
    <w:p w14:paraId="78D5221A" w14:textId="77777777" w:rsidR="00587429" w:rsidRDefault="00587429" w:rsidP="00587429"/>
    <w:p w14:paraId="238A3935" w14:textId="77777777" w:rsidR="00587429" w:rsidRDefault="00587429" w:rsidP="00587429">
      <w:pPr>
        <w:pStyle w:val="ListParagraph"/>
        <w:numPr>
          <w:ilvl w:val="0"/>
          <w:numId w:val="7"/>
        </w:numPr>
      </w:pPr>
      <w:r>
        <w:t xml:space="preserve">Reverse engineer a high sensitivity search strategy for best performing database. However, we expect that such approaches would result in low specificity (or precision). </w:t>
      </w:r>
      <w:proofErr w:type="gramStart"/>
      <w:r>
        <w:t>Thus</w:t>
      </w:r>
      <w:proofErr w:type="gramEnd"/>
      <w:r>
        <w:t xml:space="preserve"> such search strategies should be integrated with supplementary approaches to improve </w:t>
      </w:r>
      <w:r>
        <w:t>efficiency by</w:t>
      </w:r>
      <w:r>
        <w:t xml:space="preserve"> constraining the articles required to be screened by a human. We leave this for planned future work</w:t>
      </w:r>
      <w:commentRangeStart w:id="5"/>
      <w:r>
        <w:t>. (DOI Protocol)</w:t>
      </w:r>
      <w:commentRangeEnd w:id="5"/>
      <w:r>
        <w:rPr>
          <w:rStyle w:val="CommentReference"/>
        </w:rPr>
        <w:commentReference w:id="5"/>
      </w:r>
    </w:p>
    <w:p w14:paraId="08C1602D" w14:textId="77777777" w:rsidR="00587429" w:rsidRDefault="00587429" w:rsidP="00587429"/>
    <w:p w14:paraId="7D93617B" w14:textId="77777777" w:rsidR="00587429" w:rsidRDefault="00587429" w:rsidP="00587429">
      <w:pPr>
        <w:pStyle w:val="Heading1"/>
      </w:pPr>
      <w:r>
        <w:t>Conclusion</w:t>
      </w:r>
    </w:p>
    <w:p w14:paraId="1A0FA24C" w14:textId="77777777" w:rsidR="00587429" w:rsidRDefault="00587429" w:rsidP="00587429"/>
    <w:p w14:paraId="64D205C3" w14:textId="77777777" w:rsidR="00587429" w:rsidRPr="00587429" w:rsidRDefault="00587429" w:rsidP="00587429">
      <w:pPr>
        <w:pStyle w:val="ListParagraph"/>
        <w:numPr>
          <w:ilvl w:val="0"/>
          <w:numId w:val="7"/>
        </w:numPr>
      </w:pPr>
      <w:r>
        <w:t xml:space="preserve">Placeholder </w:t>
      </w:r>
    </w:p>
    <w:sectPr w:rsidR="00587429" w:rsidRPr="0058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Darren Kelvin Rajit" w:date="2024-09-25T10:32:00Z" w:initials="DKR">
    <w:p w14:paraId="5B314AF8" w14:textId="77777777" w:rsidR="0017506A" w:rsidRDefault="0017506A">
      <w:pPr>
        <w:pStyle w:val="CommentText"/>
      </w:pPr>
      <w:r>
        <w:rPr>
          <w:rStyle w:val="CommentReference"/>
        </w:rPr>
        <w:annotationRef/>
      </w:r>
      <w:r>
        <w:t>At this stage this is written as a research letter, but there could be scope to extend to a full article. Read on for context</w:t>
      </w:r>
    </w:p>
  </w:comment>
  <w:comment w:id="4" w:author="Darren Kelvin Rajit" w:date="2024-09-25T10:43:00Z" w:initials="DKR">
    <w:p w14:paraId="0D15F140" w14:textId="77777777" w:rsidR="00587429" w:rsidRDefault="00587429">
      <w:pPr>
        <w:pStyle w:val="CommentText"/>
      </w:pPr>
      <w:r>
        <w:rPr>
          <w:rStyle w:val="CommentReference"/>
        </w:rPr>
        <w:annotationRef/>
      </w:r>
      <w:r>
        <w:t>I have not done this yet – but I think doing this will probably extend this into a full article (rather than research letter. Let me know if this is worth doing). I anticipate 2 – 3 weeks of further analysis and write up.</w:t>
      </w:r>
    </w:p>
  </w:comment>
  <w:comment w:id="5" w:author="Darren Kelvin Rajit" w:date="2024-09-25T10:45:00Z" w:initials="DKR">
    <w:p w14:paraId="1DD4DFF8" w14:textId="77777777" w:rsidR="00587429" w:rsidRDefault="00587429">
      <w:pPr>
        <w:pStyle w:val="CommentText"/>
      </w:pPr>
      <w:r>
        <w:rPr>
          <w:rStyle w:val="CommentReference"/>
        </w:rPr>
        <w:annotationRef/>
      </w:r>
      <w:hyperlink r:id="rId1" w:history="1">
        <w:r w:rsidRPr="00DA51DA">
          <w:rPr>
            <w:rStyle w:val="Hyperlink"/>
          </w:rPr>
          <w:t>https://bridges.monash.edu/articles/standard/Semi-Automated_Evidence_Retrieval_in_Evidence_Based_Guideline_Development_and_Maintenance_A_Simulation_Study_Protocol_/26086675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314AF8" w15:done="0"/>
  <w15:commentEx w15:paraId="0D15F140" w15:done="0"/>
  <w15:commentEx w15:paraId="1DD4DF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314AF8" w16cid:durableId="2A9E654E"/>
  <w16cid:commentId w16cid:paraId="0D15F140" w16cid:durableId="2A9E67C8"/>
  <w16cid:commentId w16cid:paraId="1DD4DFF8" w16cid:durableId="2A9E68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56F6"/>
    <w:multiLevelType w:val="hybridMultilevel"/>
    <w:tmpl w:val="433221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3ED"/>
    <w:multiLevelType w:val="hybridMultilevel"/>
    <w:tmpl w:val="024C6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7334"/>
    <w:multiLevelType w:val="hybridMultilevel"/>
    <w:tmpl w:val="E5FC9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95B0A"/>
    <w:multiLevelType w:val="hybridMultilevel"/>
    <w:tmpl w:val="C9985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D7790"/>
    <w:multiLevelType w:val="hybridMultilevel"/>
    <w:tmpl w:val="40D819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94916"/>
    <w:multiLevelType w:val="hybridMultilevel"/>
    <w:tmpl w:val="36B64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A2056"/>
    <w:multiLevelType w:val="hybridMultilevel"/>
    <w:tmpl w:val="817ABC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rren Kelvin Rajit">
    <w15:presenceInfo w15:providerId="AD" w15:userId="S-1-5-21-948756243-734778046-674738317-723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6A"/>
    <w:rsid w:val="00110635"/>
    <w:rsid w:val="0017506A"/>
    <w:rsid w:val="001B5801"/>
    <w:rsid w:val="00295164"/>
    <w:rsid w:val="004C4D04"/>
    <w:rsid w:val="00576DCF"/>
    <w:rsid w:val="00587429"/>
    <w:rsid w:val="00A72498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03E9"/>
  <w15:chartTrackingRefBased/>
  <w15:docId w15:val="{A767D00A-9974-492F-9818-2088FB3E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06A"/>
    <w:rPr>
      <w:kern w:val="2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6A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6A"/>
    <w:pPr>
      <w:keepNext/>
      <w:keepLines/>
      <w:spacing w:before="40" w:after="0" w:line="276" w:lineRule="auto"/>
      <w:outlineLvl w:val="1"/>
    </w:pPr>
    <w:rPr>
      <w:rFonts w:ascii="Cambria" w:eastAsiaTheme="majorEastAsia" w:hAnsi="Cambria" w:cstheme="majorBidi"/>
      <w:color w:val="2F5496" w:themeColor="accent1" w:themeShade="BF"/>
      <w:kern w:val="0"/>
      <w:sz w:val="26"/>
      <w:szCs w:val="26"/>
      <w:lang w:val="en-AU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6A"/>
    <w:pPr>
      <w:keepNext/>
      <w:keepLines/>
      <w:spacing w:before="40" w:after="0" w:line="276" w:lineRule="auto"/>
      <w:outlineLvl w:val="3"/>
    </w:pPr>
    <w:rPr>
      <w:rFonts w:ascii="Cambria" w:eastAsiaTheme="majorEastAsia" w:hAnsi="Cambria" w:cstheme="majorBidi"/>
      <w:i/>
      <w:iCs/>
      <w:color w:val="2F5496" w:themeColor="accent1" w:themeShade="BF"/>
      <w:kern w:val="0"/>
      <w:lang w:val="en-AU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06A"/>
    <w:rPr>
      <w:rFonts w:ascii="Cambria" w:eastAsiaTheme="majorEastAsia" w:hAnsi="Cambria" w:cstheme="majorBidi"/>
      <w:b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17506A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506A"/>
    <w:rPr>
      <w:rFonts w:ascii="Cambria" w:eastAsiaTheme="majorEastAsia" w:hAnsi="Cambria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qFormat/>
    <w:rsid w:val="001750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50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0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06A"/>
    <w:rPr>
      <w:kern w:val="2"/>
      <w:sz w:val="20"/>
      <w:szCs w:val="20"/>
      <w:lang w:val="en-GB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0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06A"/>
    <w:rPr>
      <w:b/>
      <w:bCs/>
      <w:kern w:val="2"/>
      <w:sz w:val="20"/>
      <w:szCs w:val="20"/>
      <w:lang w:val="en-GB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06A"/>
    <w:rPr>
      <w:rFonts w:ascii="Segoe UI" w:hAnsi="Segoe UI" w:cs="Segoe UI"/>
      <w:kern w:val="2"/>
      <w:sz w:val="18"/>
      <w:szCs w:val="18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17506A"/>
    <w:rPr>
      <w:rFonts w:asciiTheme="majorHAnsi" w:eastAsiaTheme="majorEastAsia" w:hAnsiTheme="majorHAnsi" w:cstheme="majorBidi"/>
      <w:color w:val="2F5496" w:themeColor="accent1" w:themeShade="BF"/>
      <w:kern w:val="2"/>
      <w:lang w:val="en-GB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87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4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6D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ridges.monash.edu/articles/standard/Semi-Automated_Evidence_Retrieval_in_Evidence_Based_Guideline_Development_and_Maintenance_A_Simulation_Study_Protocol_/26086675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renkjr/International_PCOS_EBG_Surveillance_ResearchLetter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Kelvin Rajit</dc:creator>
  <cp:keywords/>
  <dc:description/>
  <cp:lastModifiedBy>Darren Kelvin Rajit</cp:lastModifiedBy>
  <cp:revision>3</cp:revision>
  <dcterms:created xsi:type="dcterms:W3CDTF">2024-09-25T00:25:00Z</dcterms:created>
  <dcterms:modified xsi:type="dcterms:W3CDTF">2024-09-25T00:56:00Z</dcterms:modified>
</cp:coreProperties>
</file>