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8fc7030155959e8c3329c88c545b1621dbb9c993.png"/>
            <a:graphic>
              <a:graphicData uri="http://schemas.openxmlformats.org/drawingml/2006/picture">
                <pic:pic>
                  <pic:nvPicPr>
                    <pic:cNvPr id="1" name="image-8fc7030155959e8c3329c88c545b1621dbb9c993.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hypothesis"/>
      <w:r>
        <w:rPr>
          <w:rFonts w:eastAsia="inter" w:cs="inter" w:ascii="inter" w:hAnsi="inter"/>
          <w:b/>
          <w:color w:val="000000"/>
          <w:sz w:val="39"/>
        </w:rPr>
        <w:t xml:space="preserve">Hypothesis:</w:t>
      </w:r>
      <w:bookmarkEnd w:id="0"/>
    </w:p>
    <w:p>
      <w:pPr>
        <w:spacing w:line="360" w:after="210" w:lineRule="auto"/>
      </w:pPr>
      <w:r>
        <w:rPr>
          <w:rFonts w:eastAsia="inter" w:cs="inter" w:ascii="inter" w:hAnsi="inter"/>
          <w:color w:val="000000"/>
        </w:rPr>
        <w:t xml:space="preserve">There is a statistically significant relationship between mental health status and burnout level on employee productivity (measured by hours worked per week), and this relationship varies significantly across industries.</w:t>
      </w:r>
      <w:r>
        <w:rPr>
          <w:rFonts w:eastAsia="inter" w:cs="inter" w:ascii="inter" w:hAnsi="inter"/>
          <w:color w:val="000000"/>
        </w:rPr>
        <w:br w:type="textWrapping"/>
      </w:r>
      <w:r>
        <w:rPr>
          <w:rFonts w:eastAsia="inter" w:cs="inter" w:ascii="inter" w:hAnsi="inter"/>
          <w:color w:val="000000"/>
        </w:rPr>
        <w:t xml:space="preserve">Null Hypothesis (H0):</w:t>
      </w:r>
      <w:r>
        <w:rPr>
          <w:rFonts w:eastAsia="inter" w:cs="inter" w:ascii="inter" w:hAnsi="inter"/>
          <w:color w:val="000000"/>
        </w:rPr>
        <w:br w:type="textWrapping"/>
      </w:r>
      <w:r>
        <w:rPr>
          <w:rFonts w:eastAsia="inter" w:cs="inter" w:ascii="inter" w:hAnsi="inter"/>
          <w:color w:val="000000"/>
        </w:rPr>
        <w:t xml:space="preserve">There is no difference between industries in the relationship between mental health (including burnout) and productivity. In other words, industry sector does not moderate the effect of mental health status or burnout on hours worked.</w:t>
      </w:r>
      <w:r>
        <w:rPr>
          <w:rFonts w:eastAsia="inter" w:cs="inter" w:ascii="inter" w:hAnsi="inter"/>
          <w:color w:val="000000"/>
        </w:rPr>
        <w:br w:type="textWrapping"/>
      </w:r>
      <w:r>
        <w:rPr>
          <w:rFonts w:eastAsia="inter" w:cs="inter" w:ascii="inter" w:hAnsi="inter"/>
          <w:color w:val="000000"/>
        </w:rPr>
        <w:t xml:space="preserve">Alternative Hypothesis (Ha):</w:t>
      </w:r>
      <w:r>
        <w:rPr>
          <w:rFonts w:eastAsia="inter" w:cs="inter" w:ascii="inter" w:hAnsi="inter"/>
          <w:color w:val="000000"/>
        </w:rPr>
        <w:br w:type="textWrapping"/>
      </w:r>
      <w:r>
        <w:rPr>
          <w:rFonts w:eastAsia="inter" w:cs="inter" w:ascii="inter" w:hAnsi="inter"/>
          <w:color w:val="000000"/>
        </w:rPr>
        <w:t xml:space="preserve">There is a significant difference between industries in this relationship — some industries will show a stronger or weaker association between mental health/burnout and productivity.</w:t>
      </w:r>
    </w:p>
    <w:p>
      <w:pPr>
        <w:spacing w:line="360" w:after="210" w:lineRule="auto"/>
      </w:pPr>
      <w:r>
        <w:rPr>
          <w:rFonts w:eastAsia="inter" w:cs="inter" w:ascii="inter" w:hAnsi="inter"/>
          <w:color w:val="000000"/>
        </w:rPr>
        <w:t xml:space="preserve">Okay . So we have a data set We have a hypothesis . In the data set Has all the variables it needs For us to А а Answer these hyp oth eses</w:t>
      </w:r>
    </w:p>
    <w:p>
      <w:pPr>
        <w:spacing w:line="360" w:after="210" w:lineRule="auto"/>
      </w:pPr>
      <w:r>
        <w:rPr>
          <w:rFonts w:eastAsia="inter" w:cs="inter" w:ascii="inter" w:hAnsi="inter"/>
          <w:color w:val="000000"/>
        </w:rPr>
        <w:t xml:space="preserve">Based on extensive research literature and regression analyses from similar studies, the hypothesis you state aligns well with established findings:</w:t>
      </w:r>
    </w:p>
    <w:p>
      <w:pPr>
        <w:numPr>
          <w:ilvl w:val="0"/>
          <w:numId w:val="1"/>
        </w:numPr>
        <w:spacing w:line="360" w:before="105" w:after="105" w:lineRule="auto"/>
      </w:pPr>
      <w:r>
        <w:rPr>
          <w:rFonts w:eastAsia="inter" w:cs="inter" w:ascii="inter" w:hAnsi="inter"/>
          <w:color w:val="000000"/>
          <w:sz w:val="21"/>
        </w:rPr>
        <w:t xml:space="preserve">Mental health status and burnout level have a </w:t>
      </w:r>
      <w:r>
        <w:rPr>
          <w:rFonts w:eastAsia="inter" w:cs="inter" w:ascii="inter" w:hAnsi="inter"/>
          <w:b/>
          <w:color w:val="000000"/>
          <w:sz w:val="21"/>
        </w:rPr>
        <w:t xml:space="preserve">statistically significant negative association with employee productivity</w:t>
      </w:r>
      <w:r>
        <w:rPr>
          <w:rFonts w:eastAsia="inter" w:cs="inter" w:ascii="inter" w:hAnsi="inter"/>
          <w:color w:val="000000"/>
          <w:sz w:val="21"/>
        </w:rPr>
        <w:t xml:space="preserve"> measured as hours worked or productivity loss.</w:t>
      </w:r>
      <w:bookmarkStart w:id="1" w:name="fnref1"/>
      <w:bookmarkEnd w:id="1"/>
      <w:hyperlink w:anchor="fn1">
        <w:r>
          <w:rPr>
            <w:rFonts w:eastAsia="inter" w:cs="inter" w:ascii="inter" w:hAnsi="inter"/>
            <w:color w:val="#000"/>
            <w:sz w:val="21"/>
            <w:u w:val="single"/>
            <w:vertAlign w:val="superscript"/>
          </w:rPr>
          <w:t xml:space="preserve">[1]</w:t>
        </w:r>
      </w:hyperlink>
      <w:bookmarkStart w:id="2" w:name="fnref2"/>
      <w:bookmarkEnd w:id="2"/>
      <w:hyperlink w:anchor="fn2">
        <w:r>
          <w:rPr>
            <w:rFonts w:eastAsia="inter" w:cs="inter" w:ascii="inter" w:hAnsi="inter"/>
            <w:color w:val="#000"/>
            <w:sz w:val="21"/>
            <w:u w:val="single"/>
            <w:vertAlign w:val="superscript"/>
          </w:rPr>
          <w:t xml:space="preserve">[2]</w:t>
        </w:r>
      </w:hyperlink>
      <w:bookmarkStart w:id="3" w:name="fnref3"/>
      <w:bookmarkEnd w:id="3"/>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Burnout dimensions such as emotional exhaustion are particularly predictive of both absenteeism and presenteeism, thus decreasing productivity.</w:t>
      </w:r>
      <w:bookmarkStart w:id="4" w:name="fnref1_1"/>
      <w:bookmarkEnd w:id="4"/>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Studies using multivariate regression models consistently show these relationships hold when controlling for demographics and job-related variables.</w:t>
      </w:r>
      <w:bookmarkStart w:id="5" w:name="fnref4"/>
      <w:bookmarkEnd w:id="5"/>
      <w:hyperlink w:anchor="fn4">
        <w:r>
          <w:rPr>
            <w:rFonts w:eastAsia="inter" w:cs="inter" w:ascii="inter" w:hAnsi="inter"/>
            <w:color w:val="#000"/>
            <w:sz w:val="21"/>
            <w:u w:val="single"/>
            <w:vertAlign w:val="superscript"/>
          </w:rPr>
          <w:t xml:space="preserve">[4]</w:t>
        </w:r>
      </w:hyperlink>
    </w:p>
    <w:p>
      <w:pPr>
        <w:numPr>
          <w:ilvl w:val="0"/>
          <w:numId w:val="1"/>
        </w:numPr>
        <w:spacing w:line="360" w:before="105" w:after="105" w:lineRule="auto"/>
      </w:pPr>
      <w:r>
        <w:rPr>
          <w:rFonts w:eastAsia="inter" w:cs="inter" w:ascii="inter" w:hAnsi="inter"/>
          <w:color w:val="000000"/>
          <w:sz w:val="21"/>
        </w:rPr>
        <w:t xml:space="preserve">There is evidence to expect </w:t>
      </w:r>
      <w:r>
        <w:rPr>
          <w:rFonts w:eastAsia="inter" w:cs="inter" w:ascii="inter" w:hAnsi="inter"/>
          <w:b/>
          <w:color w:val="000000"/>
          <w:sz w:val="21"/>
        </w:rPr>
        <w:t xml:space="preserve">variability across industries</w:t>
      </w:r>
      <w:r>
        <w:rPr>
          <w:rFonts w:eastAsia="inter" w:cs="inter" w:ascii="inter" w:hAnsi="inter"/>
          <w:color w:val="000000"/>
          <w:sz w:val="21"/>
        </w:rPr>
        <w:t xml:space="preserve">. Some industries (e.g., healthcare, education, social services) exhibit stronger impacts of mental health on productivity due to job demands and stressors.</w:t>
      </w:r>
      <w:bookmarkStart w:id="6" w:name="fnref5"/>
      <w:bookmarkEnd w:id="6"/>
      <w:hyperlink w:anchor="fn5">
        <w:r>
          <w:rPr>
            <w:rFonts w:eastAsia="inter" w:cs="inter" w:ascii="inter" w:hAnsi="inter"/>
            <w:color w:val="#000"/>
            <w:sz w:val="21"/>
            <w:u w:val="single"/>
            <w:vertAlign w:val="superscript"/>
          </w:rPr>
          <w:t xml:space="preserve">[5]</w:t>
        </w:r>
      </w:hyperlink>
      <w:bookmarkStart w:id="7" w:name="fnref6"/>
      <w:bookmarkEnd w:id="7"/>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color w:val="000000"/>
        </w:rPr>
        <w:t xml:space="preserve">Thus, your formulated hypotheses and analysis using regression models with interaction terms (mental health × industry) are well supported by prior research and methodologically sound.</w:t>
      </w:r>
      <w:bookmarkStart w:id="8" w:name="fnref3_1"/>
      <w:bookmarkEnd w:id="8"/>
      <w:hyperlink w:anchor="fn3">
        <w:r>
          <w:rPr>
            <w:rFonts w:eastAsia="inter" w:cs="inter" w:ascii="inter" w:hAnsi="inter"/>
            <w:color w:val="#000"/>
            <w:u w:val="single"/>
            <w:vertAlign w:val="superscript"/>
          </w:rPr>
          <w:t xml:space="preserve">[3]</w:t>
        </w:r>
      </w:hyperlink>
      <w:bookmarkStart w:id="9" w:name="fnref1_2"/>
      <w:bookmarkEnd w:id="9"/>
      <w:hyperlink w:anchor="fn1">
        <w:r>
          <w:rPr>
            <w:rFonts w:eastAsia="inter" w:cs="inter" w:ascii="inter" w:hAnsi="inter"/>
            <w:color w:val="#000"/>
            <w:u w:val="single"/>
            <w:vertAlign w:val="superscript"/>
          </w:rPr>
          <w:t xml:space="preserve">[1]</w:t>
        </w:r>
      </w:hyperlink>
    </w:p>
    <w:p>
      <w:pPr>
        <w:spacing w:line="360" w:after="210" w:lineRule="auto"/>
      </w:pPr>
      <w:r>
        <w:rPr>
          <w:rFonts w:eastAsia="inter" w:cs="inter" w:ascii="inter" w:hAnsi="inter"/>
          <w:color w:val="000000"/>
        </w:rPr>
        <w:t xml:space="preserve">In sum:</w:t>
      </w:r>
    </w:p>
    <w:p>
      <w:pPr>
        <w:numPr>
          <w:ilvl w:val="0"/>
          <w:numId w:val="2"/>
        </w:numPr>
        <w:spacing w:line="360" w:before="105" w:after="105" w:lineRule="auto"/>
      </w:pPr>
      <w:r>
        <w:rPr>
          <w:rFonts w:eastAsia="inter" w:cs="inter" w:ascii="inter" w:hAnsi="inter"/>
          <w:color w:val="000000"/>
          <w:sz w:val="21"/>
        </w:rPr>
        <w:t xml:space="preserve">Mental health problems and burnout reduce productivity.</w:t>
      </w:r>
    </w:p>
    <w:p>
      <w:pPr>
        <w:numPr>
          <w:ilvl w:val="0"/>
          <w:numId w:val="2"/>
        </w:numPr>
        <w:spacing w:line="360" w:before="105" w:after="105" w:lineRule="auto"/>
      </w:pPr>
      <w:r>
        <w:rPr>
          <w:rFonts w:eastAsia="inter" w:cs="inter" w:ascii="inter" w:hAnsi="inter"/>
          <w:color w:val="000000"/>
          <w:sz w:val="21"/>
        </w:rPr>
        <w:t xml:space="preserve">This reduction is measurable via regression approaches.</w:t>
      </w:r>
    </w:p>
    <w:p>
      <w:pPr>
        <w:numPr>
          <w:ilvl w:val="0"/>
          <w:numId w:val="2"/>
        </w:numPr>
        <w:spacing w:line="360" w:before="105" w:after="105" w:lineRule="auto"/>
      </w:pPr>
      <w:r>
        <w:rPr>
          <w:rFonts w:eastAsia="inter" w:cs="inter" w:ascii="inter" w:hAnsi="inter"/>
          <w:color w:val="000000"/>
          <w:sz w:val="21"/>
        </w:rPr>
        <w:t xml:space="preserve">Industry likely moderates these associations.</w:t>
      </w:r>
    </w:p>
    <w:p>
      <w:pPr>
        <w:spacing w:line="360" w:after="210" w:lineRule="auto"/>
      </w:pPr>
      <w:r>
        <w:rPr>
          <w:rFonts w:eastAsia="inter" w:cs="inter" w:ascii="inter" w:hAnsi="inter"/>
          <w:color w:val="000000"/>
        </w:rPr>
        <w:t xml:space="preserve">This confirms your conceptual framework as a solid foundation for analysis with the dataset you have.</w:t>
      </w:r>
    </w:p>
    <w:p>
      <w:pPr>
        <w:spacing w:line="360" w:after="210" w:lineRule="auto"/>
      </w:pPr>
      <w:r>
        <w:rPr>
          <w:rFonts w:eastAsia="inter" w:cs="inter" w:ascii="inter" w:hAnsi="inter"/>
          <w:color w:val="000000"/>
        </w:rPr>
        <w:t xml:space="preserve">If you need formal model specification or further study design refinement strictly on your hypothesis, just ask.</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0" w:name="fn1"/>
    <w:bookmarkEnd w:id="10"/>
    <w:p>
      <w:pPr>
        <w:numPr>
          <w:ilvl w:val="0"/>
          <w:numId w:val="4"/>
        </w:numPr>
        <w:spacing w:line="360" w:after="210" w:lineRule="auto"/>
      </w:pPr>
      <w:hyperlink r:id="rId6">
        <w:r>
          <w:rPr>
            <w:rFonts w:eastAsia="inter" w:cs="inter" w:ascii="inter" w:hAnsi="inter"/>
            <w:color w:val="#000"/>
            <w:sz w:val="18"/>
            <w:u w:val="single"/>
          </w:rPr>
          <w:t xml:space="preserve">https://pmc.ncbi.nlm.nih.gov/articles/PMC9082414/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 w:name="fn2"/>
    <w:bookmarkEnd w:id="11"/>
    <w:p>
      <w:pPr>
        <w:numPr>
          <w:ilvl w:val="0"/>
          <w:numId w:val="4"/>
        </w:numPr>
        <w:spacing w:line="360" w:after="210" w:lineRule="auto"/>
      </w:pPr>
      <w:hyperlink r:id="rId7">
        <w:r>
          <w:rPr>
            <w:rFonts w:eastAsia="inter" w:cs="inter" w:ascii="inter" w:hAnsi="inter"/>
            <w:color w:val="#000"/>
            <w:sz w:val="18"/>
            <w:u w:val="single"/>
          </w:rPr>
          <w:t xml:space="preserve">https://journal.cdfpublisher.org/index.php/Benih/article/download/351/264/1114</w:t>
        </w:r>
      </w:hyperlink>
      <w:r>
        <w:rPr>
          <w:rFonts w:eastAsia="inter" w:cs="inter" w:ascii="inter" w:hAnsi="inter"/>
          <w:color w:val="000000"/>
          <w:sz w:val="18"/>
        </w:rPr>
        <w:t xml:space="preserve"> </w:t>
      </w:r>
    </w:p>
    <w:bookmarkStart w:id="12" w:name="fn3"/>
    <w:bookmarkEnd w:id="12"/>
    <w:p>
      <w:pPr>
        <w:numPr>
          <w:ilvl w:val="0"/>
          <w:numId w:val="4"/>
        </w:numPr>
        <w:spacing w:line="360" w:after="210" w:lineRule="auto"/>
      </w:pPr>
      <w:hyperlink r:id="rId8">
        <w:r>
          <w:rPr>
            <w:rFonts w:eastAsia="inter" w:cs="inter" w:ascii="inter" w:hAnsi="inter"/>
            <w:color w:val="#000"/>
            <w:sz w:val="18"/>
            <w:u w:val="single"/>
          </w:rPr>
          <w:t xml:space="preserve">https://pmc.ncbi.nlm.nih.gov/articles/PMC9663290/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 w:name="fn4"/>
    <w:bookmarkEnd w:id="13"/>
    <w:p>
      <w:pPr>
        <w:numPr>
          <w:ilvl w:val="0"/>
          <w:numId w:val="4"/>
        </w:numPr>
        <w:spacing w:line="360" w:after="210" w:lineRule="auto"/>
      </w:pPr>
      <w:hyperlink r:id="rId9">
        <w:r>
          <w:rPr>
            <w:rFonts w:eastAsia="inter" w:cs="inter" w:ascii="inter" w:hAnsi="inter"/>
            <w:color w:val="#000"/>
            <w:sz w:val="18"/>
            <w:u w:val="single"/>
          </w:rPr>
          <w:t xml:space="preserve">https://academic.oup.com/bjsw/article/54/2/668/7379806</w:t>
        </w:r>
      </w:hyperlink>
      <w:r>
        <w:rPr>
          <w:rFonts w:eastAsia="inter" w:cs="inter" w:ascii="inter" w:hAnsi="inter"/>
          <w:color w:val="000000"/>
          <w:sz w:val="18"/>
        </w:rPr>
        <w:t xml:space="preserve"> </w:t>
      </w:r>
    </w:p>
    <w:bookmarkStart w:id="14" w:name="fn5"/>
    <w:bookmarkEnd w:id="14"/>
    <w:p>
      <w:pPr>
        <w:numPr>
          <w:ilvl w:val="0"/>
          <w:numId w:val="4"/>
        </w:numPr>
        <w:spacing w:line="360" w:after="210" w:lineRule="auto"/>
      </w:pPr>
      <w:hyperlink r:id="rId10">
        <w:r>
          <w:rPr>
            <w:rFonts w:eastAsia="inter" w:cs="inter" w:ascii="inter" w:hAnsi="inter"/>
            <w:color w:val="#000"/>
            <w:sz w:val="18"/>
            <w:u w:val="single"/>
          </w:rPr>
          <w:t xml:space="preserve">https://www.webmdhealthservices.com/blog/workplace-mental-health-statistics-by-industry/</w:t>
        </w:r>
      </w:hyperlink>
      <w:r>
        <w:rPr>
          <w:rFonts w:eastAsia="inter" w:cs="inter" w:ascii="inter" w:hAnsi="inter"/>
          <w:color w:val="000000"/>
          <w:sz w:val="18"/>
        </w:rPr>
        <w:t xml:space="preserve"> </w:t>
      </w:r>
    </w:p>
    <w:bookmarkStart w:id="15" w:name="fn6"/>
    <w:bookmarkEnd w:id="15"/>
    <w:p>
      <w:pPr>
        <w:numPr>
          <w:ilvl w:val="0"/>
          <w:numId w:val="4"/>
        </w:numPr>
        <w:spacing w:line="360" w:after="210" w:lineRule="auto"/>
      </w:pPr>
      <w:hyperlink r:id="rId11">
        <w:r>
          <w:rPr>
            <w:rFonts w:eastAsia="inter" w:cs="inter" w:ascii="inter" w:hAnsi="inter"/>
            <w:color w:val="#000"/>
            <w:sz w:val="18"/>
            <w:u w:val="single"/>
          </w:rPr>
          <w:t xml:space="preserve">https://threesixtysafety.com/revealing-the-numbers-key-statistics-on-employee-mental-health-and-wellness/</w:t>
        </w:r>
      </w:hyperlink>
      <w:r>
        <w:rPr>
          <w:rFonts w:eastAsia="inter" w:cs="inter" w:ascii="inter" w:hAnsi="inter"/>
          <w:color w:val="000000"/>
          <w:sz w:val="18"/>
        </w:rPr>
        <w:t xml:space="preserve"> </w:t>
      </w:r>
    </w:p>
    <w:bookmarkStart w:id="16" w:name="fn7"/>
    <w:bookmarkEnd w:id="16"/>
    <w:p>
      <w:pPr>
        <w:numPr>
          <w:ilvl w:val="0"/>
          <w:numId w:val="4"/>
        </w:numPr>
        <w:spacing w:line="360" w:after="210" w:lineRule="auto"/>
      </w:pPr>
      <w:hyperlink r:id="rId12">
        <w:r>
          <w:rPr>
            <w:rFonts w:eastAsia="inter" w:cs="inter" w:ascii="inter" w:hAnsi="inter"/>
            <w:color w:val="#000"/>
            <w:sz w:val="18"/>
            <w:u w:val="single"/>
          </w:rPr>
          <w:t xml:space="preserve">https://www.grandrisingbehavioralhealth.com/blog/understanding-the-effects-of-burnout-on-mental-well-being</w:t>
        </w:r>
      </w:hyperlink>
      <w:r>
        <w:rPr>
          <w:rFonts w:eastAsia="inter" w:cs="inter" w:ascii="inter" w:hAnsi="inter"/>
          <w:color w:val="000000"/>
          <w:sz w:val="18"/>
        </w:rPr>
        <w:t xml:space="preserve"> </w:t>
      </w:r>
    </w:p>
    <w:bookmarkStart w:id="17" w:name="fn8"/>
    <w:bookmarkEnd w:id="17"/>
    <w:p>
      <w:pPr>
        <w:numPr>
          <w:ilvl w:val="0"/>
          <w:numId w:val="4"/>
        </w:numPr>
        <w:spacing w:line="360" w:after="210" w:lineRule="auto"/>
      </w:pPr>
      <w:hyperlink r:id="rId13">
        <w:r>
          <w:rPr>
            <w:rFonts w:eastAsia="inter" w:cs="inter" w:ascii="inter" w:hAnsi="inter"/>
            <w:color w:val="#000"/>
            <w:sz w:val="18"/>
            <w:u w:val="single"/>
          </w:rPr>
          <w:t xml:space="preserve">https://www.mckinsey.com/mhi/our-insights/addressing-employee-burnout-are-you-solving-the-right-problem</w:t>
        </w:r>
      </w:hyperlink>
      <w:r>
        <w:rPr>
          <w:rFonts w:eastAsia="inter" w:cs="inter" w:ascii="inter" w:hAnsi="inter"/>
          <w:color w:val="000000"/>
          <w:sz w:val="18"/>
        </w:rPr>
        <w:t xml:space="preserve"> </w:t>
      </w:r>
    </w:p>
    <w:bookmarkStart w:id="18" w:name="fn9"/>
    <w:bookmarkEnd w:id="18"/>
    <w:p>
      <w:pPr>
        <w:numPr>
          <w:ilvl w:val="0"/>
          <w:numId w:val="4"/>
        </w:numPr>
        <w:spacing w:line="360" w:after="210" w:lineRule="auto"/>
      </w:pPr>
      <w:hyperlink r:id="rId14">
        <w:r>
          <w:rPr>
            <w:rFonts w:eastAsia="inter" w:cs="inter" w:ascii="inter" w:hAnsi="inter"/>
            <w:color w:val="#000"/>
            <w:sz w:val="18"/>
            <w:u w:val="single"/>
          </w:rPr>
          <w:t xml:space="preserve">https://journals.sagepub.com/doi/10.1177/21582440241268830</w:t>
        </w:r>
      </w:hyperlink>
      <w:r>
        <w:rPr>
          <w:rFonts w:eastAsia="inter" w:cs="inter" w:ascii="inter" w:hAnsi="inter"/>
          <w:color w:val="000000"/>
          <w:sz w:val="18"/>
        </w:rPr>
        <w:t xml:space="preserve"> </w:t>
      </w:r>
    </w:p>
    <w:bookmarkStart w:id="19" w:name="fn10"/>
    <w:bookmarkEnd w:id="19"/>
    <w:p>
      <w:pPr>
        <w:numPr>
          <w:ilvl w:val="0"/>
          <w:numId w:val="4"/>
        </w:numPr>
        <w:spacing w:line="360" w:after="210" w:lineRule="auto"/>
      </w:pPr>
      <w:hyperlink r:id="rId15">
        <w:r>
          <w:rPr>
            <w:rFonts w:eastAsia="inter" w:cs="inter" w:ascii="inter" w:hAnsi="inter"/>
            <w:color w:val="#000"/>
            <w:sz w:val="18"/>
            <w:u w:val="single"/>
          </w:rPr>
          <w:t xml:space="preserve">https://www.sciencedirect.com/science/article/pii/S2667344425000040</w:t>
        </w:r>
      </w:hyperlink>
      <w:r>
        <w:rPr>
          <w:rFonts w:eastAsia="inter" w:cs="inter" w:ascii="inter" w:hAnsi="inter"/>
          <w:color w:val="000000"/>
          <w:sz w:val="18"/>
        </w:rPr>
        <w:t xml:space="preserve"> </w:t>
      </w:r>
    </w:p>
    <w:bookmarkStart w:id="20" w:name="fn11"/>
    <w:bookmarkEnd w:id="20"/>
    <w:p>
      <w:pPr>
        <w:numPr>
          <w:ilvl w:val="0"/>
          <w:numId w:val="4"/>
        </w:numPr>
        <w:spacing w:line="360" w:after="210" w:lineRule="auto"/>
      </w:pPr>
      <w:hyperlink r:id="rId16">
        <w:r>
          <w:rPr>
            <w:rFonts w:eastAsia="inter" w:cs="inter" w:ascii="inter" w:hAnsi="inter"/>
            <w:color w:val="#000"/>
            <w:sz w:val="18"/>
            <w:u w:val="single"/>
          </w:rPr>
          <w:t xml:space="preserve">https://www.kaggle.com/datasets/khushikyad001/mental-health-and-burnout-in-the-workplace</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fc7030155959e8c3329c88c545b1621dbb9c993.png" TargetMode="Internal"/><Relationship Id="rId6" Type="http://schemas.openxmlformats.org/officeDocument/2006/relationships/hyperlink" Target="https://pmc.ncbi.nlm.nih.gov/articles/PMC9082414/" TargetMode="External"/><Relationship Id="rId7" Type="http://schemas.openxmlformats.org/officeDocument/2006/relationships/hyperlink" Target="https://journal.cdfpublisher.org/index.php/Benih/article/download/351/264/1114" TargetMode="External"/><Relationship Id="rId8" Type="http://schemas.openxmlformats.org/officeDocument/2006/relationships/hyperlink" Target="https://pmc.ncbi.nlm.nih.gov/articles/PMC9663290/" TargetMode="External"/><Relationship Id="rId9" Type="http://schemas.openxmlformats.org/officeDocument/2006/relationships/hyperlink" Target="https://academic.oup.com/bjsw/article/54/2/668/7379806" TargetMode="External"/><Relationship Id="rId10" Type="http://schemas.openxmlformats.org/officeDocument/2006/relationships/hyperlink" Target="https://www.webmdhealthservices.com/blog/workplace-mental-health-statistics-by-industry/" TargetMode="External"/><Relationship Id="rId11" Type="http://schemas.openxmlformats.org/officeDocument/2006/relationships/hyperlink" Target="https://threesixtysafety.com/revealing-the-numbers-key-statistics-on-employee-mental-health-and-wellness/" TargetMode="External"/><Relationship Id="rId12" Type="http://schemas.openxmlformats.org/officeDocument/2006/relationships/hyperlink" Target="https://www.grandrisingbehavioralhealth.com/blog/understanding-the-effects-of-burnout-on-mental-well-being" TargetMode="External"/><Relationship Id="rId13" Type="http://schemas.openxmlformats.org/officeDocument/2006/relationships/hyperlink" Target="https://www.mckinsey.com/mhi/our-insights/addressing-employee-burnout-are-you-solving-the-right-problem" TargetMode="External"/><Relationship Id="rId14" Type="http://schemas.openxmlformats.org/officeDocument/2006/relationships/hyperlink" Target="https://journals.sagepub.com/doi/10.1177/21582440241268830" TargetMode="External"/><Relationship Id="rId15" Type="http://schemas.openxmlformats.org/officeDocument/2006/relationships/hyperlink" Target="https://www.sciencedirect.com/science/article/pii/S2667344425000040" TargetMode="External"/><Relationship Id="rId16" Type="http://schemas.openxmlformats.org/officeDocument/2006/relationships/hyperlink" Target="https://www.kaggle.com/datasets/khushikyad001/mental-health-and-burnout-in-the-workplac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2025-10-14T01:39:34.106Z</dcterms:created>
  <dcterms:modified xsi:type="dcterms:W3CDTF">2025-10-14T01:39:34.106Z</dcterms:modified>
</cp:coreProperties>
</file>