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964850"/>
            <wp:docPr id="1" name="Picture 1"/>
            <wp:cNvGraphicFramePr>
              <a:graphicFrameLocks noChangeAspect="1"/>
            </wp:cNvGraphicFramePr>
            <a:graphic>
              <a:graphicData uri="http://schemas.openxmlformats.org/drawingml/2006/picture">
                <pic:pic>
                  <pic:nvPicPr>
                    <pic:cNvPr id="0" name="NDOH_LOGO.png"/>
                    <pic:cNvPicPr/>
                  </pic:nvPicPr>
                  <pic:blipFill>
                    <a:blip r:embed="rId9"/>
                    <a:stretch>
                      <a:fillRect/>
                    </a:stretch>
                  </pic:blipFill>
                  <pic:spPr>
                    <a:xfrm>
                      <a:off x="0" y="0"/>
                      <a:ext cx="1645920" cy="964850"/>
                    </a:xfrm>
                    <a:prstGeom prst="rect"/>
                  </pic:spPr>
                </pic:pic>
              </a:graphicData>
            </a:graphic>
          </wp:inline>
        </w:drawing>
      </w:r>
    </w:p>
    <w:p>
      <w:pPr>
        <w:jc w:val="center"/>
      </w:pPr>
      <w:r>
        <w:rPr>
          <w:b/>
          <w:sz w:val="30"/>
        </w:rPr>
        <w:t>PAPUA NEW GUINEA NURSING COUNCIL</w:t>
        <w:br/>
        <w:t>OFFICE OF THE REGISTRAR</w:t>
      </w:r>
    </w:p>
    <w:p>
      <w:pPr>
        <w:jc w:val="center"/>
        <w:pBdr>
          <w:bottom w:val="single" w:sz="18" w:space="1" w:color="000000"/>
        </w:pBdr>
      </w:pPr>
    </w:p>
    <w:p>
      <w:pPr>
        <w:jc w:val="center"/>
      </w:pPr>
      <w:r>
        <w:rPr>
          <w:b/>
          <w:sz w:val="28"/>
        </w:rPr>
        <w:t>REGULATORY ALIGNMENT AND DATABASE COMPARISON REPORT</w:t>
      </w:r>
    </w:p>
    <w:p>
      <w:pPr>
        <w:jc w:val="center"/>
      </w:pPr>
      <w:r>
        <w:t>Comparison of the January 2026 ministerial workforce brief, situational analysis report, and the current live Nursing Council database.</w:t>
      </w:r>
    </w:p>
    <w:p>
      <w:pPr>
        <w:pStyle w:val="Heading1"/>
      </w:pPr>
      <w:r>
        <w:t>1. Purpose</w:t>
      </w:r>
    </w:p>
    <w:p>
      <w:r>
        <w:t>This report analyses the source documents provided by the PNG Nursing Council, compares their tables and regulatory statements with the current live database, and records what has now been aligned inside the platform.</w:t>
      </w:r>
    </w:p>
    <w:p>
      <w:pPr>
        <w:pStyle w:val="Heading1"/>
      </w:pPr>
      <w:r>
        <w:t>2. Source Documents Reviewed</w:t>
      </w:r>
    </w:p>
    <w:p>
      <w:pPr>
        <w:pStyle w:val="ListBullet"/>
        <w:spacing w:after="0"/>
      </w:pPr>
      <w:r>
        <w:t>Final Report-WORKFORCE DATA FOR MINISTER.docx.pdf</w:t>
      </w:r>
    </w:p>
    <w:p>
      <w:pPr>
        <w:pStyle w:val="ListBullet"/>
        <w:spacing w:after="0"/>
      </w:pPr>
      <w:r>
        <w:t>Situational Analysis report.docx.pdf</w:t>
      </w:r>
    </w:p>
    <w:p>
      <w:pPr>
        <w:pStyle w:val="ListBullet"/>
        <w:spacing w:after="0"/>
      </w:pPr>
      <w:r>
        <w:t>Live database snapshot generated on 01 Jun 2026 09:16</w:t>
      </w:r>
    </w:p>
    <w:p>
      <w:pPr>
        <w:pStyle w:val="Heading1"/>
      </w:pPr>
      <w:r>
        <w:t>3. Statutory Context and Mandate</w:t>
      </w:r>
    </w:p>
    <w:p>
      <w:r>
        <w:t>This wording is aligned to the January 2026 ministerial submission and situational analysis. It reflects the Council's regulatory mandate under the current medical registration framework referenced in those reports.</w:t>
      </w:r>
    </w:p>
    <w:p>
      <w:r>
        <w:rPr>
          <w:b/>
        </w:rPr>
        <w:t>Core mandate</w:t>
      </w:r>
    </w:p>
    <w:p>
      <w:pPr>
        <w:pStyle w:val="ListBullet"/>
        <w:spacing w:after="0"/>
      </w:pPr>
      <w:r>
        <w:t>Accreditation and monitoring of nursing and midwifery education programmes.</w:t>
      </w:r>
    </w:p>
    <w:p>
      <w:pPr>
        <w:pStyle w:val="ListBullet"/>
        <w:spacing w:after="0"/>
      </w:pPr>
      <w:r>
        <w:t>Registration and licensure of nurses and midwives.</w:t>
      </w:r>
    </w:p>
    <w:p>
      <w:pPr>
        <w:pStyle w:val="ListBullet"/>
        <w:spacing w:after="0"/>
      </w:pPr>
      <w:r>
        <w:t>Maintenance of professional registers and regulatory histories.</w:t>
      </w:r>
    </w:p>
    <w:p>
      <w:pPr>
        <w:pStyle w:val="ListBullet"/>
        <w:spacing w:after="0"/>
      </w:pPr>
      <w:r>
        <w:t>Recognition of qualifications and approved specialisations.</w:t>
      </w:r>
    </w:p>
    <w:p>
      <w:pPr>
        <w:pStyle w:val="ListBullet"/>
        <w:spacing w:after="0"/>
      </w:pPr>
      <w:r>
        <w:t>Setting and enforcing professional standards to protect public safety.</w:t>
      </w:r>
    </w:p>
    <w:p>
      <w:r>
        <w:rPr>
          <w:b/>
        </w:rPr>
        <w:t>Outside direct Council mandate</w:t>
      </w:r>
    </w:p>
    <w:p>
      <w:pPr>
        <w:pStyle w:val="ListBullet"/>
        <w:spacing w:after="0"/>
      </w:pPr>
      <w:r>
        <w:t>Employment and payroll records.</w:t>
      </w:r>
    </w:p>
    <w:p>
      <w:pPr>
        <w:pStyle w:val="ListBullet"/>
        <w:spacing w:after="0"/>
      </w:pPr>
      <w:r>
        <w:t>Deployment or posting of nurses and midwives.</w:t>
      </w:r>
    </w:p>
    <w:p>
      <w:pPr>
        <w:pStyle w:val="ListBullet"/>
        <w:spacing w:after="0"/>
      </w:pPr>
      <w:r>
        <w:t>Workforce vacancy management.</w:t>
      </w:r>
    </w:p>
    <w:p>
      <w:pPr>
        <w:pStyle w:val="ListBullet"/>
        <w:spacing w:after="0"/>
      </w:pPr>
      <w:r>
        <w:t>Employment status categories such as STC, permanent, acting, or unattached positions.</w:t>
      </w:r>
    </w:p>
    <w:p>
      <w:r>
        <w:t>The two source reports use slightly different historical/legal wording for the Council's establishment history. For system alignment, this platform now uses a single operational statement focused on the current regulatory mandate. Any final legal wording for gazettal, legislation, or ministerial correspondence should still be confirmed by the Council's legal and policy leadership.</w:t>
      </w:r>
    </w:p>
    <w:p>
      <w:pPr>
        <w:pStyle w:val="Heading1"/>
      </w:pPr>
      <w:r>
        <w:t>4. Current Live Registry Snapshot</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Registry Category</w:t>
            </w:r>
          </w:p>
        </w:tc>
        <w:tc>
          <w:tcPr>
            <w:tcW w:type="dxa" w:w="3456"/>
          </w:tcPr>
          <w:p>
            <w:r>
              <w:rPr>
                <w:b/>
              </w:rPr>
              <w:t>Current Count</w:t>
            </w:r>
          </w:p>
        </w:tc>
        <w:tc>
          <w:tcPr>
            <w:tcW w:type="dxa" w:w="3456"/>
          </w:tcPr>
          <w:p>
            <w:r>
              <w:rPr>
                <w:b/>
              </w:rPr>
              <w:t>Active Count</w:t>
            </w:r>
          </w:p>
        </w:tc>
      </w:tr>
      <w:tr>
        <w:tc>
          <w:tcPr>
            <w:tcW w:type="dxa" w:w="3456"/>
          </w:tcPr>
          <w:p>
            <w:r>
              <w:t>Total Lifecycle Records</w:t>
            </w:r>
          </w:p>
        </w:tc>
        <w:tc>
          <w:tcPr>
            <w:tcW w:type="dxa" w:w="3456"/>
          </w:tcPr>
          <w:p>
            <w:r>
              <w:t>34851</w:t>
            </w:r>
          </w:p>
        </w:tc>
        <w:tc>
          <w:tcPr>
            <w:tcW w:type="dxa" w:w="3456"/>
          </w:tcPr>
          <w:p>
            <w:r>
              <w:t>All cleaned Provisional, Full Licence, and ATP records</w:t>
            </w:r>
          </w:p>
        </w:tc>
      </w:tr>
      <w:tr>
        <w:tc>
          <w:tcPr>
            <w:tcW w:type="dxa" w:w="3456"/>
          </w:tcPr>
          <w:p>
            <w:r>
              <w:t>Clean ATP Records</w:t>
            </w:r>
          </w:p>
        </w:tc>
        <w:tc>
          <w:tcPr>
            <w:tcW w:type="dxa" w:w="3456"/>
          </w:tcPr>
          <w:p>
            <w:r>
              <w:t>19998</w:t>
            </w:r>
          </w:p>
        </w:tc>
        <w:tc>
          <w:tcPr>
            <w:tcW w:type="dxa" w:w="3456"/>
          </w:tcPr>
          <w:p>
            <w:r>
              <w:t>Authority to Practice</w:t>
            </w:r>
          </w:p>
        </w:tc>
      </w:tr>
      <w:tr>
        <w:tc>
          <w:tcPr>
            <w:tcW w:type="dxa" w:w="3456"/>
          </w:tcPr>
          <w:p>
            <w:r>
              <w:t>Clean Provisional Records</w:t>
            </w:r>
          </w:p>
        </w:tc>
        <w:tc>
          <w:tcPr>
            <w:tcW w:type="dxa" w:w="3456"/>
          </w:tcPr>
          <w:p>
            <w:r>
              <w:t>8158</w:t>
            </w:r>
          </w:p>
        </w:tc>
        <w:tc>
          <w:tcPr>
            <w:tcW w:type="dxa" w:w="3456"/>
          </w:tcPr>
          <w:p>
            <w:r>
              <w:t>Provisional Licence / graduands</w:t>
            </w:r>
          </w:p>
        </w:tc>
      </w:tr>
      <w:tr>
        <w:tc>
          <w:tcPr>
            <w:tcW w:type="dxa" w:w="3456"/>
          </w:tcPr>
          <w:p>
            <w:r>
              <w:t>Clean Full-Licence Records</w:t>
            </w:r>
          </w:p>
        </w:tc>
        <w:tc>
          <w:tcPr>
            <w:tcW w:type="dxa" w:w="3456"/>
          </w:tcPr>
          <w:p>
            <w:r>
              <w:t>6695</w:t>
            </w:r>
          </w:p>
        </w:tc>
        <w:tc>
          <w:tcPr>
            <w:tcW w:type="dxa" w:w="3456"/>
          </w:tcPr>
          <w:p>
            <w:r>
              <w:t>Full Licence</w:t>
            </w:r>
          </w:p>
        </w:tc>
      </w:tr>
      <w:tr>
        <w:tc>
          <w:tcPr>
            <w:tcW w:type="dxa" w:w="3456"/>
          </w:tcPr>
          <w:p>
            <w:r>
              <w:t>Registered Nurse ATP Cadre</w:t>
            </w:r>
          </w:p>
        </w:tc>
        <w:tc>
          <w:tcPr>
            <w:tcW w:type="dxa" w:w="3456"/>
          </w:tcPr>
          <w:p>
            <w:r>
              <w:t>15307</w:t>
            </w:r>
          </w:p>
        </w:tc>
        <w:tc>
          <w:tcPr>
            <w:tcW w:type="dxa" w:w="3456"/>
          </w:tcPr>
          <w:p>
            <w:r>
              <w:t>Active ATP cadre grouping</w:t>
            </w:r>
          </w:p>
        </w:tc>
      </w:tr>
      <w:tr>
        <w:tc>
          <w:tcPr>
            <w:tcW w:type="dxa" w:w="3456"/>
          </w:tcPr>
          <w:p>
            <w:r>
              <w:t>Midwife ATP Cadre</w:t>
            </w:r>
          </w:p>
        </w:tc>
        <w:tc>
          <w:tcPr>
            <w:tcW w:type="dxa" w:w="3456"/>
          </w:tcPr>
          <w:p>
            <w:r>
              <w:t>2176</w:t>
            </w:r>
          </w:p>
        </w:tc>
        <w:tc>
          <w:tcPr>
            <w:tcW w:type="dxa" w:w="3456"/>
          </w:tcPr>
          <w:p>
            <w:r>
              <w:t>Active ATP cadre grouping</w:t>
            </w:r>
          </w:p>
        </w:tc>
      </w:tr>
      <w:tr>
        <w:tc>
          <w:tcPr>
            <w:tcW w:type="dxa" w:w="3456"/>
          </w:tcPr>
          <w:p>
            <w:r>
              <w:t>Nurse Aide ATP Cadre</w:t>
            </w:r>
          </w:p>
        </w:tc>
        <w:tc>
          <w:tcPr>
            <w:tcW w:type="dxa" w:w="3456"/>
          </w:tcPr>
          <w:p>
            <w:r>
              <w:t>2056</w:t>
            </w:r>
          </w:p>
        </w:tc>
        <w:tc>
          <w:tcPr>
            <w:tcW w:type="dxa" w:w="3456"/>
          </w:tcPr>
          <w:p>
            <w:r>
              <w:t>Active ATP cadre grouping</w:t>
            </w:r>
          </w:p>
        </w:tc>
      </w:tr>
      <w:tr>
        <w:tc>
          <w:tcPr>
            <w:tcW w:type="dxa" w:w="3456"/>
          </w:tcPr>
          <w:p>
            <w:r>
              <w:t>Other / Unclassified ATP Cadre</w:t>
            </w:r>
          </w:p>
        </w:tc>
        <w:tc>
          <w:tcPr>
            <w:tcW w:type="dxa" w:w="3456"/>
          </w:tcPr>
          <w:p>
            <w:r>
              <w:t>459</w:t>
            </w:r>
          </w:p>
        </w:tc>
        <w:tc>
          <w:tcPr>
            <w:tcW w:type="dxa" w:w="3456"/>
          </w:tcPr>
          <w:p>
            <w:r>
              <w:t>Active ATP records needing cadre review</w:t>
            </w:r>
          </w:p>
        </w:tc>
      </w:tr>
    </w:tbl>
    <w:p/>
    <w:p>
      <w:r>
        <w:rPr>
          <w:b/>
        </w:rPr>
        <w:t>Latest Imported Source Snapshot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Latest Source Metric</w:t>
            </w:r>
          </w:p>
        </w:tc>
        <w:tc>
          <w:tcPr>
            <w:tcW w:type="dxa" w:w="5184"/>
          </w:tcPr>
          <w:p>
            <w:r>
              <w:rPr>
                <w:b/>
              </w:rPr>
              <w:t>Value</w:t>
            </w:r>
          </w:p>
        </w:tc>
      </w:tr>
      <w:tr>
        <w:tc>
          <w:tcPr>
            <w:tcW w:type="dxa" w:w="5184"/>
          </w:tcPr>
          <w:p>
            <w:r>
              <w:t>Source File</w:t>
            </w:r>
          </w:p>
        </w:tc>
        <w:tc>
          <w:tcPr>
            <w:tcW w:type="dxa" w:w="5184"/>
          </w:tcPr>
          <w:p>
            <w:r>
              <w:t>PNG_Nursing_Council_Integrated_Dashboard_Model.xlsx</w:t>
            </w:r>
          </w:p>
        </w:tc>
      </w:tr>
      <w:tr>
        <w:tc>
          <w:tcPr>
            <w:tcW w:type="dxa" w:w="5184"/>
          </w:tcPr>
          <w:p>
            <w:r>
              <w:t>Source Kind</w:t>
            </w:r>
          </w:p>
        </w:tc>
        <w:tc>
          <w:tcPr>
            <w:tcW w:type="dxa" w:w="5184"/>
          </w:tcPr>
          <w:p>
            <w:r>
              <w:t>nursing_analytics_snapshot</w:t>
            </w:r>
          </w:p>
        </w:tc>
      </w:tr>
      <w:tr>
        <w:tc>
          <w:tcPr>
            <w:tcW w:type="dxa" w:w="5184"/>
          </w:tcPr>
          <w:p>
            <w:r>
              <w:t>Completed At</w:t>
            </w:r>
          </w:p>
        </w:tc>
        <w:tc>
          <w:tcPr>
            <w:tcW w:type="dxa" w:w="5184"/>
          </w:tcPr>
          <w:p>
            <w:r>
              <w:t>28 May 2026 23:44</w:t>
            </w:r>
          </w:p>
        </w:tc>
      </w:tr>
      <w:tr>
        <w:tc>
          <w:tcPr>
            <w:tcW w:type="dxa" w:w="5184"/>
          </w:tcPr>
          <w:p>
            <w:r>
              <w:t>Processed Rows</w:t>
            </w:r>
          </w:p>
        </w:tc>
        <w:tc>
          <w:tcPr>
            <w:tcW w:type="dxa" w:w="5184"/>
          </w:tcPr>
          <w:p>
            <w:r>
              <w:t>65455</w:t>
            </w:r>
          </w:p>
        </w:tc>
      </w:tr>
      <w:tr>
        <w:tc>
          <w:tcPr>
            <w:tcW w:type="dxa" w:w="5184"/>
          </w:tcPr>
          <w:p>
            <w:r>
              <w:t>Total Rows</w:t>
            </w:r>
          </w:p>
        </w:tc>
        <w:tc>
          <w:tcPr>
            <w:tcW w:type="dxa" w:w="5184"/>
          </w:tcPr>
          <w:p>
            <w:r>
              <w:t>66302</w:t>
            </w:r>
          </w:p>
        </w:tc>
      </w:tr>
    </w:tbl>
    <w:p/>
    <w:p>
      <w:pPr>
        <w:pStyle w:val="Heading1"/>
      </w:pPr>
      <w:r>
        <w:t>5. High-Level Comparison Summary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Source Table</w:t>
            </w:r>
          </w:p>
        </w:tc>
        <w:tc>
          <w:tcPr>
            <w:tcW w:type="dxa" w:w="1728"/>
          </w:tcPr>
          <w:p>
            <w:r>
              <w:rPr>
                <w:b/>
              </w:rPr>
              <w:t>Report Total</w:t>
            </w:r>
          </w:p>
        </w:tc>
        <w:tc>
          <w:tcPr>
            <w:tcW w:type="dxa" w:w="1728"/>
          </w:tcPr>
          <w:p>
            <w:r>
              <w:rPr>
                <w:b/>
              </w:rPr>
              <w:t>Live Database Total</w:t>
            </w:r>
          </w:p>
        </w:tc>
        <w:tc>
          <w:tcPr>
            <w:tcW w:type="dxa" w:w="1728"/>
          </w:tcPr>
          <w:p>
            <w:r>
              <w:rPr>
                <w:b/>
              </w:rPr>
              <w:t>Variance</w:t>
            </w:r>
          </w:p>
        </w:tc>
        <w:tc>
          <w:tcPr>
            <w:tcW w:type="dxa" w:w="1728"/>
          </w:tcPr>
          <w:p>
            <w:r>
              <w:rPr>
                <w:b/>
              </w:rPr>
              <w:t>Alignment</w:t>
            </w:r>
          </w:p>
        </w:tc>
        <w:tc>
          <w:tcPr>
            <w:tcW w:type="dxa" w:w="1728"/>
          </w:tcPr>
          <w:p>
            <w:r>
              <w:rPr>
                <w:b/>
              </w:rPr>
              <w:t>Note</w:t>
            </w:r>
          </w:p>
        </w:tc>
      </w:tr>
      <w:tr>
        <w:tc>
          <w:tcPr>
            <w:tcW w:type="dxa" w:w="1728"/>
          </w:tcPr>
          <w:p>
            <w:r>
              <w:t>Table 1: Nursing Training Institution Graduates Output Summary</w:t>
            </w:r>
          </w:p>
        </w:tc>
        <w:tc>
          <w:tcPr>
            <w:tcW w:type="dxa" w:w="1728"/>
          </w:tcPr>
          <w:p>
            <w:r>
              <w:t>4209</w:t>
            </w:r>
          </w:p>
        </w:tc>
        <w:tc>
          <w:tcPr>
            <w:tcW w:type="dxa" w:w="1728"/>
          </w:tcPr>
          <w:p>
            <w:r>
              <w:t>4503</w:t>
            </w:r>
          </w:p>
        </w:tc>
        <w:tc>
          <w:tcPr>
            <w:tcW w:type="dxa" w:w="1728"/>
          </w:tcPr>
          <w:p>
            <w:r>
              <w:t>+294 (+7.0%)</w:t>
            </w:r>
          </w:p>
        </w:tc>
        <w:tc>
          <w:tcPr>
            <w:tcW w:type="dxa" w:w="1728"/>
          </w:tcPr>
          <w:p>
            <w:r>
              <w:t>Close alignment</w:t>
            </w:r>
          </w:p>
        </w:tc>
        <w:tc>
          <w:tcPr>
            <w:tcW w:type="dxa" w:w="1728"/>
          </w:tcPr>
          <w:p>
            <w:r>
              <w:t>Compared against active cleaned Nursing analytics institution-year rows for nursing graduands (2017-2024), falling back to live qualification records if no snapshot is active.</w:t>
            </w:r>
          </w:p>
        </w:tc>
      </w:tr>
      <w:tr>
        <w:tc>
          <w:tcPr>
            <w:tcW w:type="dxa" w:w="1728"/>
          </w:tcPr>
          <w:p>
            <w:r>
              <w:t>Table 2: Bachelor Midwifery Program Graduates Output Summary</w:t>
            </w:r>
          </w:p>
        </w:tc>
        <w:tc>
          <w:tcPr>
            <w:tcW w:type="dxa" w:w="1728"/>
          </w:tcPr>
          <w:p>
            <w:r>
              <w:t>572</w:t>
            </w:r>
          </w:p>
        </w:tc>
        <w:tc>
          <w:tcPr>
            <w:tcW w:type="dxa" w:w="1728"/>
          </w:tcPr>
          <w:p>
            <w:r>
              <w:t>608</w:t>
            </w:r>
          </w:p>
        </w:tc>
        <w:tc>
          <w:tcPr>
            <w:tcW w:type="dxa" w:w="1728"/>
          </w:tcPr>
          <w:p>
            <w:r>
              <w:t>+36 (+6.3%)</w:t>
            </w:r>
          </w:p>
        </w:tc>
        <w:tc>
          <w:tcPr>
            <w:tcW w:type="dxa" w:w="1728"/>
          </w:tcPr>
          <w:p>
            <w:r>
              <w:t>Close alignment</w:t>
            </w:r>
          </w:p>
        </w:tc>
        <w:tc>
          <w:tcPr>
            <w:tcW w:type="dxa" w:w="1728"/>
          </w:tcPr>
          <w:p>
            <w:r>
              <w:t>Compared against active cleaned Nursing analytics full-licence midwifery rows (2016-2024), falling back to live qualification records if no snapshot is active.</w:t>
            </w:r>
          </w:p>
        </w:tc>
      </w:tr>
      <w:tr>
        <w:tc>
          <w:tcPr>
            <w:tcW w:type="dxa" w:w="1728"/>
          </w:tcPr>
          <w:p>
            <w:r>
              <w:t>Table 2.1: Bachelor Midwifery Full License Issuance Summary</w:t>
            </w:r>
          </w:p>
        </w:tc>
        <w:tc>
          <w:tcPr>
            <w:tcW w:type="dxa" w:w="1728"/>
          </w:tcPr>
          <w:p>
            <w:r>
              <w:t>328</w:t>
            </w:r>
          </w:p>
        </w:tc>
        <w:tc>
          <w:tcPr>
            <w:tcW w:type="dxa" w:w="1728"/>
          </w:tcPr>
          <w:p>
            <w:r>
              <w:t>328</w:t>
            </w:r>
          </w:p>
        </w:tc>
        <w:tc>
          <w:tcPr>
            <w:tcW w:type="dxa" w:w="1728"/>
          </w:tcPr>
          <w:p>
            <w:r>
              <w:t>+0 (+0.0%)</w:t>
            </w:r>
          </w:p>
        </w:tc>
        <w:tc>
          <w:tcPr>
            <w:tcW w:type="dxa" w:w="1728"/>
          </w:tcPr>
          <w:p>
            <w:r>
              <w:t>Match</w:t>
            </w:r>
          </w:p>
        </w:tc>
        <w:tc>
          <w:tcPr>
            <w:tcW w:type="dxa" w:w="1728"/>
          </w:tcPr>
          <w:p>
            <w:r>
              <w:t>Compared against active cleaned Nursing analytics midwifery full-licence rows (2021-2025), falling back to PracticingLicenseRecord if no snapshot is active.</w:t>
            </w:r>
          </w:p>
        </w:tc>
      </w:tr>
      <w:tr>
        <w:tc>
          <w:tcPr>
            <w:tcW w:type="dxa" w:w="1728"/>
          </w:tcPr>
          <w:p>
            <w:r>
              <w:t>Table 3: Registration Elements Summary</w:t>
            </w:r>
          </w:p>
        </w:tc>
        <w:tc>
          <w:tcPr>
            <w:tcW w:type="dxa" w:w="1728"/>
          </w:tcPr>
          <w:p>
            <w:r>
              <w:t>22428</w:t>
            </w:r>
          </w:p>
        </w:tc>
        <w:tc>
          <w:tcPr>
            <w:tcW w:type="dxa" w:w="1728"/>
          </w:tcPr>
          <w:p>
            <w:r>
              <w:t>34851</w:t>
            </w:r>
          </w:p>
        </w:tc>
        <w:tc>
          <w:tcPr>
            <w:tcW w:type="dxa" w:w="1728"/>
          </w:tcPr>
          <w:p>
            <w:r>
              <w:t>+12,423 (+55.4%)</w:t>
            </w:r>
          </w:p>
        </w:tc>
        <w:tc>
          <w:tcPr>
            <w:tcW w:type="dxa" w:w="1728"/>
          </w:tcPr>
          <w:p>
            <w:r>
              <w:t>Mismatch</w:t>
            </w:r>
          </w:p>
        </w:tc>
        <w:tc>
          <w:tcPr>
            <w:tcW w:type="dxa" w:w="1728"/>
          </w:tcPr>
          <w:p>
            <w:r>
              <w:t>Compared against active cleaned Nursing analytics lifecycle totals when available, falling back to imported registration records from 2019-2026.</w:t>
            </w:r>
          </w:p>
        </w:tc>
      </w:tr>
      <w:tr>
        <w:tc>
          <w:tcPr>
            <w:tcW w:type="dxa" w:w="1728"/>
          </w:tcPr>
          <w:p>
            <w:r>
              <w:t>Table 6: Employment Type</w:t>
            </w:r>
          </w:p>
        </w:tc>
        <w:tc>
          <w:tcPr>
            <w:tcW w:type="dxa" w:w="1728"/>
          </w:tcPr>
          <w:p>
            <w:r>
              <w:t>199</w:t>
            </w:r>
          </w:p>
        </w:tc>
        <w:tc>
          <w:tcPr>
            <w:tcW w:type="dxa" w:w="1728"/>
          </w:tcPr>
          <w:p>
            <w:r>
              <w:t>0</w:t>
            </w:r>
          </w:p>
        </w:tc>
        <w:tc>
          <w:tcPr>
            <w:tcW w:type="dxa" w:w="1728"/>
          </w:tcPr>
          <w:p>
            <w:r>
              <w:t>-199 (-100.0%)</w:t>
            </w:r>
          </w:p>
        </w:tc>
        <w:tc>
          <w:tcPr>
            <w:tcW w:type="dxa" w:w="1728"/>
          </w:tcPr>
          <w:p>
            <w:r>
              <w:t>Mismatch</w:t>
            </w:r>
          </w:p>
        </w:tc>
        <w:tc>
          <w:tcPr>
            <w:tcW w:type="dxa" w:w="1728"/>
          </w:tcPr>
          <w:p>
            <w:r>
              <w:t>Compared against live EmploymentRecord rows. Current employment rows in the database: 0.</w:t>
            </w:r>
          </w:p>
        </w:tc>
      </w:tr>
      <w:tr>
        <w:tc>
          <w:tcPr>
            <w:tcW w:type="dxa" w:w="1728"/>
          </w:tcPr>
          <w:p>
            <w:r>
              <w:t>Table 7: Scheme of General Nurse (2022 to 2023)</w:t>
            </w:r>
          </w:p>
        </w:tc>
        <w:tc>
          <w:tcPr>
            <w:tcW w:type="dxa" w:w="1728"/>
          </w:tcPr>
          <w:p>
            <w:r>
              <w:t>2959</w:t>
            </w:r>
          </w:p>
        </w:tc>
        <w:tc>
          <w:tcPr>
            <w:tcW w:type="dxa" w:w="1728"/>
          </w:tcPr>
          <w:p>
            <w:r>
              <w:t>0</w:t>
            </w:r>
          </w:p>
        </w:tc>
        <w:tc>
          <w:tcPr>
            <w:tcW w:type="dxa" w:w="1728"/>
          </w:tcPr>
          <w:p>
            <w:r>
              <w:t>-2,959 (-100.0%)</w:t>
            </w:r>
          </w:p>
        </w:tc>
        <w:tc>
          <w:tcPr>
            <w:tcW w:type="dxa" w:w="1728"/>
          </w:tcPr>
          <w:p>
            <w:r>
              <w:t>Mismatch</w:t>
            </w:r>
          </w:p>
        </w:tc>
        <w:tc>
          <w:tcPr>
            <w:tcW w:type="dxa" w:w="1728"/>
          </w:tcPr>
          <w:p>
            <w:r>
              <w:t>Compared against qualification rows completed in 2022-2023 and grouped into certificate, diploma, and bachelor pathways.</w:t>
            </w:r>
          </w:p>
        </w:tc>
      </w:tr>
      <w:tr>
        <w:tc>
          <w:tcPr>
            <w:tcW w:type="dxa" w:w="1728"/>
          </w:tcPr>
          <w:p>
            <w:r>
              <w:t>Table 8: Segregation by Specialisation</w:t>
            </w:r>
          </w:p>
        </w:tc>
        <w:tc>
          <w:tcPr>
            <w:tcW w:type="dxa" w:w="1728"/>
          </w:tcPr>
          <w:p>
            <w:r>
              <w:t>5798</w:t>
            </w:r>
          </w:p>
        </w:tc>
        <w:tc>
          <w:tcPr>
            <w:tcW w:type="dxa" w:w="1728"/>
          </w:tcPr>
          <w:p>
            <w:r>
              <w:t>19840</w:t>
            </w:r>
          </w:p>
        </w:tc>
        <w:tc>
          <w:tcPr>
            <w:tcW w:type="dxa" w:w="1728"/>
          </w:tcPr>
          <w:p>
            <w:r>
              <w:t>+14,042 (+242.2%)</w:t>
            </w:r>
          </w:p>
        </w:tc>
        <w:tc>
          <w:tcPr>
            <w:tcW w:type="dxa" w:w="1728"/>
          </w:tcPr>
          <w:p>
            <w:r>
              <w:t>Mismatch</w:t>
            </w:r>
          </w:p>
        </w:tc>
        <w:tc>
          <w:tcPr>
            <w:tcW w:type="dxa" w:w="1728"/>
          </w:tcPr>
          <w:p>
            <w:r>
              <w:t>Compared against active cleaned Nursing analytics ATP cadre rows when available. Blank source cells were not forced into numeric comparisons.</w:t>
            </w:r>
          </w:p>
        </w:tc>
      </w:tr>
    </w:tbl>
    <w:p/>
    <w:p>
      <w:pPr>
        <w:pStyle w:val="Heading1"/>
      </w:pPr>
      <w:r>
        <w:t>6. Detailed Table-By-Table Comparison</w:t>
      </w:r>
    </w:p>
    <w:p>
      <w:pPr>
        <w:pStyle w:val="Heading2"/>
      </w:pPr>
      <w:r>
        <w:t>Table 1: Nursing Training Institution Graduates Output Summary</w:t>
      </w:r>
    </w:p>
    <w:p>
      <w:r>
        <w:t>Reference data from the ministerial submission showing graduate output from nursing training institutions. These are training outputs and do not automatically equal workforce absorption.</w:t>
      </w:r>
    </w:p>
    <w:p>
      <w:r>
        <w:t>Source note: Some late-year institution cells in the source PDF include blanks, pending values, or non-numeric notes. Those have been carried into the platform as reference text rather than forced into a numeric value.</w:t>
      </w:r>
    </w:p>
    <w:p>
      <w:r>
        <w:rPr>
          <w:b/>
        </w:rPr>
        <w:t>Live Database Comparison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Year</w:t>
            </w:r>
          </w:p>
        </w:tc>
        <w:tc>
          <w:tcPr>
            <w:tcW w:type="dxa" w:w="2074"/>
          </w:tcPr>
          <w:p>
            <w:r>
              <w:rPr>
                <w:b/>
              </w:rPr>
              <w:t>Report Total</w:t>
            </w:r>
          </w:p>
        </w:tc>
        <w:tc>
          <w:tcPr>
            <w:tcW w:type="dxa" w:w="2074"/>
          </w:tcPr>
          <w:p>
            <w:r>
              <w:rPr>
                <w:b/>
              </w:rPr>
              <w:t>Live Database Total</w:t>
            </w:r>
          </w:p>
        </w:tc>
        <w:tc>
          <w:tcPr>
            <w:tcW w:type="dxa" w:w="2074"/>
          </w:tcPr>
          <w:p>
            <w:r>
              <w:rPr>
                <w:b/>
              </w:rPr>
              <w:t>Variance</w:t>
            </w:r>
          </w:p>
        </w:tc>
        <w:tc>
          <w:tcPr>
            <w:tcW w:type="dxa" w:w="2074"/>
          </w:tcPr>
          <w:p>
            <w:r>
              <w:rPr>
                <w:b/>
              </w:rPr>
              <w:t>Alignment</w:t>
            </w:r>
          </w:p>
        </w:tc>
      </w:tr>
      <w:tr>
        <w:tc>
          <w:tcPr>
            <w:tcW w:type="dxa" w:w="2074"/>
          </w:tcPr>
          <w:p>
            <w:r>
              <w:t>2017</w:t>
            </w:r>
          </w:p>
        </w:tc>
        <w:tc>
          <w:tcPr>
            <w:tcW w:type="dxa" w:w="2074"/>
          </w:tcPr>
          <w:p>
            <w:r>
              <w:t>397</w:t>
            </w:r>
          </w:p>
        </w:tc>
        <w:tc>
          <w:tcPr>
            <w:tcW w:type="dxa" w:w="2074"/>
          </w:tcPr>
          <w:p>
            <w:r>
              <w:t>177</w:t>
            </w:r>
          </w:p>
        </w:tc>
        <w:tc>
          <w:tcPr>
            <w:tcW w:type="dxa" w:w="2074"/>
          </w:tcPr>
          <w:p>
            <w:r>
              <w:t>-220 (-55.4%)</w:t>
            </w:r>
          </w:p>
        </w:tc>
        <w:tc>
          <w:tcPr>
            <w:tcW w:type="dxa" w:w="2074"/>
          </w:tcPr>
          <w:p>
            <w:r>
              <w:t>Mismatch</w:t>
            </w:r>
          </w:p>
        </w:tc>
      </w:tr>
      <w:tr>
        <w:tc>
          <w:tcPr>
            <w:tcW w:type="dxa" w:w="2074"/>
          </w:tcPr>
          <w:p>
            <w:r>
              <w:t>2018</w:t>
            </w:r>
          </w:p>
        </w:tc>
        <w:tc>
          <w:tcPr>
            <w:tcW w:type="dxa" w:w="2074"/>
          </w:tcPr>
          <w:p>
            <w:r>
              <w:t>388</w:t>
            </w:r>
          </w:p>
        </w:tc>
        <w:tc>
          <w:tcPr>
            <w:tcW w:type="dxa" w:w="2074"/>
          </w:tcPr>
          <w:p>
            <w:r>
              <w:t>536</w:t>
            </w:r>
          </w:p>
        </w:tc>
        <w:tc>
          <w:tcPr>
            <w:tcW w:type="dxa" w:w="2074"/>
          </w:tcPr>
          <w:p>
            <w:r>
              <w:t>+148 (+38.1%)</w:t>
            </w:r>
          </w:p>
        </w:tc>
        <w:tc>
          <w:tcPr>
            <w:tcW w:type="dxa" w:w="2074"/>
          </w:tcPr>
          <w:p>
            <w:r>
              <w:t>Mismatch</w:t>
            </w:r>
          </w:p>
        </w:tc>
      </w:tr>
      <w:tr>
        <w:tc>
          <w:tcPr>
            <w:tcW w:type="dxa" w:w="2074"/>
          </w:tcPr>
          <w:p>
            <w:r>
              <w:t>2019</w:t>
            </w:r>
          </w:p>
        </w:tc>
        <w:tc>
          <w:tcPr>
            <w:tcW w:type="dxa" w:w="2074"/>
          </w:tcPr>
          <w:p>
            <w:r>
              <w:t>379</w:t>
            </w:r>
          </w:p>
        </w:tc>
        <w:tc>
          <w:tcPr>
            <w:tcW w:type="dxa" w:w="2074"/>
          </w:tcPr>
          <w:p>
            <w:r>
              <w:t>394</w:t>
            </w:r>
          </w:p>
        </w:tc>
        <w:tc>
          <w:tcPr>
            <w:tcW w:type="dxa" w:w="2074"/>
          </w:tcPr>
          <w:p>
            <w:r>
              <w:t>+15 (+4.0%)</w:t>
            </w:r>
          </w:p>
        </w:tc>
        <w:tc>
          <w:tcPr>
            <w:tcW w:type="dxa" w:w="2074"/>
          </w:tcPr>
          <w:p>
            <w:r>
              <w:t>Close alignment</w:t>
            </w:r>
          </w:p>
        </w:tc>
      </w:tr>
      <w:tr>
        <w:tc>
          <w:tcPr>
            <w:tcW w:type="dxa" w:w="2074"/>
          </w:tcPr>
          <w:p>
            <w:r>
              <w:t>2020</w:t>
            </w:r>
          </w:p>
        </w:tc>
        <w:tc>
          <w:tcPr>
            <w:tcW w:type="dxa" w:w="2074"/>
          </w:tcPr>
          <w:p>
            <w:r>
              <w:t>646</w:t>
            </w:r>
          </w:p>
        </w:tc>
        <w:tc>
          <w:tcPr>
            <w:tcW w:type="dxa" w:w="2074"/>
          </w:tcPr>
          <w:p>
            <w:r>
              <w:t>711</w:t>
            </w:r>
          </w:p>
        </w:tc>
        <w:tc>
          <w:tcPr>
            <w:tcW w:type="dxa" w:w="2074"/>
          </w:tcPr>
          <w:p>
            <w:r>
              <w:t>+65 (+10.1%)</w:t>
            </w:r>
          </w:p>
        </w:tc>
        <w:tc>
          <w:tcPr>
            <w:tcW w:type="dxa" w:w="2074"/>
          </w:tcPr>
          <w:p>
            <w:r>
              <w:t>Partial alignment</w:t>
            </w:r>
          </w:p>
        </w:tc>
      </w:tr>
      <w:tr>
        <w:tc>
          <w:tcPr>
            <w:tcW w:type="dxa" w:w="2074"/>
          </w:tcPr>
          <w:p>
            <w:r>
              <w:t>2021</w:t>
            </w:r>
          </w:p>
        </w:tc>
        <w:tc>
          <w:tcPr>
            <w:tcW w:type="dxa" w:w="2074"/>
          </w:tcPr>
          <w:p>
            <w:r>
              <w:t>454</w:t>
            </w:r>
          </w:p>
        </w:tc>
        <w:tc>
          <w:tcPr>
            <w:tcW w:type="dxa" w:w="2074"/>
          </w:tcPr>
          <w:p>
            <w:r>
              <w:t>543</w:t>
            </w:r>
          </w:p>
        </w:tc>
        <w:tc>
          <w:tcPr>
            <w:tcW w:type="dxa" w:w="2074"/>
          </w:tcPr>
          <w:p>
            <w:r>
              <w:t>+89 (+19.6%)</w:t>
            </w:r>
          </w:p>
        </w:tc>
        <w:tc>
          <w:tcPr>
            <w:tcW w:type="dxa" w:w="2074"/>
          </w:tcPr>
          <w:p>
            <w:r>
              <w:t>Partial alignment</w:t>
            </w:r>
          </w:p>
        </w:tc>
      </w:tr>
      <w:tr>
        <w:tc>
          <w:tcPr>
            <w:tcW w:type="dxa" w:w="2074"/>
          </w:tcPr>
          <w:p>
            <w:r>
              <w:t>2022</w:t>
            </w:r>
          </w:p>
        </w:tc>
        <w:tc>
          <w:tcPr>
            <w:tcW w:type="dxa" w:w="2074"/>
          </w:tcPr>
          <w:p>
            <w:r>
              <w:t>635</w:t>
            </w:r>
          </w:p>
        </w:tc>
        <w:tc>
          <w:tcPr>
            <w:tcW w:type="dxa" w:w="2074"/>
          </w:tcPr>
          <w:p>
            <w:r>
              <w:t>636</w:t>
            </w:r>
          </w:p>
        </w:tc>
        <w:tc>
          <w:tcPr>
            <w:tcW w:type="dxa" w:w="2074"/>
          </w:tcPr>
          <w:p>
            <w:r>
              <w:t>+1 (+0.2%)</w:t>
            </w:r>
          </w:p>
        </w:tc>
        <w:tc>
          <w:tcPr>
            <w:tcW w:type="dxa" w:w="2074"/>
          </w:tcPr>
          <w:p>
            <w:r>
              <w:t>Close alignment</w:t>
            </w:r>
          </w:p>
        </w:tc>
      </w:tr>
      <w:tr>
        <w:tc>
          <w:tcPr>
            <w:tcW w:type="dxa" w:w="2074"/>
          </w:tcPr>
          <w:p>
            <w:r>
              <w:t>2023</w:t>
            </w:r>
          </w:p>
        </w:tc>
        <w:tc>
          <w:tcPr>
            <w:tcW w:type="dxa" w:w="2074"/>
          </w:tcPr>
          <w:p>
            <w:r>
              <w:t>686</w:t>
            </w:r>
          </w:p>
        </w:tc>
        <w:tc>
          <w:tcPr>
            <w:tcW w:type="dxa" w:w="2074"/>
          </w:tcPr>
          <w:p>
            <w:r>
              <w:t>711</w:t>
            </w:r>
          </w:p>
        </w:tc>
        <w:tc>
          <w:tcPr>
            <w:tcW w:type="dxa" w:w="2074"/>
          </w:tcPr>
          <w:p>
            <w:r>
              <w:t>+25 (+3.6%)</w:t>
            </w:r>
          </w:p>
        </w:tc>
        <w:tc>
          <w:tcPr>
            <w:tcW w:type="dxa" w:w="2074"/>
          </w:tcPr>
          <w:p>
            <w:r>
              <w:t>Close alignment</w:t>
            </w:r>
          </w:p>
        </w:tc>
      </w:tr>
      <w:tr>
        <w:tc>
          <w:tcPr>
            <w:tcW w:type="dxa" w:w="2074"/>
          </w:tcPr>
          <w:p>
            <w:r>
              <w:t>2024</w:t>
            </w:r>
          </w:p>
        </w:tc>
        <w:tc>
          <w:tcPr>
            <w:tcW w:type="dxa" w:w="2074"/>
          </w:tcPr>
          <w:p>
            <w:r>
              <w:t>624</w:t>
            </w:r>
          </w:p>
        </w:tc>
        <w:tc>
          <w:tcPr>
            <w:tcW w:type="dxa" w:w="2074"/>
          </w:tcPr>
          <w:p>
            <w:r>
              <w:t>795</w:t>
            </w:r>
          </w:p>
        </w:tc>
        <w:tc>
          <w:tcPr>
            <w:tcW w:type="dxa" w:w="2074"/>
          </w:tcPr>
          <w:p>
            <w:r>
              <w:t>+171 (+27.4%)</w:t>
            </w:r>
          </w:p>
        </w:tc>
        <w:tc>
          <w:tcPr>
            <w:tcW w:type="dxa" w:w="2074"/>
          </w:tcPr>
          <w:p>
            <w:r>
              <w:t>Mismatch</w:t>
            </w:r>
          </w:p>
        </w:tc>
      </w:tr>
      <w:tr>
        <w:tc>
          <w:tcPr>
            <w:tcW w:type="dxa" w:w="2074"/>
          </w:tcPr>
          <w:p>
            <w:r>
              <w:t>Total</w:t>
            </w:r>
          </w:p>
        </w:tc>
        <w:tc>
          <w:tcPr>
            <w:tcW w:type="dxa" w:w="2074"/>
          </w:tcPr>
          <w:p>
            <w:r>
              <w:t>4209</w:t>
            </w:r>
          </w:p>
        </w:tc>
        <w:tc>
          <w:tcPr>
            <w:tcW w:type="dxa" w:w="2074"/>
          </w:tcPr>
          <w:p>
            <w:r>
              <w:t>4503</w:t>
            </w:r>
          </w:p>
        </w:tc>
        <w:tc>
          <w:tcPr>
            <w:tcW w:type="dxa" w:w="2074"/>
          </w:tcPr>
          <w:p>
            <w:r>
              <w:t>+294 (+7.0%)</w:t>
            </w:r>
          </w:p>
        </w:tc>
        <w:tc>
          <w:tcPr>
            <w:tcW w:type="dxa" w:w="2074"/>
          </w:tcPr>
          <w:p>
            <w:r>
              <w:t>Close alignment</w:t>
            </w:r>
          </w:p>
        </w:tc>
      </w:tr>
    </w:tbl>
    <w:p/>
    <w:p>
      <w:pPr>
        <w:pStyle w:val="Heading2"/>
      </w:pPr>
      <w:r>
        <w:t>Table 2: Bachelor Midwifery Program Graduates Output Summary</w:t>
      </w:r>
    </w:p>
    <w:p>
      <w:r>
        <w:t>Reference data from the ministerial submission showing annual output from midwifery programmes. These are graduate outputs and do not automatically equal employment placement.</w:t>
      </w:r>
    </w:p>
    <w:p>
      <w:r>
        <w:t>Source note: The source PDF shows one pending 2024 value and one leading blank institution-year cell.</w:t>
      </w:r>
    </w:p>
    <w:p>
      <w:r>
        <w:rPr>
          <w:b/>
        </w:rPr>
        <w:t>Live Database Comparison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Year</w:t>
            </w:r>
          </w:p>
        </w:tc>
        <w:tc>
          <w:tcPr>
            <w:tcW w:type="dxa" w:w="2074"/>
          </w:tcPr>
          <w:p>
            <w:r>
              <w:rPr>
                <w:b/>
              </w:rPr>
              <w:t>Report Total</w:t>
            </w:r>
          </w:p>
        </w:tc>
        <w:tc>
          <w:tcPr>
            <w:tcW w:type="dxa" w:w="2074"/>
          </w:tcPr>
          <w:p>
            <w:r>
              <w:rPr>
                <w:b/>
              </w:rPr>
              <w:t>Live Database Total</w:t>
            </w:r>
          </w:p>
        </w:tc>
        <w:tc>
          <w:tcPr>
            <w:tcW w:type="dxa" w:w="2074"/>
          </w:tcPr>
          <w:p>
            <w:r>
              <w:rPr>
                <w:b/>
              </w:rPr>
              <w:t>Variance</w:t>
            </w:r>
          </w:p>
        </w:tc>
        <w:tc>
          <w:tcPr>
            <w:tcW w:type="dxa" w:w="2074"/>
          </w:tcPr>
          <w:p>
            <w:r>
              <w:rPr>
                <w:b/>
              </w:rPr>
              <w:t>Alignment</w:t>
            </w:r>
          </w:p>
        </w:tc>
      </w:tr>
      <w:tr>
        <w:tc>
          <w:tcPr>
            <w:tcW w:type="dxa" w:w="2074"/>
          </w:tcPr>
          <w:p>
            <w:r>
              <w:t>2016</w:t>
            </w:r>
          </w:p>
        </w:tc>
        <w:tc>
          <w:tcPr>
            <w:tcW w:type="dxa" w:w="2074"/>
          </w:tcPr>
          <w:p>
            <w:r>
              <w:t>66</w:t>
            </w:r>
          </w:p>
        </w:tc>
        <w:tc>
          <w:tcPr>
            <w:tcW w:type="dxa" w:w="2074"/>
          </w:tcPr>
          <w:p>
            <w:r>
              <w:t>16</w:t>
            </w:r>
          </w:p>
        </w:tc>
        <w:tc>
          <w:tcPr>
            <w:tcW w:type="dxa" w:w="2074"/>
          </w:tcPr>
          <w:p>
            <w:r>
              <w:t>-50 (-75.8%)</w:t>
            </w:r>
          </w:p>
        </w:tc>
        <w:tc>
          <w:tcPr>
            <w:tcW w:type="dxa" w:w="2074"/>
          </w:tcPr>
          <w:p>
            <w:r>
              <w:t>Mismatch</w:t>
            </w:r>
          </w:p>
        </w:tc>
      </w:tr>
      <w:tr>
        <w:tc>
          <w:tcPr>
            <w:tcW w:type="dxa" w:w="2074"/>
          </w:tcPr>
          <w:p>
            <w:r>
              <w:t>2017</w:t>
            </w:r>
          </w:p>
        </w:tc>
        <w:tc>
          <w:tcPr>
            <w:tcW w:type="dxa" w:w="2074"/>
          </w:tcPr>
          <w:p>
            <w:r>
              <w:t>48</w:t>
            </w:r>
          </w:p>
        </w:tc>
        <w:tc>
          <w:tcPr>
            <w:tcW w:type="dxa" w:w="2074"/>
          </w:tcPr>
          <w:p>
            <w:r>
              <w:t>44</w:t>
            </w:r>
          </w:p>
        </w:tc>
        <w:tc>
          <w:tcPr>
            <w:tcW w:type="dxa" w:w="2074"/>
          </w:tcPr>
          <w:p>
            <w:r>
              <w:t>-4 (-8.3%)</w:t>
            </w:r>
          </w:p>
        </w:tc>
        <w:tc>
          <w:tcPr>
            <w:tcW w:type="dxa" w:w="2074"/>
          </w:tcPr>
          <w:p>
            <w:r>
              <w:t>Close alignment</w:t>
            </w:r>
          </w:p>
        </w:tc>
      </w:tr>
      <w:tr>
        <w:tc>
          <w:tcPr>
            <w:tcW w:type="dxa" w:w="2074"/>
          </w:tcPr>
          <w:p>
            <w:r>
              <w:t>2018</w:t>
            </w:r>
          </w:p>
        </w:tc>
        <w:tc>
          <w:tcPr>
            <w:tcW w:type="dxa" w:w="2074"/>
          </w:tcPr>
          <w:p>
            <w:r>
              <w:t>69</w:t>
            </w:r>
          </w:p>
        </w:tc>
        <w:tc>
          <w:tcPr>
            <w:tcW w:type="dxa" w:w="2074"/>
          </w:tcPr>
          <w:p>
            <w:r>
              <w:t>56</w:t>
            </w:r>
          </w:p>
        </w:tc>
        <w:tc>
          <w:tcPr>
            <w:tcW w:type="dxa" w:w="2074"/>
          </w:tcPr>
          <w:p>
            <w:r>
              <w:t>-13 (-18.8%)</w:t>
            </w:r>
          </w:p>
        </w:tc>
        <w:tc>
          <w:tcPr>
            <w:tcW w:type="dxa" w:w="2074"/>
          </w:tcPr>
          <w:p>
            <w:r>
              <w:t>Partial alignment</w:t>
            </w:r>
          </w:p>
        </w:tc>
      </w:tr>
      <w:tr>
        <w:tc>
          <w:tcPr>
            <w:tcW w:type="dxa" w:w="2074"/>
          </w:tcPr>
          <w:p>
            <w:r>
              <w:t>2019</w:t>
            </w:r>
          </w:p>
        </w:tc>
        <w:tc>
          <w:tcPr>
            <w:tcW w:type="dxa" w:w="2074"/>
          </w:tcPr>
          <w:p>
            <w:r>
              <w:t>57</w:t>
            </w:r>
          </w:p>
        </w:tc>
        <w:tc>
          <w:tcPr>
            <w:tcW w:type="dxa" w:w="2074"/>
          </w:tcPr>
          <w:p>
            <w:r>
              <w:t>69</w:t>
            </w:r>
          </w:p>
        </w:tc>
        <w:tc>
          <w:tcPr>
            <w:tcW w:type="dxa" w:w="2074"/>
          </w:tcPr>
          <w:p>
            <w:r>
              <w:t>+12 (+21.1%)</w:t>
            </w:r>
          </w:p>
        </w:tc>
        <w:tc>
          <w:tcPr>
            <w:tcW w:type="dxa" w:w="2074"/>
          </w:tcPr>
          <w:p>
            <w:r>
              <w:t>Partial alignment</w:t>
            </w:r>
          </w:p>
        </w:tc>
      </w:tr>
      <w:tr>
        <w:tc>
          <w:tcPr>
            <w:tcW w:type="dxa" w:w="2074"/>
          </w:tcPr>
          <w:p>
            <w:r>
              <w:t>2020</w:t>
            </w:r>
          </w:p>
        </w:tc>
        <w:tc>
          <w:tcPr>
            <w:tcW w:type="dxa" w:w="2074"/>
          </w:tcPr>
          <w:p>
            <w:r>
              <w:t>66</w:t>
            </w:r>
          </w:p>
        </w:tc>
        <w:tc>
          <w:tcPr>
            <w:tcW w:type="dxa" w:w="2074"/>
          </w:tcPr>
          <w:p>
            <w:r>
              <w:t>95</w:t>
            </w:r>
          </w:p>
        </w:tc>
        <w:tc>
          <w:tcPr>
            <w:tcW w:type="dxa" w:w="2074"/>
          </w:tcPr>
          <w:p>
            <w:r>
              <w:t>+29 (+43.9%)</w:t>
            </w:r>
          </w:p>
        </w:tc>
        <w:tc>
          <w:tcPr>
            <w:tcW w:type="dxa" w:w="2074"/>
          </w:tcPr>
          <w:p>
            <w:r>
              <w:t>Mismatch</w:t>
            </w:r>
          </w:p>
        </w:tc>
      </w:tr>
      <w:tr>
        <w:tc>
          <w:tcPr>
            <w:tcW w:type="dxa" w:w="2074"/>
          </w:tcPr>
          <w:p>
            <w:r>
              <w:t>2021</w:t>
            </w:r>
          </w:p>
        </w:tc>
        <w:tc>
          <w:tcPr>
            <w:tcW w:type="dxa" w:w="2074"/>
          </w:tcPr>
          <w:p>
            <w:r>
              <w:t>89</w:t>
            </w:r>
          </w:p>
        </w:tc>
        <w:tc>
          <w:tcPr>
            <w:tcW w:type="dxa" w:w="2074"/>
          </w:tcPr>
          <w:p>
            <w:r>
              <w:t>80</w:t>
            </w:r>
          </w:p>
        </w:tc>
        <w:tc>
          <w:tcPr>
            <w:tcW w:type="dxa" w:w="2074"/>
          </w:tcPr>
          <w:p>
            <w:r>
              <w:t>-9 (-10.1%)</w:t>
            </w:r>
          </w:p>
        </w:tc>
        <w:tc>
          <w:tcPr>
            <w:tcW w:type="dxa" w:w="2074"/>
          </w:tcPr>
          <w:p>
            <w:r>
              <w:t>Partial alignment</w:t>
            </w:r>
          </w:p>
        </w:tc>
      </w:tr>
      <w:tr>
        <w:tc>
          <w:tcPr>
            <w:tcW w:type="dxa" w:w="2074"/>
          </w:tcPr>
          <w:p>
            <w:r>
              <w:t>2022</w:t>
            </w:r>
          </w:p>
        </w:tc>
        <w:tc>
          <w:tcPr>
            <w:tcW w:type="dxa" w:w="2074"/>
          </w:tcPr>
          <w:p>
            <w:r>
              <w:t>57</w:t>
            </w:r>
          </w:p>
        </w:tc>
        <w:tc>
          <w:tcPr>
            <w:tcW w:type="dxa" w:w="2074"/>
          </w:tcPr>
          <w:p>
            <w:r>
              <w:t>39</w:t>
            </w:r>
          </w:p>
        </w:tc>
        <w:tc>
          <w:tcPr>
            <w:tcW w:type="dxa" w:w="2074"/>
          </w:tcPr>
          <w:p>
            <w:r>
              <w:t>-18 (-31.6%)</w:t>
            </w:r>
          </w:p>
        </w:tc>
        <w:tc>
          <w:tcPr>
            <w:tcW w:type="dxa" w:w="2074"/>
          </w:tcPr>
          <w:p>
            <w:r>
              <w:t>Mismatch</w:t>
            </w:r>
          </w:p>
        </w:tc>
      </w:tr>
      <w:tr>
        <w:tc>
          <w:tcPr>
            <w:tcW w:type="dxa" w:w="2074"/>
          </w:tcPr>
          <w:p>
            <w:r>
              <w:t>2023</w:t>
            </w:r>
          </w:p>
        </w:tc>
        <w:tc>
          <w:tcPr>
            <w:tcW w:type="dxa" w:w="2074"/>
          </w:tcPr>
          <w:p>
            <w:r>
              <w:t>68</w:t>
            </w:r>
          </w:p>
        </w:tc>
        <w:tc>
          <w:tcPr>
            <w:tcW w:type="dxa" w:w="2074"/>
          </w:tcPr>
          <w:p>
            <w:r>
              <w:t>91</w:t>
            </w:r>
          </w:p>
        </w:tc>
        <w:tc>
          <w:tcPr>
            <w:tcW w:type="dxa" w:w="2074"/>
          </w:tcPr>
          <w:p>
            <w:r>
              <w:t>+23 (+33.8%)</w:t>
            </w:r>
          </w:p>
        </w:tc>
        <w:tc>
          <w:tcPr>
            <w:tcW w:type="dxa" w:w="2074"/>
          </w:tcPr>
          <w:p>
            <w:r>
              <w:t>Mismatch</w:t>
            </w:r>
          </w:p>
        </w:tc>
      </w:tr>
      <w:tr>
        <w:tc>
          <w:tcPr>
            <w:tcW w:type="dxa" w:w="2074"/>
          </w:tcPr>
          <w:p>
            <w:r>
              <w:t>2024</w:t>
            </w:r>
          </w:p>
        </w:tc>
        <w:tc>
          <w:tcPr>
            <w:tcW w:type="dxa" w:w="2074"/>
          </w:tcPr>
          <w:p>
            <w:r>
              <w:t>52</w:t>
            </w:r>
          </w:p>
        </w:tc>
        <w:tc>
          <w:tcPr>
            <w:tcW w:type="dxa" w:w="2074"/>
          </w:tcPr>
          <w:p>
            <w:r>
              <w:t>118</w:t>
            </w:r>
          </w:p>
        </w:tc>
        <w:tc>
          <w:tcPr>
            <w:tcW w:type="dxa" w:w="2074"/>
          </w:tcPr>
          <w:p>
            <w:r>
              <w:t>+66 (+126.9%)</w:t>
            </w:r>
          </w:p>
        </w:tc>
        <w:tc>
          <w:tcPr>
            <w:tcW w:type="dxa" w:w="2074"/>
          </w:tcPr>
          <w:p>
            <w:r>
              <w:t>Mismatch</w:t>
            </w:r>
          </w:p>
        </w:tc>
      </w:tr>
      <w:tr>
        <w:tc>
          <w:tcPr>
            <w:tcW w:type="dxa" w:w="2074"/>
          </w:tcPr>
          <w:p>
            <w:r>
              <w:t>Total</w:t>
            </w:r>
          </w:p>
        </w:tc>
        <w:tc>
          <w:tcPr>
            <w:tcW w:type="dxa" w:w="2074"/>
          </w:tcPr>
          <w:p>
            <w:r>
              <w:t>572</w:t>
            </w:r>
          </w:p>
        </w:tc>
        <w:tc>
          <w:tcPr>
            <w:tcW w:type="dxa" w:w="2074"/>
          </w:tcPr>
          <w:p>
            <w:r>
              <w:t>608</w:t>
            </w:r>
          </w:p>
        </w:tc>
        <w:tc>
          <w:tcPr>
            <w:tcW w:type="dxa" w:w="2074"/>
          </w:tcPr>
          <w:p>
            <w:r>
              <w:t>+36 (+6.3%)</w:t>
            </w:r>
          </w:p>
        </w:tc>
        <w:tc>
          <w:tcPr>
            <w:tcW w:type="dxa" w:w="2074"/>
          </w:tcPr>
          <w:p>
            <w:r>
              <w:t>Close alignment</w:t>
            </w:r>
          </w:p>
        </w:tc>
      </w:tr>
    </w:tbl>
    <w:p/>
    <w:p>
      <w:pPr>
        <w:pStyle w:val="Heading2"/>
      </w:pPr>
      <w:r>
        <w:t>Table 2.1: Bachelor Midwifery Full License Issuance Summary</w:t>
      </w:r>
    </w:p>
    <w:p>
      <w:r>
        <w:t>Reference data from the ministerial submission showing midwifery full licence issuance.</w:t>
      </w:r>
    </w:p>
    <w:p>
      <w:r>
        <w:t>Source note: The extracted PDF text shows four numeric values and a 2025 column heading. The platform preserves that wording rather than guessing a missing 2025 count.</w:t>
      </w:r>
    </w:p>
    <w:p>
      <w:r>
        <w:rPr>
          <w:b/>
        </w:rPr>
        <w:t>Live Database Comparison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Year</w:t>
            </w:r>
          </w:p>
        </w:tc>
        <w:tc>
          <w:tcPr>
            <w:tcW w:type="dxa" w:w="1728"/>
          </w:tcPr>
          <w:p>
            <w:r>
              <w:rPr>
                <w:b/>
              </w:rPr>
              <w:t>Report Value</w:t>
            </w:r>
          </w:p>
        </w:tc>
        <w:tc>
          <w:tcPr>
            <w:tcW w:type="dxa" w:w="1728"/>
          </w:tcPr>
          <w:p>
            <w:r>
              <w:rPr>
                <w:b/>
              </w:rPr>
              <w:t>Live Distinct Practitioners</w:t>
            </w:r>
          </w:p>
        </w:tc>
        <w:tc>
          <w:tcPr>
            <w:tcW w:type="dxa" w:w="1728"/>
          </w:tcPr>
          <w:p>
            <w:r>
              <w:rPr>
                <w:b/>
              </w:rPr>
              <w:t>Live Raw Rows</w:t>
            </w:r>
          </w:p>
        </w:tc>
        <w:tc>
          <w:tcPr>
            <w:tcW w:type="dxa" w:w="1728"/>
          </w:tcPr>
          <w:p>
            <w:r>
              <w:rPr>
                <w:b/>
              </w:rPr>
              <w:t>Variance</w:t>
            </w:r>
          </w:p>
        </w:tc>
        <w:tc>
          <w:tcPr>
            <w:tcW w:type="dxa" w:w="1728"/>
          </w:tcPr>
          <w:p>
            <w:r>
              <w:rPr>
                <w:b/>
              </w:rPr>
              <w:t>Alignment</w:t>
            </w:r>
          </w:p>
        </w:tc>
      </w:tr>
      <w:tr>
        <w:tc>
          <w:tcPr>
            <w:tcW w:type="dxa" w:w="1728"/>
          </w:tcPr>
          <w:p>
            <w:r>
              <w:t>2021</w:t>
            </w:r>
          </w:p>
        </w:tc>
        <w:tc>
          <w:tcPr>
            <w:tcW w:type="dxa" w:w="1728"/>
          </w:tcPr>
          <w:p>
            <w:r>
              <w:t>54</w:t>
            </w:r>
          </w:p>
        </w:tc>
        <w:tc>
          <w:tcPr>
            <w:tcW w:type="dxa" w:w="1728"/>
          </w:tcPr>
          <w:p>
            <w:r>
              <w:t>80</w:t>
            </w:r>
          </w:p>
        </w:tc>
        <w:tc>
          <w:tcPr>
            <w:tcW w:type="dxa" w:w="1728"/>
          </w:tcPr>
          <w:p>
            <w:r>
              <w:t>80</w:t>
            </w:r>
          </w:p>
        </w:tc>
        <w:tc>
          <w:tcPr>
            <w:tcW w:type="dxa" w:w="1728"/>
          </w:tcPr>
          <w:p>
            <w:r>
              <w:t>+26 (+48.1%)</w:t>
            </w:r>
          </w:p>
        </w:tc>
        <w:tc>
          <w:tcPr>
            <w:tcW w:type="dxa" w:w="1728"/>
          </w:tcPr>
          <w:p>
            <w:r>
              <w:t>Mismatch</w:t>
            </w:r>
          </w:p>
        </w:tc>
      </w:tr>
      <w:tr>
        <w:tc>
          <w:tcPr>
            <w:tcW w:type="dxa" w:w="1728"/>
          </w:tcPr>
          <w:p>
            <w:r>
              <w:t>2022</w:t>
            </w:r>
          </w:p>
        </w:tc>
        <w:tc>
          <w:tcPr>
            <w:tcW w:type="dxa" w:w="1728"/>
          </w:tcPr>
          <w:p>
            <w:r>
              <w:t>59</w:t>
            </w:r>
          </w:p>
        </w:tc>
        <w:tc>
          <w:tcPr>
            <w:tcW w:type="dxa" w:w="1728"/>
          </w:tcPr>
          <w:p>
            <w:r>
              <w:t>39</w:t>
            </w:r>
          </w:p>
        </w:tc>
        <w:tc>
          <w:tcPr>
            <w:tcW w:type="dxa" w:w="1728"/>
          </w:tcPr>
          <w:p>
            <w:r>
              <w:t>39</w:t>
            </w:r>
          </w:p>
        </w:tc>
        <w:tc>
          <w:tcPr>
            <w:tcW w:type="dxa" w:w="1728"/>
          </w:tcPr>
          <w:p>
            <w:r>
              <w:t>-20 (-33.9%)</w:t>
            </w:r>
          </w:p>
        </w:tc>
        <w:tc>
          <w:tcPr>
            <w:tcW w:type="dxa" w:w="1728"/>
          </w:tcPr>
          <w:p>
            <w:r>
              <w:t>Mismatch</w:t>
            </w:r>
          </w:p>
        </w:tc>
      </w:tr>
      <w:tr>
        <w:tc>
          <w:tcPr>
            <w:tcW w:type="dxa" w:w="1728"/>
          </w:tcPr>
          <w:p>
            <w:r>
              <w:t>2023</w:t>
            </w:r>
          </w:p>
        </w:tc>
        <w:tc>
          <w:tcPr>
            <w:tcW w:type="dxa" w:w="1728"/>
          </w:tcPr>
          <w:p>
            <w:r>
              <w:t>101</w:t>
            </w:r>
          </w:p>
        </w:tc>
        <w:tc>
          <w:tcPr>
            <w:tcW w:type="dxa" w:w="1728"/>
          </w:tcPr>
          <w:p>
            <w:r>
              <w:t>91</w:t>
            </w:r>
          </w:p>
        </w:tc>
        <w:tc>
          <w:tcPr>
            <w:tcW w:type="dxa" w:w="1728"/>
          </w:tcPr>
          <w:p>
            <w:r>
              <w:t>91</w:t>
            </w:r>
          </w:p>
        </w:tc>
        <w:tc>
          <w:tcPr>
            <w:tcW w:type="dxa" w:w="1728"/>
          </w:tcPr>
          <w:p>
            <w:r>
              <w:t>-10 (-9.9%)</w:t>
            </w:r>
          </w:p>
        </w:tc>
        <w:tc>
          <w:tcPr>
            <w:tcW w:type="dxa" w:w="1728"/>
          </w:tcPr>
          <w:p>
            <w:r>
              <w:t>Close alignment</w:t>
            </w:r>
          </w:p>
        </w:tc>
      </w:tr>
      <w:tr>
        <w:tc>
          <w:tcPr>
            <w:tcW w:type="dxa" w:w="1728"/>
          </w:tcPr>
          <w:p>
            <w:r>
              <w:t>2024</w:t>
            </w:r>
          </w:p>
        </w:tc>
        <w:tc>
          <w:tcPr>
            <w:tcW w:type="dxa" w:w="1728"/>
          </w:tcPr>
          <w:p>
            <w:r>
              <w:t>114</w:t>
            </w:r>
          </w:p>
        </w:tc>
        <w:tc>
          <w:tcPr>
            <w:tcW w:type="dxa" w:w="1728"/>
          </w:tcPr>
          <w:p>
            <w:r>
              <w:t>118</w:t>
            </w:r>
          </w:p>
        </w:tc>
        <w:tc>
          <w:tcPr>
            <w:tcW w:type="dxa" w:w="1728"/>
          </w:tcPr>
          <w:p>
            <w:r>
              <w:t>118</w:t>
            </w:r>
          </w:p>
        </w:tc>
        <w:tc>
          <w:tcPr>
            <w:tcW w:type="dxa" w:w="1728"/>
          </w:tcPr>
          <w:p>
            <w:r>
              <w:t>+4 (+3.5%)</w:t>
            </w:r>
          </w:p>
        </w:tc>
        <w:tc>
          <w:tcPr>
            <w:tcW w:type="dxa" w:w="1728"/>
          </w:tcPr>
          <w:p>
            <w:r>
              <w:t>Close alignment</w:t>
            </w:r>
          </w:p>
        </w:tc>
      </w:tr>
      <w:tr>
        <w:tc>
          <w:tcPr>
            <w:tcW w:type="dxa" w:w="1728"/>
          </w:tcPr>
          <w:p>
            <w:r>
              <w:t>2025</w:t>
            </w:r>
          </w:p>
        </w:tc>
        <w:tc>
          <w:tcPr>
            <w:tcW w:type="dxa" w:w="1728"/>
          </w:tcPr>
          <w:p>
            <w:r>
              <w:t>Not stated</w:t>
            </w:r>
          </w:p>
        </w:tc>
        <w:tc>
          <w:tcPr>
            <w:tcW w:type="dxa" w:w="1728"/>
          </w:tcPr>
          <w:p>
            <w:r>
              <w:t>0</w:t>
            </w:r>
          </w:p>
        </w:tc>
        <w:tc>
          <w:tcPr>
            <w:tcW w:type="dxa" w:w="1728"/>
          </w:tcPr>
          <w:p>
            <w:r>
              <w:t>0</w:t>
            </w:r>
          </w:p>
        </w:tc>
        <w:tc>
          <w:tcPr>
            <w:tcW w:type="dxa" w:w="1728"/>
          </w:tcPr>
          <w:p>
            <w:r>
              <w:t>Reference comparison only</w:t>
            </w:r>
          </w:p>
        </w:tc>
        <w:tc>
          <w:tcPr>
            <w:tcW w:type="dxa" w:w="1728"/>
          </w:tcPr>
          <w:p>
            <w:r>
              <w:t>Reference only</w:t>
            </w:r>
          </w:p>
        </w:tc>
      </w:tr>
      <w:tr>
        <w:tc>
          <w:tcPr>
            <w:tcW w:type="dxa" w:w="1728"/>
          </w:tcPr>
          <w:p>
            <w:r>
              <w:t>Total stated in source</w:t>
            </w:r>
          </w:p>
        </w:tc>
        <w:tc>
          <w:tcPr>
            <w:tcW w:type="dxa" w:w="1728"/>
          </w:tcPr>
          <w:p>
            <w:r>
              <w:t>328</w:t>
            </w:r>
          </w:p>
        </w:tc>
        <w:tc>
          <w:tcPr>
            <w:tcW w:type="dxa" w:w="1728"/>
          </w:tcPr>
          <w:p>
            <w:r>
              <w:t>328</w:t>
            </w:r>
          </w:p>
        </w:tc>
        <w:tc>
          <w:tcPr>
            <w:tcW w:type="dxa" w:w="1728"/>
          </w:tcPr>
          <w:p>
            <w:r>
              <w:t>328</w:t>
            </w:r>
          </w:p>
        </w:tc>
        <w:tc>
          <w:tcPr>
            <w:tcW w:type="dxa" w:w="1728"/>
          </w:tcPr>
          <w:p>
            <w:r>
              <w:t>+0 (+0.0%)</w:t>
            </w:r>
          </w:p>
        </w:tc>
        <w:tc>
          <w:tcPr>
            <w:tcW w:type="dxa" w:w="1728"/>
          </w:tcPr>
          <w:p>
            <w:r>
              <w:t>Match</w:t>
            </w:r>
          </w:p>
        </w:tc>
      </w:tr>
    </w:tbl>
    <w:p/>
    <w:p>
      <w:pPr>
        <w:pStyle w:val="Heading2"/>
      </w:pPr>
      <w:r>
        <w:t>Table 3: Registration Elements Summary</w:t>
      </w:r>
    </w:p>
    <w:p>
      <w:r>
        <w:t>Reference totals from the ministerial submission covering provisional registration, full registration, temporary overseas registration, and Authority to Practise (ATP) activity.</w:t>
      </w:r>
    </w:p>
    <w:p>
      <w:r>
        <w:t>Source note: Because the PDF text extraction merged some year cells, the platform uses source totals as the authoritative comparison point for this table.</w:t>
      </w:r>
    </w:p>
    <w:p>
      <w:r>
        <w:rPr>
          <w:b/>
        </w:rPr>
        <w:t>Live Database Comparison</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rPr>
              <w:t>Registration Element</w:t>
            </w:r>
          </w:p>
        </w:tc>
        <w:tc>
          <w:tcPr>
            <w:tcW w:type="dxa" w:w="1481"/>
          </w:tcPr>
          <w:p>
            <w:r>
              <w:rPr>
                <w:b/>
              </w:rPr>
              <w:t>Report Total</w:t>
            </w:r>
          </w:p>
        </w:tc>
        <w:tc>
          <w:tcPr>
            <w:tcW w:type="dxa" w:w="1481"/>
          </w:tcPr>
          <w:p>
            <w:r>
              <w:rPr>
                <w:b/>
              </w:rPr>
              <w:t>Live Raw Rows</w:t>
            </w:r>
          </w:p>
        </w:tc>
        <w:tc>
          <w:tcPr>
            <w:tcW w:type="dxa" w:w="1481"/>
          </w:tcPr>
          <w:p>
            <w:r>
              <w:rPr>
                <w:b/>
              </w:rPr>
              <w:t>Live Distinct Practitioners</w:t>
            </w:r>
          </w:p>
        </w:tc>
        <w:tc>
          <w:tcPr>
            <w:tcW w:type="dxa" w:w="1481"/>
          </w:tcPr>
          <w:p>
            <w:r>
              <w:rPr>
                <w:b/>
              </w:rPr>
              <w:t>Variance</w:t>
            </w:r>
          </w:p>
        </w:tc>
        <w:tc>
          <w:tcPr>
            <w:tcW w:type="dxa" w:w="1481"/>
          </w:tcPr>
          <w:p>
            <w:r>
              <w:rPr>
                <w:b/>
              </w:rPr>
              <w:t>Alignment</w:t>
            </w:r>
          </w:p>
        </w:tc>
        <w:tc>
          <w:tcPr>
            <w:tcW w:type="dxa" w:w="1481"/>
          </w:tcPr>
          <w:p>
            <w:r>
              <w:rPr>
                <w:b/>
              </w:rPr>
              <w:t>Live Comparison Basis</w:t>
            </w:r>
          </w:p>
        </w:tc>
      </w:tr>
      <w:tr>
        <w:tc>
          <w:tcPr>
            <w:tcW w:type="dxa" w:w="1481"/>
          </w:tcPr>
          <w:p>
            <w:r>
              <w:t>PNG Provisional</w:t>
            </w:r>
          </w:p>
        </w:tc>
        <w:tc>
          <w:tcPr>
            <w:tcW w:type="dxa" w:w="1481"/>
          </w:tcPr>
          <w:p>
            <w:r>
              <w:t>3118</w:t>
            </w:r>
          </w:p>
        </w:tc>
        <w:tc>
          <w:tcPr>
            <w:tcW w:type="dxa" w:w="1481"/>
          </w:tcPr>
          <w:p>
            <w:r>
              <w:t>8158</w:t>
            </w:r>
          </w:p>
        </w:tc>
        <w:tc>
          <w:tcPr>
            <w:tcW w:type="dxa" w:w="1481"/>
          </w:tcPr>
          <w:p>
            <w:r>
              <w:t>8158</w:t>
            </w:r>
          </w:p>
        </w:tc>
        <w:tc>
          <w:tcPr>
            <w:tcW w:type="dxa" w:w="1481"/>
          </w:tcPr>
          <w:p>
            <w:r>
              <w:t>+5,040 (+161.6%)</w:t>
            </w:r>
          </w:p>
        </w:tc>
        <w:tc>
          <w:tcPr>
            <w:tcW w:type="dxa" w:w="1481"/>
          </w:tcPr>
          <w:p>
            <w:r>
              <w:t>Mismatch</w:t>
            </w:r>
          </w:p>
        </w:tc>
        <w:tc>
          <w:tcPr>
            <w:tcW w:type="dxa" w:w="1481"/>
          </w:tcPr>
          <w:p>
            <w:r>
              <w:t>Cleaned provisional total from the active analytics snapshot; national/overseas split is not authoritative for this stage.</w:t>
            </w:r>
          </w:p>
        </w:tc>
      </w:tr>
      <w:tr>
        <w:tc>
          <w:tcPr>
            <w:tcW w:type="dxa" w:w="1481"/>
          </w:tcPr>
          <w:p>
            <w:r>
              <w:t>PNG Full License</w:t>
            </w:r>
          </w:p>
        </w:tc>
        <w:tc>
          <w:tcPr>
            <w:tcW w:type="dxa" w:w="1481"/>
          </w:tcPr>
          <w:p>
            <w:r>
              <w:t>3571</w:t>
            </w:r>
          </w:p>
        </w:tc>
        <w:tc>
          <w:tcPr>
            <w:tcW w:type="dxa" w:w="1481"/>
          </w:tcPr>
          <w:p>
            <w:r>
              <w:t>6695</w:t>
            </w:r>
          </w:p>
        </w:tc>
        <w:tc>
          <w:tcPr>
            <w:tcW w:type="dxa" w:w="1481"/>
          </w:tcPr>
          <w:p>
            <w:r>
              <w:t>6695</w:t>
            </w:r>
          </w:p>
        </w:tc>
        <w:tc>
          <w:tcPr>
            <w:tcW w:type="dxa" w:w="1481"/>
          </w:tcPr>
          <w:p>
            <w:r>
              <w:t>+3,124 (+87.5%)</w:t>
            </w:r>
          </w:p>
        </w:tc>
        <w:tc>
          <w:tcPr>
            <w:tcW w:type="dxa" w:w="1481"/>
          </w:tcPr>
          <w:p>
            <w:r>
              <w:t>Mismatch</w:t>
            </w:r>
          </w:p>
        </w:tc>
        <w:tc>
          <w:tcPr>
            <w:tcW w:type="dxa" w:w="1481"/>
          </w:tcPr>
          <w:p>
            <w:r>
              <w:t>Cleaned full-licence total from the active analytics snapshot; national/overseas split is not authoritative for this stage.</w:t>
            </w:r>
          </w:p>
        </w:tc>
      </w:tr>
      <w:tr>
        <w:tc>
          <w:tcPr>
            <w:tcW w:type="dxa" w:w="1481"/>
          </w:tcPr>
          <w:p>
            <w:r>
              <w:t>Overseas Provisional</w:t>
            </w:r>
          </w:p>
        </w:tc>
        <w:tc>
          <w:tcPr>
            <w:tcW w:type="dxa" w:w="1481"/>
          </w:tcPr>
          <w:p>
            <w:r>
              <w:t>217</w:t>
            </w:r>
          </w:p>
        </w:tc>
        <w:tc>
          <w:tcPr>
            <w:tcW w:type="dxa" w:w="1481"/>
          </w:tcPr>
          <w:p>
            <w:r>
              <w:t>Not separated in cleaned snapshot</w:t>
            </w:r>
          </w:p>
        </w:tc>
        <w:tc>
          <w:tcPr>
            <w:tcW w:type="dxa" w:w="1481"/>
          </w:tcPr>
          <w:p>
            <w:r>
              <w:t>Not separated in cleaned snapshot</w:t>
            </w:r>
          </w:p>
        </w:tc>
        <w:tc>
          <w:tcPr>
            <w:tcW w:type="dxa" w:w="1481"/>
          </w:tcPr>
          <w:p>
            <w:r>
              <w:t>Reference comparison only</w:t>
            </w:r>
          </w:p>
        </w:tc>
        <w:tc>
          <w:tcPr>
            <w:tcW w:type="dxa" w:w="1481"/>
          </w:tcPr>
          <w:p>
            <w:r>
              <w:t>Not captured</w:t>
            </w:r>
          </w:p>
        </w:tc>
        <w:tc>
          <w:tcPr>
            <w:tcW w:type="dxa" w:w="1481"/>
          </w:tcPr>
          <w:p>
            <w:r>
              <w:t>The cleaned snapshot keeps the provisional stage total but does not expose a trusted overseas provisional split.</w:t>
            </w:r>
          </w:p>
        </w:tc>
      </w:tr>
      <w:tr>
        <w:tc>
          <w:tcPr>
            <w:tcW w:type="dxa" w:w="1481"/>
          </w:tcPr>
          <w:p>
            <w:r>
              <w:t>Overseas Full License</w:t>
            </w:r>
          </w:p>
        </w:tc>
        <w:tc>
          <w:tcPr>
            <w:tcW w:type="dxa" w:w="1481"/>
          </w:tcPr>
          <w:p>
            <w:r>
              <w:t>109</w:t>
            </w:r>
          </w:p>
        </w:tc>
        <w:tc>
          <w:tcPr>
            <w:tcW w:type="dxa" w:w="1481"/>
          </w:tcPr>
          <w:p>
            <w:r>
              <w:t>Not separated in cleaned snapshot</w:t>
            </w:r>
          </w:p>
        </w:tc>
        <w:tc>
          <w:tcPr>
            <w:tcW w:type="dxa" w:w="1481"/>
          </w:tcPr>
          <w:p>
            <w:r>
              <w:t>Not separated in cleaned snapshot</w:t>
            </w:r>
          </w:p>
        </w:tc>
        <w:tc>
          <w:tcPr>
            <w:tcW w:type="dxa" w:w="1481"/>
          </w:tcPr>
          <w:p>
            <w:r>
              <w:t>Reference comparison only</w:t>
            </w:r>
          </w:p>
        </w:tc>
        <w:tc>
          <w:tcPr>
            <w:tcW w:type="dxa" w:w="1481"/>
          </w:tcPr>
          <w:p>
            <w:r>
              <w:t>Not captured</w:t>
            </w:r>
          </w:p>
        </w:tc>
        <w:tc>
          <w:tcPr>
            <w:tcW w:type="dxa" w:w="1481"/>
          </w:tcPr>
          <w:p>
            <w:r>
              <w:t>The cleaned snapshot keeps the full-licence stage total but does not expose a trusted overseas full-licence split.</w:t>
            </w:r>
          </w:p>
        </w:tc>
      </w:tr>
      <w:tr>
        <w:tc>
          <w:tcPr>
            <w:tcW w:type="dxa" w:w="1481"/>
          </w:tcPr>
          <w:p>
            <w:r>
              <w:t>Overseas Temporary</w:t>
            </w:r>
          </w:p>
        </w:tc>
        <w:tc>
          <w:tcPr>
            <w:tcW w:type="dxa" w:w="1481"/>
          </w:tcPr>
          <w:p>
            <w:r>
              <w:t>426</w:t>
            </w:r>
          </w:p>
        </w:tc>
        <w:tc>
          <w:tcPr>
            <w:tcW w:type="dxa" w:w="1481"/>
          </w:tcPr>
          <w:p>
            <w:r>
              <w:t>Not separated in cleaned snapshot</w:t>
            </w:r>
          </w:p>
        </w:tc>
        <w:tc>
          <w:tcPr>
            <w:tcW w:type="dxa" w:w="1481"/>
          </w:tcPr>
          <w:p>
            <w:r>
              <w:t>Not separated in cleaned snapshot</w:t>
            </w:r>
          </w:p>
        </w:tc>
        <w:tc>
          <w:tcPr>
            <w:tcW w:type="dxa" w:w="1481"/>
          </w:tcPr>
          <w:p>
            <w:r>
              <w:t>Reference comparison only</w:t>
            </w:r>
          </w:p>
        </w:tc>
        <w:tc>
          <w:tcPr>
            <w:tcW w:type="dxa" w:w="1481"/>
          </w:tcPr>
          <w:p>
            <w:r>
              <w:t>Not captured</w:t>
            </w:r>
          </w:p>
        </w:tc>
        <w:tc>
          <w:tcPr>
            <w:tcW w:type="dxa" w:w="1481"/>
          </w:tcPr>
          <w:p>
            <w:r>
              <w:t>Temporary overseas rows are not separated from the cleaned lifecycle snapshot in V1.</w:t>
            </w:r>
          </w:p>
        </w:tc>
      </w:tr>
      <w:tr>
        <w:tc>
          <w:tcPr>
            <w:tcW w:type="dxa" w:w="1481"/>
          </w:tcPr>
          <w:p>
            <w:r>
              <w:t>Authority to Practice</w:t>
            </w:r>
          </w:p>
        </w:tc>
        <w:tc>
          <w:tcPr>
            <w:tcW w:type="dxa" w:w="1481"/>
          </w:tcPr>
          <w:p>
            <w:r>
              <w:t>14987</w:t>
            </w:r>
          </w:p>
        </w:tc>
        <w:tc>
          <w:tcPr>
            <w:tcW w:type="dxa" w:w="1481"/>
          </w:tcPr>
          <w:p>
            <w:r>
              <w:t>19998</w:t>
            </w:r>
          </w:p>
        </w:tc>
        <w:tc>
          <w:tcPr>
            <w:tcW w:type="dxa" w:w="1481"/>
          </w:tcPr>
          <w:p>
            <w:r>
              <w:t>19998</w:t>
            </w:r>
          </w:p>
        </w:tc>
        <w:tc>
          <w:tcPr>
            <w:tcW w:type="dxa" w:w="1481"/>
          </w:tcPr>
          <w:p>
            <w:r>
              <w:t>+5,011 (+33.4%)</w:t>
            </w:r>
          </w:p>
        </w:tc>
        <w:tc>
          <w:tcPr>
            <w:tcW w:type="dxa" w:w="1481"/>
          </w:tcPr>
          <w:p>
            <w:r>
              <w:t>Mismatch</w:t>
            </w:r>
          </w:p>
        </w:tc>
        <w:tc>
          <w:tcPr>
            <w:tcW w:type="dxa" w:w="1481"/>
          </w:tcPr>
          <w:p>
            <w:r>
              <w:t>Clean ATP total from the active analytics snapshot.</w:t>
            </w:r>
          </w:p>
        </w:tc>
      </w:tr>
      <w:tr>
        <w:tc>
          <w:tcPr>
            <w:tcW w:type="dxa" w:w="1481"/>
          </w:tcPr>
          <w:p>
            <w:r>
              <w:t>TOTAL</w:t>
            </w:r>
          </w:p>
        </w:tc>
        <w:tc>
          <w:tcPr>
            <w:tcW w:type="dxa" w:w="1481"/>
          </w:tcPr>
          <w:p>
            <w:r>
              <w:t>22428</w:t>
            </w:r>
          </w:p>
        </w:tc>
        <w:tc>
          <w:tcPr>
            <w:tcW w:type="dxa" w:w="1481"/>
          </w:tcPr>
          <w:p>
            <w:r>
              <w:t>34851</w:t>
            </w:r>
          </w:p>
        </w:tc>
        <w:tc>
          <w:tcPr>
            <w:tcW w:type="dxa" w:w="1481"/>
          </w:tcPr>
          <w:p>
            <w:r>
              <w:t>34851</w:t>
            </w:r>
          </w:p>
        </w:tc>
        <w:tc>
          <w:tcPr>
            <w:tcW w:type="dxa" w:w="1481"/>
          </w:tcPr>
          <w:p>
            <w:r>
              <w:t>+12,423 (+55.4%)</w:t>
            </w:r>
          </w:p>
        </w:tc>
        <w:tc>
          <w:tcPr>
            <w:tcW w:type="dxa" w:w="1481"/>
          </w:tcPr>
          <w:p>
            <w:r>
              <w:t>Mismatch</w:t>
            </w:r>
          </w:p>
        </w:tc>
        <w:tc>
          <w:tcPr>
            <w:tcW w:type="dxa" w:w="1481"/>
          </w:tcPr>
          <w:p>
            <w:r>
              <w:t>Total cleaned lifecycle rows in the active analytics snapshot.</w:t>
            </w:r>
          </w:p>
        </w:tc>
      </w:tr>
    </w:tbl>
    <w:p/>
    <w:p>
      <w:pPr>
        <w:pStyle w:val="Heading2"/>
      </w:pPr>
      <w:r>
        <w:t>Table 6: Employment Type</w:t>
      </w:r>
    </w:p>
    <w:p>
      <w:r>
        <w:t>Reference employment engagement summary from the ministerial submission.</w:t>
      </w:r>
    </w:p>
    <w:p>
      <w:r>
        <w:t>Source note: The source report notes that employment subcategories were not yet fully disaggregated.</w:t>
      </w:r>
    </w:p>
    <w:p>
      <w:r>
        <w:rPr>
          <w:b/>
        </w:rPr>
        <w:t>Live Database Comparison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Employment Type</w:t>
            </w:r>
          </w:p>
        </w:tc>
        <w:tc>
          <w:tcPr>
            <w:tcW w:type="dxa" w:w="2074"/>
          </w:tcPr>
          <w:p>
            <w:r>
              <w:rPr>
                <w:b/>
              </w:rPr>
              <w:t>Report Value</w:t>
            </w:r>
          </w:p>
        </w:tc>
        <w:tc>
          <w:tcPr>
            <w:tcW w:type="dxa" w:w="2074"/>
          </w:tcPr>
          <w:p>
            <w:r>
              <w:rPr>
                <w:b/>
              </w:rPr>
              <w:t>Live Database Value</w:t>
            </w:r>
          </w:p>
        </w:tc>
        <w:tc>
          <w:tcPr>
            <w:tcW w:type="dxa" w:w="2074"/>
          </w:tcPr>
          <w:p>
            <w:r>
              <w:rPr>
                <w:b/>
              </w:rPr>
              <w:t>Variance</w:t>
            </w:r>
          </w:p>
        </w:tc>
        <w:tc>
          <w:tcPr>
            <w:tcW w:type="dxa" w:w="2074"/>
          </w:tcPr>
          <w:p>
            <w:r>
              <w:rPr>
                <w:b/>
              </w:rPr>
              <w:t>Alignment</w:t>
            </w:r>
          </w:p>
        </w:tc>
      </w:tr>
      <w:tr>
        <w:tc>
          <w:tcPr>
            <w:tcW w:type="dxa" w:w="2074"/>
          </w:tcPr>
          <w:p>
            <w:r>
              <w:t>Unemployed Nurse</w:t>
            </w:r>
          </w:p>
        </w:tc>
        <w:tc>
          <w:tcPr>
            <w:tcW w:type="dxa" w:w="2074"/>
          </w:tcPr>
          <w:p>
            <w:r>
              <w:t>189</w:t>
            </w:r>
          </w:p>
        </w:tc>
        <w:tc>
          <w:tcPr>
            <w:tcW w:type="dxa" w:w="2074"/>
          </w:tcPr>
          <w:p>
            <w:r>
              <w:t>0</w:t>
            </w:r>
          </w:p>
        </w:tc>
        <w:tc>
          <w:tcPr>
            <w:tcW w:type="dxa" w:w="2074"/>
          </w:tcPr>
          <w:p>
            <w:r>
              <w:t>-189 (-100.0%)</w:t>
            </w:r>
          </w:p>
        </w:tc>
        <w:tc>
          <w:tcPr>
            <w:tcW w:type="dxa" w:w="2074"/>
          </w:tcPr>
          <w:p>
            <w:r>
              <w:t>Mismatch</w:t>
            </w:r>
          </w:p>
        </w:tc>
      </w:tr>
      <w:tr>
        <w:tc>
          <w:tcPr>
            <w:tcW w:type="dxa" w:w="2074"/>
          </w:tcPr>
          <w:p>
            <w:r>
              <w:t>Studying/Residing Offshore</w:t>
            </w:r>
          </w:p>
        </w:tc>
        <w:tc>
          <w:tcPr>
            <w:tcW w:type="dxa" w:w="2074"/>
          </w:tcPr>
          <w:p>
            <w:r>
              <w:t>10</w:t>
            </w:r>
          </w:p>
        </w:tc>
        <w:tc>
          <w:tcPr>
            <w:tcW w:type="dxa" w:w="2074"/>
          </w:tcPr>
          <w:p>
            <w:r>
              <w:t>0</w:t>
            </w:r>
          </w:p>
        </w:tc>
        <w:tc>
          <w:tcPr>
            <w:tcW w:type="dxa" w:w="2074"/>
          </w:tcPr>
          <w:p>
            <w:r>
              <w:t>-10 (-100.0%)</w:t>
            </w:r>
          </w:p>
        </w:tc>
        <w:tc>
          <w:tcPr>
            <w:tcW w:type="dxa" w:w="2074"/>
          </w:tcPr>
          <w:p>
            <w:r>
              <w:t>Mismatch</w:t>
            </w:r>
          </w:p>
        </w:tc>
      </w:tr>
      <w:tr>
        <w:tc>
          <w:tcPr>
            <w:tcW w:type="dxa" w:w="2074"/>
          </w:tcPr>
          <w:p>
            <w:r>
              <w:t>Total</w:t>
            </w:r>
          </w:p>
        </w:tc>
        <w:tc>
          <w:tcPr>
            <w:tcW w:type="dxa" w:w="2074"/>
          </w:tcPr>
          <w:p>
            <w:r>
              <w:t>199</w:t>
            </w:r>
          </w:p>
        </w:tc>
        <w:tc>
          <w:tcPr>
            <w:tcW w:type="dxa" w:w="2074"/>
          </w:tcPr>
          <w:p>
            <w:r>
              <w:t>0</w:t>
            </w:r>
          </w:p>
        </w:tc>
        <w:tc>
          <w:tcPr>
            <w:tcW w:type="dxa" w:w="2074"/>
          </w:tcPr>
          <w:p>
            <w:r>
              <w:t>-199 (-100.0%)</w:t>
            </w:r>
          </w:p>
        </w:tc>
        <w:tc>
          <w:tcPr>
            <w:tcW w:type="dxa" w:w="2074"/>
          </w:tcPr>
          <w:p>
            <w:r>
              <w:t>Mismatch</w:t>
            </w:r>
          </w:p>
        </w:tc>
      </w:tr>
    </w:tbl>
    <w:p/>
    <w:p>
      <w:pPr>
        <w:pStyle w:val="Heading2"/>
      </w:pPr>
      <w:r>
        <w:t>Table 7: Scheme of General Nurse (2022 to 2023)</w:t>
      </w:r>
    </w:p>
    <w:p>
      <w:r>
        <w:t>Reference scheme of qualification summary from the ministerial submission. The source PDF lists the category labels but only provides the total figure.</w:t>
      </w:r>
    </w:p>
    <w:p>
      <w:r>
        <w:t>Source note: Only the total was stated in the extracted source PDF text.</w:t>
      </w:r>
    </w:p>
    <w:p>
      <w:r>
        <w:rPr>
          <w:b/>
        </w:rPr>
        <w:t>Live Database Comparison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Qualification Scheme</w:t>
            </w:r>
          </w:p>
        </w:tc>
        <w:tc>
          <w:tcPr>
            <w:tcW w:type="dxa" w:w="2074"/>
          </w:tcPr>
          <w:p>
            <w:r>
              <w:rPr>
                <w:b/>
              </w:rPr>
              <w:t>Report Value</w:t>
            </w:r>
          </w:p>
        </w:tc>
        <w:tc>
          <w:tcPr>
            <w:tcW w:type="dxa" w:w="2074"/>
          </w:tcPr>
          <w:p>
            <w:r>
              <w:rPr>
                <w:b/>
              </w:rPr>
              <w:t>Live Database Value</w:t>
            </w:r>
          </w:p>
        </w:tc>
        <w:tc>
          <w:tcPr>
            <w:tcW w:type="dxa" w:w="2074"/>
          </w:tcPr>
          <w:p>
            <w:r>
              <w:rPr>
                <w:b/>
              </w:rPr>
              <w:t>Variance</w:t>
            </w:r>
          </w:p>
        </w:tc>
        <w:tc>
          <w:tcPr>
            <w:tcW w:type="dxa" w:w="2074"/>
          </w:tcPr>
          <w:p>
            <w:r>
              <w:rPr>
                <w:b/>
              </w:rPr>
              <w:t>Alignment</w:t>
            </w:r>
          </w:p>
        </w:tc>
      </w:tr>
      <w:tr>
        <w:tc>
          <w:tcPr>
            <w:tcW w:type="dxa" w:w="2074"/>
          </w:tcPr>
          <w:p>
            <w:r>
              <w:t>General Certificate in Nursing</w:t>
            </w:r>
          </w:p>
        </w:tc>
        <w:tc>
          <w:tcPr>
            <w:tcW w:type="dxa" w:w="2074"/>
          </w:tcPr>
          <w:p>
            <w:r>
              <w:t>Not itemised in source</w:t>
            </w:r>
          </w:p>
        </w:tc>
        <w:tc>
          <w:tcPr>
            <w:tcW w:type="dxa" w:w="2074"/>
          </w:tcPr>
          <w:p>
            <w:r>
              <w:t>0</w:t>
            </w:r>
          </w:p>
        </w:tc>
        <w:tc>
          <w:tcPr>
            <w:tcW w:type="dxa" w:w="2074"/>
          </w:tcPr>
          <w:p>
            <w:r>
              <w:t>Reference only</w:t>
            </w:r>
          </w:p>
        </w:tc>
        <w:tc>
          <w:tcPr>
            <w:tcW w:type="dxa" w:w="2074"/>
          </w:tcPr>
          <w:p>
            <w:r>
              <w:t>Reference only</w:t>
            </w:r>
          </w:p>
        </w:tc>
      </w:tr>
      <w:tr>
        <w:tc>
          <w:tcPr>
            <w:tcW w:type="dxa" w:w="2074"/>
          </w:tcPr>
          <w:p>
            <w:r>
              <w:t>Diploma Certificate in Nursing</w:t>
            </w:r>
          </w:p>
        </w:tc>
        <w:tc>
          <w:tcPr>
            <w:tcW w:type="dxa" w:w="2074"/>
          </w:tcPr>
          <w:p>
            <w:r>
              <w:t>Not itemised in source</w:t>
            </w:r>
          </w:p>
        </w:tc>
        <w:tc>
          <w:tcPr>
            <w:tcW w:type="dxa" w:w="2074"/>
          </w:tcPr>
          <w:p>
            <w:r>
              <w:t>0</w:t>
            </w:r>
          </w:p>
        </w:tc>
        <w:tc>
          <w:tcPr>
            <w:tcW w:type="dxa" w:w="2074"/>
          </w:tcPr>
          <w:p>
            <w:r>
              <w:t>Reference only</w:t>
            </w:r>
          </w:p>
        </w:tc>
        <w:tc>
          <w:tcPr>
            <w:tcW w:type="dxa" w:w="2074"/>
          </w:tcPr>
          <w:p>
            <w:r>
              <w:t>Reference only</w:t>
            </w:r>
          </w:p>
        </w:tc>
      </w:tr>
      <w:tr>
        <w:tc>
          <w:tcPr>
            <w:tcW w:type="dxa" w:w="2074"/>
          </w:tcPr>
          <w:p>
            <w:r>
              <w:t>Bachelor Certificate in Nursing</w:t>
            </w:r>
          </w:p>
        </w:tc>
        <w:tc>
          <w:tcPr>
            <w:tcW w:type="dxa" w:w="2074"/>
          </w:tcPr>
          <w:p>
            <w:r>
              <w:t>Not itemised in source</w:t>
            </w:r>
          </w:p>
        </w:tc>
        <w:tc>
          <w:tcPr>
            <w:tcW w:type="dxa" w:w="2074"/>
          </w:tcPr>
          <w:p>
            <w:r>
              <w:t>0</w:t>
            </w:r>
          </w:p>
        </w:tc>
        <w:tc>
          <w:tcPr>
            <w:tcW w:type="dxa" w:w="2074"/>
          </w:tcPr>
          <w:p>
            <w:r>
              <w:t>Reference only</w:t>
            </w:r>
          </w:p>
        </w:tc>
        <w:tc>
          <w:tcPr>
            <w:tcW w:type="dxa" w:w="2074"/>
          </w:tcPr>
          <w:p>
            <w:r>
              <w:t>Reference only</w:t>
            </w:r>
          </w:p>
        </w:tc>
      </w:tr>
      <w:tr>
        <w:tc>
          <w:tcPr>
            <w:tcW w:type="dxa" w:w="2074"/>
          </w:tcPr>
          <w:p>
            <w:r>
              <w:t>Total</w:t>
            </w:r>
          </w:p>
        </w:tc>
        <w:tc>
          <w:tcPr>
            <w:tcW w:type="dxa" w:w="2074"/>
          </w:tcPr>
          <w:p>
            <w:r>
              <w:t>2959</w:t>
            </w:r>
          </w:p>
        </w:tc>
        <w:tc>
          <w:tcPr>
            <w:tcW w:type="dxa" w:w="2074"/>
          </w:tcPr>
          <w:p>
            <w:r>
              <w:t>0</w:t>
            </w:r>
          </w:p>
        </w:tc>
        <w:tc>
          <w:tcPr>
            <w:tcW w:type="dxa" w:w="2074"/>
          </w:tcPr>
          <w:p>
            <w:r>
              <w:t>-2,959 (-100.0%)</w:t>
            </w:r>
          </w:p>
        </w:tc>
        <w:tc>
          <w:tcPr>
            <w:tcW w:type="dxa" w:w="2074"/>
          </w:tcPr>
          <w:p>
            <w:r>
              <w:t>Mismatch</w:t>
            </w:r>
          </w:p>
        </w:tc>
      </w:tr>
    </w:tbl>
    <w:p/>
    <w:p>
      <w:pPr>
        <w:pStyle w:val="Heading2"/>
      </w:pPr>
      <w:r>
        <w:t>Table 8: Segregation by Specialisation</w:t>
      </w:r>
    </w:p>
    <w:p>
      <w:r>
        <w:t>Reference specialisation summary from the ministerial submission. It distinguishes general nurses, midwives, nurse aides, and specialist categories over three reporting windows.</w:t>
      </w:r>
    </w:p>
    <w:p>
      <w:r>
        <w:t>Source note: The source PDF table contains blank and partially merged cells. The platform preserves the extracted values and compares only the categories that can be mapped safely.</w:t>
      </w:r>
    </w:p>
    <w:p>
      <w:r>
        <w:rPr>
          <w:b/>
        </w:rPr>
        <w:t>Live Database Comparison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Cadre / Specialisation</w:t>
            </w:r>
          </w:p>
        </w:tc>
        <w:tc>
          <w:tcPr>
            <w:tcW w:type="dxa" w:w="2074"/>
          </w:tcPr>
          <w:p>
            <w:r>
              <w:rPr>
                <w:b/>
              </w:rPr>
              <w:t>Latest Report Value</w:t>
            </w:r>
          </w:p>
        </w:tc>
        <w:tc>
          <w:tcPr>
            <w:tcW w:type="dxa" w:w="2074"/>
          </w:tcPr>
          <w:p>
            <w:r>
              <w:rPr>
                <w:b/>
              </w:rPr>
              <w:t>Live Database Value</w:t>
            </w:r>
          </w:p>
        </w:tc>
        <w:tc>
          <w:tcPr>
            <w:tcW w:type="dxa" w:w="2074"/>
          </w:tcPr>
          <w:p>
            <w:r>
              <w:rPr>
                <w:b/>
              </w:rPr>
              <w:t>Variance</w:t>
            </w:r>
          </w:p>
        </w:tc>
        <w:tc>
          <w:tcPr>
            <w:tcW w:type="dxa" w:w="2074"/>
          </w:tcPr>
          <w:p>
            <w:r>
              <w:rPr>
                <w:b/>
              </w:rPr>
              <w:t>Alignment</w:t>
            </w:r>
          </w:p>
        </w:tc>
      </w:tr>
      <w:tr>
        <w:tc>
          <w:tcPr>
            <w:tcW w:type="dxa" w:w="2074"/>
          </w:tcPr>
          <w:p>
            <w:r>
              <w:t>General Nurses</w:t>
            </w:r>
          </w:p>
        </w:tc>
        <w:tc>
          <w:tcPr>
            <w:tcW w:type="dxa" w:w="2074"/>
          </w:tcPr>
          <w:p>
            <w:r>
              <w:t>3504</w:t>
            </w:r>
          </w:p>
        </w:tc>
        <w:tc>
          <w:tcPr>
            <w:tcW w:type="dxa" w:w="2074"/>
          </w:tcPr>
          <w:p>
            <w:r>
              <w:t>14604</w:t>
            </w:r>
          </w:p>
        </w:tc>
        <w:tc>
          <w:tcPr>
            <w:tcW w:type="dxa" w:w="2074"/>
          </w:tcPr>
          <w:p>
            <w:r>
              <w:t>+11,100 (+316.8%)</w:t>
            </w:r>
          </w:p>
        </w:tc>
        <w:tc>
          <w:tcPr>
            <w:tcW w:type="dxa" w:w="2074"/>
          </w:tcPr>
          <w:p>
            <w:r>
              <w:t>Mismatch</w:t>
            </w:r>
          </w:p>
        </w:tc>
      </w:tr>
      <w:tr>
        <w:tc>
          <w:tcPr>
            <w:tcW w:type="dxa" w:w="2074"/>
          </w:tcPr>
          <w:p>
            <w:r>
              <w:t>Enrolled Nurse</w:t>
            </w:r>
          </w:p>
        </w:tc>
        <w:tc>
          <w:tcPr>
            <w:tcW w:type="dxa" w:w="2074"/>
          </w:tcPr>
          <w:p>
            <w:r>
              <w:t>11</w:t>
            </w:r>
          </w:p>
        </w:tc>
        <w:tc>
          <w:tcPr>
            <w:tcW w:type="dxa" w:w="2074"/>
          </w:tcPr>
          <w:p>
            <w:r>
              <w:t>50</w:t>
            </w:r>
          </w:p>
        </w:tc>
        <w:tc>
          <w:tcPr>
            <w:tcW w:type="dxa" w:w="2074"/>
          </w:tcPr>
          <w:p>
            <w:r>
              <w:t>+39 (+354.5%)</w:t>
            </w:r>
          </w:p>
        </w:tc>
        <w:tc>
          <w:tcPr>
            <w:tcW w:type="dxa" w:w="2074"/>
          </w:tcPr>
          <w:p>
            <w:r>
              <w:t>Mismatch</w:t>
            </w:r>
          </w:p>
        </w:tc>
      </w:tr>
      <w:tr>
        <w:tc>
          <w:tcPr>
            <w:tcW w:type="dxa" w:w="2074"/>
          </w:tcPr>
          <w:p>
            <w:r>
              <w:t>Nurse Aides</w:t>
            </w:r>
          </w:p>
        </w:tc>
        <w:tc>
          <w:tcPr>
            <w:tcW w:type="dxa" w:w="2074"/>
          </w:tcPr>
          <w:p>
            <w:r>
              <w:t>588</w:t>
            </w:r>
          </w:p>
        </w:tc>
        <w:tc>
          <w:tcPr>
            <w:tcW w:type="dxa" w:w="2074"/>
          </w:tcPr>
          <w:p>
            <w:r>
              <w:t>2056</w:t>
            </w:r>
          </w:p>
        </w:tc>
        <w:tc>
          <w:tcPr>
            <w:tcW w:type="dxa" w:w="2074"/>
          </w:tcPr>
          <w:p>
            <w:r>
              <w:t>+1,468 (+249.7%)</w:t>
            </w:r>
          </w:p>
        </w:tc>
        <w:tc>
          <w:tcPr>
            <w:tcW w:type="dxa" w:w="2074"/>
          </w:tcPr>
          <w:p>
            <w:r>
              <w:t>Mismatch</w:t>
            </w:r>
          </w:p>
        </w:tc>
      </w:tr>
      <w:tr>
        <w:tc>
          <w:tcPr>
            <w:tcW w:type="dxa" w:w="2074"/>
          </w:tcPr>
          <w:p>
            <w:r>
              <w:t>Midwives</w:t>
            </w:r>
          </w:p>
        </w:tc>
        <w:tc>
          <w:tcPr>
            <w:tcW w:type="dxa" w:w="2074"/>
          </w:tcPr>
          <w:p>
            <w:r>
              <w:t>926</w:t>
            </w:r>
          </w:p>
        </w:tc>
        <w:tc>
          <w:tcPr>
            <w:tcW w:type="dxa" w:w="2074"/>
          </w:tcPr>
          <w:p>
            <w:r>
              <w:t>2176</w:t>
            </w:r>
          </w:p>
        </w:tc>
        <w:tc>
          <w:tcPr>
            <w:tcW w:type="dxa" w:w="2074"/>
          </w:tcPr>
          <w:p>
            <w:r>
              <w:t>+1,250 (+135.0%)</w:t>
            </w:r>
          </w:p>
        </w:tc>
        <w:tc>
          <w:tcPr>
            <w:tcW w:type="dxa" w:w="2074"/>
          </w:tcPr>
          <w:p>
            <w:r>
              <w:t>Mismatch</w:t>
            </w:r>
          </w:p>
        </w:tc>
      </w:tr>
      <w:tr>
        <w:tc>
          <w:tcPr>
            <w:tcW w:type="dxa" w:w="2074"/>
          </w:tcPr>
          <w:p>
            <w:r>
              <w:t>Maternal &amp; Child Health Nurse</w:t>
            </w:r>
          </w:p>
        </w:tc>
        <w:tc>
          <w:tcPr>
            <w:tcW w:type="dxa" w:w="2074"/>
          </w:tcPr>
          <w:p>
            <w:r>
              <w:t>61</w:t>
            </w:r>
          </w:p>
        </w:tc>
        <w:tc>
          <w:tcPr>
            <w:tcW w:type="dxa" w:w="2074"/>
          </w:tcPr>
          <w:p>
            <w:r>
              <w:t>7</w:t>
            </w:r>
          </w:p>
        </w:tc>
        <w:tc>
          <w:tcPr>
            <w:tcW w:type="dxa" w:w="2074"/>
          </w:tcPr>
          <w:p>
            <w:r>
              <w:t>-54 (-88.5%)</w:t>
            </w:r>
          </w:p>
        </w:tc>
        <w:tc>
          <w:tcPr>
            <w:tcW w:type="dxa" w:w="2074"/>
          </w:tcPr>
          <w:p>
            <w:r>
              <w:t>Mismatch</w:t>
            </w:r>
          </w:p>
        </w:tc>
      </w:tr>
      <w:tr>
        <w:tc>
          <w:tcPr>
            <w:tcW w:type="dxa" w:w="2074"/>
          </w:tcPr>
          <w:p>
            <w:r>
              <w:t>Paediatric / Child Health Nurse</w:t>
            </w:r>
          </w:p>
        </w:tc>
        <w:tc>
          <w:tcPr>
            <w:tcW w:type="dxa" w:w="2074"/>
          </w:tcPr>
          <w:p>
            <w:r>
              <w:t>216</w:t>
            </w:r>
          </w:p>
        </w:tc>
        <w:tc>
          <w:tcPr>
            <w:tcW w:type="dxa" w:w="2074"/>
          </w:tcPr>
          <w:p>
            <w:r>
              <w:t>506</w:t>
            </w:r>
          </w:p>
        </w:tc>
        <w:tc>
          <w:tcPr>
            <w:tcW w:type="dxa" w:w="2074"/>
          </w:tcPr>
          <w:p>
            <w:r>
              <w:t>+290 (+134.3%)</w:t>
            </w:r>
          </w:p>
        </w:tc>
        <w:tc>
          <w:tcPr>
            <w:tcW w:type="dxa" w:w="2074"/>
          </w:tcPr>
          <w:p>
            <w:r>
              <w:t>Mismatch</w:t>
            </w:r>
          </w:p>
        </w:tc>
      </w:tr>
      <w:tr>
        <w:tc>
          <w:tcPr>
            <w:tcW w:type="dxa" w:w="2074"/>
          </w:tcPr>
          <w:p>
            <w:r>
              <w:t>Acute Care Nurses</w:t>
            </w:r>
          </w:p>
        </w:tc>
        <w:tc>
          <w:tcPr>
            <w:tcW w:type="dxa" w:w="2074"/>
          </w:tcPr>
          <w:p>
            <w:r>
              <w:t>368</w:t>
            </w:r>
          </w:p>
        </w:tc>
        <w:tc>
          <w:tcPr>
            <w:tcW w:type="dxa" w:w="2074"/>
          </w:tcPr>
          <w:p>
            <w:r>
              <w:t>0</w:t>
            </w:r>
          </w:p>
        </w:tc>
        <w:tc>
          <w:tcPr>
            <w:tcW w:type="dxa" w:w="2074"/>
          </w:tcPr>
          <w:p>
            <w:r>
              <w:t>-368 (-100.0%)</w:t>
            </w:r>
          </w:p>
        </w:tc>
        <w:tc>
          <w:tcPr>
            <w:tcW w:type="dxa" w:w="2074"/>
          </w:tcPr>
          <w:p>
            <w:r>
              <w:t>Mismatch</w:t>
            </w:r>
          </w:p>
        </w:tc>
      </w:tr>
      <w:tr>
        <w:tc>
          <w:tcPr>
            <w:tcW w:type="dxa" w:w="2074"/>
          </w:tcPr>
          <w:p>
            <w:r>
              <w:t>Mental Health Nurses</w:t>
            </w:r>
          </w:p>
        </w:tc>
        <w:tc>
          <w:tcPr>
            <w:tcW w:type="dxa" w:w="2074"/>
          </w:tcPr>
          <w:p>
            <w:r>
              <w:t>81</w:t>
            </w:r>
          </w:p>
        </w:tc>
        <w:tc>
          <w:tcPr>
            <w:tcW w:type="dxa" w:w="2074"/>
          </w:tcPr>
          <w:p>
            <w:r>
              <w:t>140</w:t>
            </w:r>
          </w:p>
        </w:tc>
        <w:tc>
          <w:tcPr>
            <w:tcW w:type="dxa" w:w="2074"/>
          </w:tcPr>
          <w:p>
            <w:r>
              <w:t>+59 (+72.8%)</w:t>
            </w:r>
          </w:p>
        </w:tc>
        <w:tc>
          <w:tcPr>
            <w:tcW w:type="dxa" w:w="2074"/>
          </w:tcPr>
          <w:p>
            <w:r>
              <w:t>Mismatch</w:t>
            </w:r>
          </w:p>
        </w:tc>
      </w:tr>
      <w:tr>
        <w:tc>
          <w:tcPr>
            <w:tcW w:type="dxa" w:w="2074"/>
          </w:tcPr>
          <w:p>
            <w:r>
              <w:t>Eye Care Nursing</w:t>
            </w:r>
          </w:p>
        </w:tc>
        <w:tc>
          <w:tcPr>
            <w:tcW w:type="dxa" w:w="2074"/>
          </w:tcPr>
          <w:p>
            <w:r>
              <w:t>37</w:t>
            </w:r>
          </w:p>
        </w:tc>
        <w:tc>
          <w:tcPr>
            <w:tcW w:type="dxa" w:w="2074"/>
          </w:tcPr>
          <w:p>
            <w:r>
              <w:t>0</w:t>
            </w:r>
          </w:p>
        </w:tc>
        <w:tc>
          <w:tcPr>
            <w:tcW w:type="dxa" w:w="2074"/>
          </w:tcPr>
          <w:p>
            <w:r>
              <w:t>-37 (-100.0%)</w:t>
            </w:r>
          </w:p>
        </w:tc>
        <w:tc>
          <w:tcPr>
            <w:tcW w:type="dxa" w:w="2074"/>
          </w:tcPr>
          <w:p>
            <w:r>
              <w:t>Mismatch</w:t>
            </w:r>
          </w:p>
        </w:tc>
      </w:tr>
      <w:tr>
        <w:tc>
          <w:tcPr>
            <w:tcW w:type="dxa" w:w="2074"/>
          </w:tcPr>
          <w:p>
            <w:r>
              <w:t>Nursing Management &amp; Leadership</w:t>
            </w:r>
          </w:p>
        </w:tc>
        <w:tc>
          <w:tcPr>
            <w:tcW w:type="dxa" w:w="2074"/>
          </w:tcPr>
          <w:p>
            <w:r>
              <w:t>Source cell blank / not captured</w:t>
            </w:r>
          </w:p>
        </w:tc>
        <w:tc>
          <w:tcPr>
            <w:tcW w:type="dxa" w:w="2074"/>
          </w:tcPr>
          <w:p>
            <w:r>
              <w:t>0</w:t>
            </w:r>
          </w:p>
        </w:tc>
        <w:tc>
          <w:tcPr>
            <w:tcW w:type="dxa" w:w="2074"/>
          </w:tcPr>
          <w:p>
            <w:r>
              <w:t>Reference comparison only</w:t>
            </w:r>
          </w:p>
        </w:tc>
        <w:tc>
          <w:tcPr>
            <w:tcW w:type="dxa" w:w="2074"/>
          </w:tcPr>
          <w:p>
            <w:r>
              <w:t>Reference only</w:t>
            </w:r>
          </w:p>
        </w:tc>
      </w:tr>
      <w:tr>
        <w:tc>
          <w:tcPr>
            <w:tcW w:type="dxa" w:w="2074"/>
          </w:tcPr>
          <w:p>
            <w:r>
              <w:t>Community Health Nurses</w:t>
            </w:r>
          </w:p>
        </w:tc>
        <w:tc>
          <w:tcPr>
            <w:tcW w:type="dxa" w:w="2074"/>
          </w:tcPr>
          <w:p>
            <w:r>
              <w:t>Source cell blank / not captured</w:t>
            </w:r>
          </w:p>
        </w:tc>
        <w:tc>
          <w:tcPr>
            <w:tcW w:type="dxa" w:w="2074"/>
          </w:tcPr>
          <w:p>
            <w:r>
              <w:t>158</w:t>
            </w:r>
          </w:p>
        </w:tc>
        <w:tc>
          <w:tcPr>
            <w:tcW w:type="dxa" w:w="2074"/>
          </w:tcPr>
          <w:p>
            <w:r>
              <w:t>Reference comparison only</w:t>
            </w:r>
          </w:p>
        </w:tc>
        <w:tc>
          <w:tcPr>
            <w:tcW w:type="dxa" w:w="2074"/>
          </w:tcPr>
          <w:p>
            <w:r>
              <w:t>Reference only</w:t>
            </w:r>
          </w:p>
        </w:tc>
      </w:tr>
      <w:tr>
        <w:tc>
          <w:tcPr>
            <w:tcW w:type="dxa" w:w="2074"/>
          </w:tcPr>
          <w:p>
            <w:r>
              <w:t>Unidentified Specialty Nurse</w:t>
            </w:r>
          </w:p>
        </w:tc>
        <w:tc>
          <w:tcPr>
            <w:tcW w:type="dxa" w:w="2074"/>
          </w:tcPr>
          <w:p>
            <w:r>
              <w:t>6</w:t>
            </w:r>
          </w:p>
        </w:tc>
        <w:tc>
          <w:tcPr>
            <w:tcW w:type="dxa" w:w="2074"/>
          </w:tcPr>
          <w:p>
            <w:r>
              <w:t>301</w:t>
            </w:r>
          </w:p>
        </w:tc>
        <w:tc>
          <w:tcPr>
            <w:tcW w:type="dxa" w:w="2074"/>
          </w:tcPr>
          <w:p>
            <w:r>
              <w:t>+295 (+4916.7%)</w:t>
            </w:r>
          </w:p>
        </w:tc>
        <w:tc>
          <w:tcPr>
            <w:tcW w:type="dxa" w:w="2074"/>
          </w:tcPr>
          <w:p>
            <w:r>
              <w:t>Mismatch</w:t>
            </w:r>
          </w:p>
        </w:tc>
      </w:tr>
      <w:tr>
        <w:tc>
          <w:tcPr>
            <w:tcW w:type="dxa" w:w="2074"/>
          </w:tcPr>
          <w:p>
            <w:r>
              <w:t>Comparable total</w:t>
            </w:r>
          </w:p>
        </w:tc>
        <w:tc>
          <w:tcPr>
            <w:tcW w:type="dxa" w:w="2074"/>
          </w:tcPr>
          <w:p>
            <w:r>
              <w:t>5798</w:t>
            </w:r>
          </w:p>
        </w:tc>
        <w:tc>
          <w:tcPr>
            <w:tcW w:type="dxa" w:w="2074"/>
          </w:tcPr>
          <w:p>
            <w:r>
              <w:t>19840</w:t>
            </w:r>
          </w:p>
        </w:tc>
        <w:tc>
          <w:tcPr>
            <w:tcW w:type="dxa" w:w="2074"/>
          </w:tcPr>
          <w:p>
            <w:r>
              <w:t>+14,042 (+242.2%)</w:t>
            </w:r>
          </w:p>
        </w:tc>
        <w:tc>
          <w:tcPr>
            <w:tcW w:type="dxa" w:w="2074"/>
          </w:tcPr>
          <w:p>
            <w:r>
              <w:t>Mismatch</w:t>
            </w:r>
          </w:p>
        </w:tc>
      </w:tr>
    </w:tbl>
    <w:p/>
    <w:p>
      <w:pPr>
        <w:pStyle w:val="Heading1"/>
      </w:pPr>
      <w:r>
        <w:t>7. Situational Analysis Alignment</w:t>
      </w:r>
    </w:p>
    <w:p>
      <w:r>
        <w:t>The situational analysis was aligned against the platform in three ways: gap analysis, risk alignment, and roadmap readiness.</w:t>
      </w:r>
    </w:p>
    <w:p>
      <w:r>
        <w:rPr>
          <w:b/>
        </w:rPr>
        <w:t>Gap Analysis Alignment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Area</w:t>
            </w:r>
          </w:p>
        </w:tc>
        <w:tc>
          <w:tcPr>
            <w:tcW w:type="dxa" w:w="2074"/>
          </w:tcPr>
          <w:p>
            <w:r>
              <w:rPr>
                <w:b/>
              </w:rPr>
              <w:t>Source Current State</w:t>
            </w:r>
          </w:p>
        </w:tc>
        <w:tc>
          <w:tcPr>
            <w:tcW w:type="dxa" w:w="2074"/>
          </w:tcPr>
          <w:p>
            <w:r>
              <w:rPr>
                <w:b/>
              </w:rPr>
              <w:t>Required State</w:t>
            </w:r>
          </w:p>
        </w:tc>
        <w:tc>
          <w:tcPr>
            <w:tcW w:type="dxa" w:w="2074"/>
          </w:tcPr>
          <w:p>
            <w:r>
              <w:rPr>
                <w:b/>
              </w:rPr>
              <w:t>Platform Status</w:t>
            </w:r>
          </w:p>
        </w:tc>
        <w:tc>
          <w:tcPr>
            <w:tcW w:type="dxa" w:w="2074"/>
          </w:tcPr>
          <w:p>
            <w:r>
              <w:rPr>
                <w:b/>
              </w:rPr>
              <w:t>Alignment Note</w:t>
            </w:r>
          </w:p>
        </w:tc>
      </w:tr>
      <w:tr>
        <w:tc>
          <w:tcPr>
            <w:tcW w:type="dxa" w:w="2074"/>
          </w:tcPr>
          <w:p>
            <w:r>
              <w:t>Legal Framework</w:t>
            </w:r>
          </w:p>
        </w:tc>
        <w:tc>
          <w:tcPr>
            <w:tcW w:type="dxa" w:w="2074"/>
          </w:tcPr>
          <w:p>
            <w:r>
              <w:t>Medical Act / Medical Registration framework</w:t>
            </w:r>
          </w:p>
        </w:tc>
        <w:tc>
          <w:tcPr>
            <w:tcW w:type="dxa" w:w="2074"/>
          </w:tcPr>
          <w:p>
            <w:r>
              <w:t>PNG Nursing Act</w:t>
            </w:r>
          </w:p>
        </w:tc>
        <w:tc>
          <w:tcPr>
            <w:tcW w:type="dxa" w:w="2074"/>
          </w:tcPr>
          <w:p>
            <w:r>
              <w:t>External / policy-led</w:t>
            </w:r>
          </w:p>
        </w:tc>
        <w:tc>
          <w:tcPr>
            <w:tcW w:type="dxa" w:w="2074"/>
          </w:tcPr>
          <w:p>
            <w:r>
              <w:t>A software platform cannot replace the need for a dedicated Act.</w:t>
            </w:r>
          </w:p>
        </w:tc>
      </w:tr>
      <w:tr>
        <w:tc>
          <w:tcPr>
            <w:tcW w:type="dxa" w:w="2074"/>
          </w:tcPr>
          <w:p>
            <w:r>
              <w:t>Policies</w:t>
            </w:r>
          </w:p>
        </w:tc>
        <w:tc>
          <w:tcPr>
            <w:tcW w:type="dxa" w:w="2074"/>
          </w:tcPr>
          <w:p>
            <w:r>
              <w:t>Limited</w:t>
            </w:r>
          </w:p>
        </w:tc>
        <w:tc>
          <w:tcPr>
            <w:tcW w:type="dxa" w:w="2074"/>
          </w:tcPr>
          <w:p>
            <w:r>
              <w:t>Full regulatory policies</w:t>
            </w:r>
          </w:p>
        </w:tc>
        <w:tc>
          <w:tcPr>
            <w:tcW w:type="dxa" w:w="2074"/>
          </w:tcPr>
          <w:p>
            <w:r>
              <w:t>Platform-ready / content pending</w:t>
            </w:r>
          </w:p>
        </w:tc>
        <w:tc>
          <w:tcPr>
            <w:tcW w:type="dxa" w:w="2074"/>
          </w:tcPr>
          <w:p>
            <w:r>
              <w:t>The repository now supports controlled policy storage, versioning, access rules, approval or rejection sign-off, and audit history. Policy drafting and formal adoption remain governance actions.</w:t>
            </w:r>
          </w:p>
        </w:tc>
      </w:tr>
      <w:tr>
        <w:tc>
          <w:tcPr>
            <w:tcW w:type="dxa" w:w="2074"/>
          </w:tcPr>
          <w:p>
            <w:r>
              <w:t>SOPs</w:t>
            </w:r>
          </w:p>
        </w:tc>
        <w:tc>
          <w:tcPr>
            <w:tcW w:type="dxa" w:w="2074"/>
          </w:tcPr>
          <w:p>
            <w:r>
              <w:t>Inconsistent</w:t>
            </w:r>
          </w:p>
        </w:tc>
        <w:tc>
          <w:tcPr>
            <w:tcW w:type="dxa" w:w="2074"/>
          </w:tcPr>
          <w:p>
            <w:r>
              <w:t>Standard SOPs</w:t>
            </w:r>
          </w:p>
        </w:tc>
        <w:tc>
          <w:tcPr>
            <w:tcW w:type="dxa" w:w="2074"/>
          </w:tcPr>
          <w:p>
            <w:r>
              <w:t>Platform-ready / content pending</w:t>
            </w:r>
          </w:p>
        </w:tc>
        <w:tc>
          <w:tcPr>
            <w:tcW w:type="dxa" w:w="2074"/>
          </w:tcPr>
          <w:p>
            <w:r>
              <w:t>SOPs can now be stored as controlled records, versioned, approved, linked to cases or decisions, and audited. Staff still need approved SOP content and training.</w:t>
            </w:r>
          </w:p>
        </w:tc>
      </w:tr>
      <w:tr>
        <w:tc>
          <w:tcPr>
            <w:tcW w:type="dxa" w:w="2074"/>
          </w:tcPr>
          <w:p>
            <w:r>
              <w:t>Complaints</w:t>
            </w:r>
          </w:p>
        </w:tc>
        <w:tc>
          <w:tcPr>
            <w:tcW w:type="dxa" w:w="2074"/>
          </w:tcPr>
          <w:p>
            <w:r>
              <w:t>Ad-hoc</w:t>
            </w:r>
          </w:p>
        </w:tc>
        <w:tc>
          <w:tcPr>
            <w:tcW w:type="dxa" w:w="2074"/>
          </w:tcPr>
          <w:p>
            <w:r>
              <w:t>Formal ICMS</w:t>
            </w:r>
          </w:p>
        </w:tc>
        <w:tc>
          <w:tcPr>
            <w:tcW w:type="dxa" w:w="2074"/>
          </w:tcPr>
          <w:p>
            <w:r>
              <w:t>Implemented / needs SOP adoption</w:t>
            </w:r>
          </w:p>
        </w:tc>
        <w:tc>
          <w:tcPr>
            <w:tcW w:type="dxa" w:w="2074"/>
          </w:tcPr>
          <w:p>
            <w:r>
              <w:t>A formal ICMS case module now tracks public submissions, escalated enquiries, case assignment, status history, evidence, and closure summaries.</w:t>
            </w:r>
          </w:p>
        </w:tc>
      </w:tr>
      <w:tr>
        <w:tc>
          <w:tcPr>
            <w:tcW w:type="dxa" w:w="2074"/>
          </w:tcPr>
          <w:p>
            <w:r>
              <w:t>Discipline</w:t>
            </w:r>
          </w:p>
        </w:tc>
        <w:tc>
          <w:tcPr>
            <w:tcW w:type="dxa" w:w="2074"/>
          </w:tcPr>
          <w:p>
            <w:r>
              <w:t>Variable</w:t>
            </w:r>
          </w:p>
        </w:tc>
        <w:tc>
          <w:tcPr>
            <w:tcW w:type="dxa" w:w="2074"/>
          </w:tcPr>
          <w:p>
            <w:r>
              <w:t>Standard pathway</w:t>
            </w:r>
          </w:p>
        </w:tc>
        <w:tc>
          <w:tcPr>
            <w:tcW w:type="dxa" w:w="2074"/>
          </w:tcPr>
          <w:p>
            <w:r>
              <w:t>Implemented / needs SOP adoption</w:t>
            </w:r>
          </w:p>
        </w:tc>
        <w:tc>
          <w:tcPr>
            <w:tcW w:type="dxa" w:w="2074"/>
          </w:tcPr>
          <w:p>
            <w:r>
              <w:t>A dedicated disciplinary workflow now supports preliminary assessment, investigation, committee review, notice, hearing, decision, appeal monitoring, sanctions, and closure.</w:t>
            </w:r>
          </w:p>
        </w:tc>
      </w:tr>
      <w:tr>
        <w:tc>
          <w:tcPr>
            <w:tcW w:type="dxa" w:w="2074"/>
          </w:tcPr>
          <w:p>
            <w:r>
              <w:t>Documentation</w:t>
            </w:r>
          </w:p>
        </w:tc>
        <w:tc>
          <w:tcPr>
            <w:tcW w:type="dxa" w:w="2074"/>
          </w:tcPr>
          <w:p>
            <w:r>
              <w:t>Weak control</w:t>
            </w:r>
          </w:p>
        </w:tc>
        <w:tc>
          <w:tcPr>
            <w:tcW w:type="dxa" w:w="2074"/>
          </w:tcPr>
          <w:p>
            <w:r>
              <w:t>Versioned and approved</w:t>
            </w:r>
          </w:p>
        </w:tc>
        <w:tc>
          <w:tcPr>
            <w:tcW w:type="dxa" w:w="2074"/>
          </w:tcPr>
          <w:p>
            <w:r>
              <w:t>Operational</w:t>
            </w:r>
          </w:p>
        </w:tc>
        <w:tc>
          <w:tcPr>
            <w:tcW w:type="dxa" w:w="2074"/>
          </w:tcPr>
          <w:p>
            <w:r>
              <w:t>The repository supports versioning, access policy, approval or rejection sign-off, current-version tracking, and audit events.</w:t>
            </w:r>
          </w:p>
        </w:tc>
      </w:tr>
      <w:tr>
        <w:tc>
          <w:tcPr>
            <w:tcW w:type="dxa" w:w="2074"/>
          </w:tcPr>
          <w:p>
            <w:r>
              <w:t>Records</w:t>
            </w:r>
          </w:p>
        </w:tc>
        <w:tc>
          <w:tcPr>
            <w:tcW w:type="dxa" w:w="2074"/>
          </w:tcPr>
          <w:p>
            <w:r>
              <w:t>Manual</w:t>
            </w:r>
          </w:p>
        </w:tc>
        <w:tc>
          <w:tcPr>
            <w:tcW w:type="dxa" w:w="2074"/>
          </w:tcPr>
          <w:p>
            <w:r>
              <w:t>Digital systems</w:t>
            </w:r>
          </w:p>
        </w:tc>
        <w:tc>
          <w:tcPr>
            <w:tcW w:type="dxa" w:w="2074"/>
          </w:tcPr>
          <w:p>
            <w:r>
              <w:t>Operational / improving</w:t>
            </w:r>
          </w:p>
        </w:tc>
        <w:tc>
          <w:tcPr>
            <w:tcW w:type="dxa" w:w="2074"/>
          </w:tcPr>
          <w:p>
            <w:r>
              <w:t>The registry, OCR imports, mobile intake, analytics snapshots, role dashboards, repository search, and server-side drilldowns digitise core records while preserving legal source boundaries.</w:t>
            </w:r>
          </w:p>
        </w:tc>
      </w:tr>
      <w:tr>
        <w:tc>
          <w:tcPr>
            <w:tcW w:type="dxa" w:w="2074"/>
          </w:tcPr>
          <w:p>
            <w:r>
              <w:t>Audit Trail</w:t>
            </w:r>
          </w:p>
        </w:tc>
        <w:tc>
          <w:tcPr>
            <w:tcW w:type="dxa" w:w="2074"/>
          </w:tcPr>
          <w:p>
            <w:r>
              <w:t>Weak</w:t>
            </w:r>
          </w:p>
        </w:tc>
        <w:tc>
          <w:tcPr>
            <w:tcW w:type="dxa" w:w="2074"/>
          </w:tcPr>
          <w:p>
            <w:r>
              <w:t>Strong tracking</w:t>
            </w:r>
          </w:p>
        </w:tc>
        <w:tc>
          <w:tcPr>
            <w:tcW w:type="dxa" w:w="2074"/>
          </w:tcPr>
          <w:p>
            <w:r>
              <w:t>Improving</w:t>
            </w:r>
          </w:p>
        </w:tc>
        <w:tc>
          <w:tcPr>
            <w:tcW w:type="dxa" w:w="2074"/>
          </w:tcPr>
          <w:p>
            <w:r>
              <w:t>Document approvals, ICMS events, discipline events, formal decision records, import batches, receipt links, and security audit events now cover the major regulatory workflows.</w:t>
            </w:r>
          </w:p>
        </w:tc>
      </w:tr>
      <w:tr>
        <w:tc>
          <w:tcPr>
            <w:tcW w:type="dxa" w:w="2074"/>
          </w:tcPr>
          <w:p>
            <w:r>
              <w:t>Governance</w:t>
            </w:r>
          </w:p>
        </w:tc>
        <w:tc>
          <w:tcPr>
            <w:tcW w:type="dxa" w:w="2074"/>
          </w:tcPr>
          <w:p>
            <w:r>
              <w:t>Partial</w:t>
            </w:r>
          </w:p>
        </w:tc>
        <w:tc>
          <w:tcPr>
            <w:tcW w:type="dxa" w:w="2074"/>
          </w:tcPr>
          <w:p>
            <w:r>
              <w:t>Strengthened frameworks</w:t>
            </w:r>
          </w:p>
        </w:tc>
        <w:tc>
          <w:tcPr>
            <w:tcW w:type="dxa" w:w="2074"/>
          </w:tcPr>
          <w:p>
            <w:r>
              <w:t>Platform-supported / governance-led</w:t>
            </w:r>
          </w:p>
        </w:tc>
        <w:tc>
          <w:tcPr>
            <w:tcW w:type="dxa" w:w="2074"/>
          </w:tcPr>
          <w:p>
            <w:r>
              <w:t>The platform provides registers, approvals, role controls, forums, reports, and audit trails; Board governance and ethics decisions still require formal institutional action.</w:t>
            </w:r>
          </w:p>
        </w:tc>
      </w:tr>
    </w:tbl>
    <w:p/>
    <w:p>
      <w:r>
        <w:rPr>
          <w:b/>
        </w:rPr>
        <w:t>Risk Alignment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Key Risk</w:t>
            </w:r>
          </w:p>
        </w:tc>
        <w:tc>
          <w:tcPr>
            <w:tcW w:type="dxa" w:w="2074"/>
          </w:tcPr>
          <w:p>
            <w:r>
              <w:rPr>
                <w:b/>
              </w:rPr>
              <w:t>Impact</w:t>
            </w:r>
          </w:p>
        </w:tc>
        <w:tc>
          <w:tcPr>
            <w:tcW w:type="dxa" w:w="2074"/>
          </w:tcPr>
          <w:p>
            <w:r>
              <w:rPr>
                <w:b/>
              </w:rPr>
              <w:t>Likelihood</w:t>
            </w:r>
          </w:p>
        </w:tc>
        <w:tc>
          <w:tcPr>
            <w:tcW w:type="dxa" w:w="2074"/>
          </w:tcPr>
          <w:p>
            <w:r>
              <w:rPr>
                <w:b/>
              </w:rPr>
              <w:t>Platform Status</w:t>
            </w:r>
          </w:p>
        </w:tc>
        <w:tc>
          <w:tcPr>
            <w:tcW w:type="dxa" w:w="2074"/>
          </w:tcPr>
          <w:p>
            <w:r>
              <w:rPr>
                <w:b/>
              </w:rPr>
              <w:t>Alignment Note</w:t>
            </w:r>
          </w:p>
        </w:tc>
      </w:tr>
      <w:tr>
        <w:tc>
          <w:tcPr>
            <w:tcW w:type="dxa" w:w="2074"/>
          </w:tcPr>
          <w:p>
            <w:r>
              <w:t>Regulatory decisions not defensible in court</w:t>
            </w:r>
          </w:p>
        </w:tc>
        <w:tc>
          <w:tcPr>
            <w:tcW w:type="dxa" w:w="2074"/>
          </w:tcPr>
          <w:p>
            <w:r>
              <w:t>Very High</w:t>
            </w:r>
          </w:p>
        </w:tc>
        <w:tc>
          <w:tcPr>
            <w:tcW w:type="dxa" w:w="2074"/>
          </w:tcPr>
          <w:p>
            <w:r>
              <w:t>High</w:t>
            </w:r>
          </w:p>
        </w:tc>
        <w:tc>
          <w:tcPr>
            <w:tcW w:type="dxa" w:w="2074"/>
          </w:tcPr>
          <w:p>
            <w:r>
              <w:t>Improving</w:t>
            </w:r>
          </w:p>
        </w:tc>
        <w:tc>
          <w:tcPr>
            <w:tcW w:type="dxa" w:w="2074"/>
          </w:tcPr>
          <w:p>
            <w:r>
              <w:t>Formal decision records now capture decision text, rationale, authority, evidence, conditions, appeal rights, decision maker, and effective dates; legal defensibility still depends on approved SOPs and lawful authority.</w:t>
            </w:r>
          </w:p>
        </w:tc>
      </w:tr>
      <w:tr>
        <w:tc>
          <w:tcPr>
            <w:tcW w:type="dxa" w:w="2074"/>
          </w:tcPr>
          <w:p>
            <w:r>
              <w:t>Weak documentation control</w:t>
            </w:r>
          </w:p>
        </w:tc>
        <w:tc>
          <w:tcPr>
            <w:tcW w:type="dxa" w:w="2074"/>
          </w:tcPr>
          <w:p>
            <w:r>
              <w:t>High</w:t>
            </w:r>
          </w:p>
        </w:tc>
        <w:tc>
          <w:tcPr>
            <w:tcW w:type="dxa" w:w="2074"/>
          </w:tcPr>
          <w:p>
            <w:r>
              <w:t>High</w:t>
            </w:r>
          </w:p>
        </w:tc>
        <w:tc>
          <w:tcPr>
            <w:tcW w:type="dxa" w:w="2074"/>
          </w:tcPr>
          <w:p>
            <w:r>
              <w:t>Operational</w:t>
            </w:r>
          </w:p>
        </w:tc>
        <w:tc>
          <w:tcPr>
            <w:tcW w:type="dxa" w:w="2074"/>
          </w:tcPr>
          <w:p>
            <w:r>
              <w:t>Document repository, versioning, approval or rejection sign-off, current-version tracking, permissions, and audit events now address the platform side of this risk.</w:t>
            </w:r>
          </w:p>
        </w:tc>
      </w:tr>
      <w:tr>
        <w:tc>
          <w:tcPr>
            <w:tcW w:type="dxa" w:w="2074"/>
          </w:tcPr>
          <w:p>
            <w:r>
              <w:t>Inconsistent complaints handling</w:t>
            </w:r>
          </w:p>
        </w:tc>
        <w:tc>
          <w:tcPr>
            <w:tcW w:type="dxa" w:w="2074"/>
          </w:tcPr>
          <w:p>
            <w:r>
              <w:t>High</w:t>
            </w:r>
          </w:p>
        </w:tc>
        <w:tc>
          <w:tcPr>
            <w:tcW w:type="dxa" w:w="2074"/>
          </w:tcPr>
          <w:p>
            <w:r>
              <w:t>High</w:t>
            </w:r>
          </w:p>
        </w:tc>
        <w:tc>
          <w:tcPr>
            <w:tcW w:type="dxa" w:w="2074"/>
          </w:tcPr>
          <w:p>
            <w:r>
              <w:t>Implemented</w:t>
            </w:r>
          </w:p>
        </w:tc>
        <w:tc>
          <w:tcPr>
            <w:tcW w:type="dxa" w:w="2074"/>
          </w:tcPr>
          <w:p>
            <w:r>
              <w:t>Inbox enquiries can be escalated into formal ICMS cases with status history, ownership, evidence, closure notes, and disciplinary escalation where required.</w:t>
            </w:r>
          </w:p>
        </w:tc>
      </w:tr>
      <w:tr>
        <w:tc>
          <w:tcPr>
            <w:tcW w:type="dxa" w:w="2074"/>
          </w:tcPr>
          <w:p>
            <w:r>
              <w:t>Manual systems</w:t>
            </w:r>
          </w:p>
        </w:tc>
        <w:tc>
          <w:tcPr>
            <w:tcW w:type="dxa" w:w="2074"/>
          </w:tcPr>
          <w:p>
            <w:r>
              <w:t>Medium</w:t>
            </w:r>
          </w:p>
        </w:tc>
        <w:tc>
          <w:tcPr>
            <w:tcW w:type="dxa" w:w="2074"/>
          </w:tcPr>
          <w:p>
            <w:r>
              <w:t>High</w:t>
            </w:r>
          </w:p>
        </w:tc>
        <w:tc>
          <w:tcPr>
            <w:tcW w:type="dxa" w:w="2074"/>
          </w:tcPr>
          <w:p>
            <w:r>
              <w:t>Improving</w:t>
            </w:r>
          </w:p>
        </w:tc>
        <w:tc>
          <w:tcPr>
            <w:tcW w:type="dxa" w:w="2074"/>
          </w:tcPr>
          <w:p>
            <w:r>
              <w:t>Digital registration, search, OCR, repository, and analytics reduce manual handling.</w:t>
            </w:r>
          </w:p>
        </w:tc>
      </w:tr>
      <w:tr>
        <w:tc>
          <w:tcPr>
            <w:tcW w:type="dxa" w:w="2074"/>
          </w:tcPr>
          <w:p>
            <w:r>
              <w:t>Outdated legislation</w:t>
            </w:r>
          </w:p>
        </w:tc>
        <w:tc>
          <w:tcPr>
            <w:tcW w:type="dxa" w:w="2074"/>
          </w:tcPr>
          <w:p>
            <w:r>
              <w:t>Very High</w:t>
            </w:r>
          </w:p>
        </w:tc>
        <w:tc>
          <w:tcPr>
            <w:tcW w:type="dxa" w:w="2074"/>
          </w:tcPr>
          <w:p>
            <w:r>
              <w:t>Medium</w:t>
            </w:r>
          </w:p>
        </w:tc>
        <w:tc>
          <w:tcPr>
            <w:tcW w:type="dxa" w:w="2074"/>
          </w:tcPr>
          <w:p>
            <w:r>
              <w:t>External</w:t>
            </w:r>
          </w:p>
        </w:tc>
        <w:tc>
          <w:tcPr>
            <w:tcW w:type="dxa" w:w="2074"/>
          </w:tcPr>
          <w:p>
            <w:r>
              <w:t>This remains a legislative reform issue rather than an application defect.</w:t>
            </w:r>
          </w:p>
        </w:tc>
      </w:tr>
      <w:tr>
        <w:tc>
          <w:tcPr>
            <w:tcW w:type="dxa" w:w="2074"/>
          </w:tcPr>
          <w:p>
            <w:r>
              <w:t>Staff capacity gaps</w:t>
            </w:r>
          </w:p>
        </w:tc>
        <w:tc>
          <w:tcPr>
            <w:tcW w:type="dxa" w:w="2074"/>
          </w:tcPr>
          <w:p>
            <w:r>
              <w:t>Medium</w:t>
            </w:r>
          </w:p>
        </w:tc>
        <w:tc>
          <w:tcPr>
            <w:tcW w:type="dxa" w:w="2074"/>
          </w:tcPr>
          <w:p>
            <w:r>
              <w:t>Medium</w:t>
            </w:r>
          </w:p>
        </w:tc>
        <w:tc>
          <w:tcPr>
            <w:tcW w:type="dxa" w:w="2074"/>
          </w:tcPr>
          <w:p>
            <w:r>
              <w:t>Platform-supported / training required</w:t>
            </w:r>
          </w:p>
        </w:tc>
        <w:tc>
          <w:tcPr>
            <w:tcW w:type="dxa" w:w="2074"/>
          </w:tcPr>
          <w:p>
            <w:r>
              <w:t>Guided workflows, standard queues, case registers, decision records, and controlled documents support staff practice; training and change management remain operational requirements.</w:t>
            </w:r>
          </w:p>
        </w:tc>
      </w:tr>
      <w:tr>
        <w:tc>
          <w:tcPr>
            <w:tcW w:type="dxa" w:w="2074"/>
          </w:tcPr>
          <w:p>
            <w:r>
              <w:t>Unauthorised editing of documents</w:t>
            </w:r>
          </w:p>
        </w:tc>
        <w:tc>
          <w:tcPr>
            <w:tcW w:type="dxa" w:w="2074"/>
          </w:tcPr>
          <w:p>
            <w:r>
              <w:t>High</w:t>
            </w:r>
          </w:p>
        </w:tc>
        <w:tc>
          <w:tcPr>
            <w:tcW w:type="dxa" w:w="2074"/>
          </w:tcPr>
          <w:p>
            <w:r>
              <w:t>Medium</w:t>
            </w:r>
          </w:p>
        </w:tc>
        <w:tc>
          <w:tcPr>
            <w:tcW w:type="dxa" w:w="2074"/>
          </w:tcPr>
          <w:p>
            <w:r>
              <w:t>Improving</w:t>
            </w:r>
          </w:p>
        </w:tc>
        <w:tc>
          <w:tcPr>
            <w:tcW w:type="dxa" w:w="2074"/>
          </w:tcPr>
          <w:p>
            <w:r>
              <w:t>Repository permissions, version history, approval sign-off, and audit events reduce unauthorised editing risk; final enforcement still depends on policy and staff roles.</w:t>
            </w:r>
          </w:p>
        </w:tc>
      </w:tr>
      <w:tr>
        <w:tc>
          <w:tcPr>
            <w:tcW w:type="dxa" w:w="2074"/>
          </w:tcPr>
          <w:p>
            <w:r>
              <w:t>Reputational damage</w:t>
            </w:r>
          </w:p>
        </w:tc>
        <w:tc>
          <w:tcPr>
            <w:tcW w:type="dxa" w:w="2074"/>
          </w:tcPr>
          <w:p>
            <w:r>
              <w:t>High</w:t>
            </w:r>
          </w:p>
        </w:tc>
        <w:tc>
          <w:tcPr>
            <w:tcW w:type="dxa" w:w="2074"/>
          </w:tcPr>
          <w:p>
            <w:r>
              <w:t>Medium</w:t>
            </w:r>
          </w:p>
        </w:tc>
        <w:tc>
          <w:tcPr>
            <w:tcW w:type="dxa" w:w="2074"/>
          </w:tcPr>
          <w:p>
            <w:r>
              <w:t>Improving</w:t>
            </w:r>
          </w:p>
        </w:tc>
        <w:tc>
          <w:tcPr>
            <w:tcW w:type="dxa" w:w="2074"/>
          </w:tcPr>
          <w:p>
            <w:r>
              <w:t>Privacy separation, scoped access, formal complaint handling, decision records, live reporting, and traceability reduce risk but do not remove governance or legal exposure.</w:t>
            </w:r>
          </w:p>
        </w:tc>
      </w:tr>
    </w:tbl>
    <w:p/>
    <w:p>
      <w:r>
        <w:rPr>
          <w:b/>
        </w:rPr>
        <w:t>Roadmap Alignment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rPr>
              <w:t>Roadmap Phase</w:t>
            </w:r>
          </w:p>
        </w:tc>
        <w:tc>
          <w:tcPr>
            <w:tcW w:type="dxa" w:w="2592"/>
          </w:tcPr>
          <w:p>
            <w:r>
              <w:rPr>
                <w:b/>
              </w:rPr>
              <w:t>Source Focus</w:t>
            </w:r>
          </w:p>
        </w:tc>
        <w:tc>
          <w:tcPr>
            <w:tcW w:type="dxa" w:w="2592"/>
          </w:tcPr>
          <w:p>
            <w:r>
              <w:rPr>
                <w:b/>
              </w:rPr>
              <w:t>Platform Readiness</w:t>
            </w:r>
          </w:p>
        </w:tc>
        <w:tc>
          <w:tcPr>
            <w:tcW w:type="dxa" w:w="2592"/>
          </w:tcPr>
          <w:p>
            <w:r>
              <w:rPr>
                <w:b/>
              </w:rPr>
              <w:t>Alignment Note</w:t>
            </w:r>
          </w:p>
        </w:tc>
      </w:tr>
      <w:tr>
        <w:tc>
          <w:tcPr>
            <w:tcW w:type="dxa" w:w="2592"/>
          </w:tcPr>
          <w:p>
            <w:r>
              <w:t>Phase 1: Institutional Strengthening</w:t>
            </w:r>
          </w:p>
        </w:tc>
        <w:tc>
          <w:tcPr>
            <w:tcW w:type="dxa" w:w="2592"/>
          </w:tcPr>
          <w:p>
            <w:r>
              <w:t>Foundation governance, documentation management, and SOP control.</w:t>
            </w:r>
          </w:p>
        </w:tc>
        <w:tc>
          <w:tcPr>
            <w:tcW w:type="dxa" w:w="2592"/>
          </w:tcPr>
          <w:p>
            <w:r>
              <w:t>Supported / governance content pending</w:t>
            </w:r>
          </w:p>
        </w:tc>
        <w:tc>
          <w:tcPr>
            <w:tcW w:type="dxa" w:w="2592"/>
          </w:tcPr>
          <w:p>
            <w:r>
              <w:t>The platform now hosts controlled documents, approvals, version history, case workflows, decision registers, and registrar-facing intelligence; formal policy content still needs institutional adoption.</w:t>
            </w:r>
          </w:p>
        </w:tc>
      </w:tr>
      <w:tr>
        <w:tc>
          <w:tcPr>
            <w:tcW w:type="dxa" w:w="2592"/>
          </w:tcPr>
          <w:p>
            <w:r>
              <w:t>Phase 2: Systems Modernisation and Regulatory Oversight</w:t>
            </w:r>
          </w:p>
        </w:tc>
        <w:tc>
          <w:tcPr>
            <w:tcW w:type="dxa" w:w="2592"/>
          </w:tcPr>
          <w:p>
            <w:r>
              <w:t>Digital registration, oversight, and data systems.</w:t>
            </w:r>
          </w:p>
        </w:tc>
        <w:tc>
          <w:tcPr>
            <w:tcW w:type="dxa" w:w="2592"/>
          </w:tcPr>
          <w:p>
            <w:r>
              <w:t>Supported / in progress</w:t>
            </w:r>
          </w:p>
        </w:tc>
        <w:tc>
          <w:tcPr>
            <w:tcW w:type="dxa" w:w="2592"/>
          </w:tcPr>
          <w:p>
            <w:r>
              <w:t>The registry, dashboards, search, OCR intake, mobile intake, analytics snapshots, repository, ICMS, discipline workflow, and decision register support this phase.</w:t>
            </w:r>
          </w:p>
        </w:tc>
      </w:tr>
      <w:tr>
        <w:tc>
          <w:tcPr>
            <w:tcW w:type="dxa" w:w="2592"/>
          </w:tcPr>
          <w:p>
            <w:r>
              <w:t>Phase 3: Legislative Reform and Regulatory Maturity</w:t>
            </w:r>
          </w:p>
        </w:tc>
        <w:tc>
          <w:tcPr>
            <w:tcW w:type="dxa" w:w="2592"/>
          </w:tcPr>
          <w:p>
            <w:r>
              <w:t>PNG Nursing Act and statutory autonomy.</w:t>
            </w:r>
          </w:p>
        </w:tc>
        <w:tc>
          <w:tcPr>
            <w:tcW w:type="dxa" w:w="2592"/>
          </w:tcPr>
          <w:p>
            <w:r>
              <w:t>External / pending</w:t>
            </w:r>
          </w:p>
        </w:tc>
        <w:tc>
          <w:tcPr>
            <w:tcW w:type="dxa" w:w="2592"/>
          </w:tcPr>
          <w:p>
            <w:r>
              <w:t>Legislative reform must be handled through policy and government processes, not software alone.</w:t>
            </w:r>
          </w:p>
        </w:tc>
      </w:tr>
    </w:tbl>
    <w:p/>
    <w:p>
      <w:pPr>
        <w:pStyle w:val="Heading1"/>
      </w:pPr>
      <w:r>
        <w:t>8. Key Findings</w:t>
      </w:r>
    </w:p>
    <w:p>
      <w:pPr>
        <w:pStyle w:val="ListBullet"/>
        <w:spacing w:after="0"/>
      </w:pPr>
      <w:r>
        <w:t>The live platform is strong for analytics snapshots, imported history, dashboards, privacy scoping, document governance, ICMS case tracking, discipline workflow, decision records, and digital reporting.</w:t>
      </w:r>
    </w:p>
    <w:p>
      <w:pPr>
        <w:pStyle w:val="ListBullet"/>
        <w:spacing w:after="0"/>
      </w:pPr>
      <w:r>
        <w:t>The ministerial graduate output tables can be compared meaningfully against qualification records, and several totals are reasonably close rather than exact matches.</w:t>
      </w:r>
    </w:p>
    <w:p>
      <w:pPr>
        <w:pStyle w:val="ListBullet"/>
        <w:spacing w:after="0"/>
      </w:pPr>
      <w:r>
        <w:t>The full-licence and registration-elements tables do not align cleanly with current digital records, which indicates either different counting logic, incomplete year capture, or data-cleaning issues between source reports and the live registry.</w:t>
      </w:r>
    </w:p>
    <w:p>
      <w:pPr>
        <w:pStyle w:val="ListBullet"/>
        <w:spacing w:after="0"/>
      </w:pPr>
      <w:r>
        <w:t>Employment-type reporting remains a major digital gap because there are currently no captured EmploymentRecord rows in the live system.</w:t>
      </w:r>
    </w:p>
    <w:p>
      <w:pPr>
        <w:pStyle w:val="ListBullet"/>
        <w:spacing w:after="0"/>
      </w:pPr>
      <w:r>
        <w:t>The situational analysis remains valid: legislation, approved SOP content, staff training, and disciplined operational use still require management and legal follow-through beyond software alone.</w:t>
      </w:r>
    </w:p>
    <w:p>
      <w:pPr>
        <w:pStyle w:val="Heading1"/>
      </w:pPr>
      <w:r>
        <w:t>9. Platform Changes Completed</w:t>
      </w:r>
    </w:p>
    <w:p>
      <w:pPr>
        <w:pStyle w:val="ListBullet"/>
        <w:spacing w:after="0"/>
      </w:pPr>
      <w:r>
        <w:t>Added a Nursing Council regulatory intelligence section to the registrar profile.</w:t>
      </w:r>
    </w:p>
    <w:p>
      <w:pPr>
        <w:pStyle w:val="ListBullet"/>
        <w:spacing w:after="0"/>
      </w:pPr>
      <w:r>
        <w:t>Added the statutory context and mandate of the PNG Nursing Council into the platform.</w:t>
      </w:r>
    </w:p>
    <w:p>
      <w:pPr>
        <w:pStyle w:val="ListBullet"/>
        <w:spacing w:after="0"/>
      </w:pPr>
      <w:r>
        <w:t>Added report-reference tables from the ministerial submission and live database comparison tables beneath them.</w:t>
      </w:r>
    </w:p>
    <w:p>
      <w:pPr>
        <w:pStyle w:val="ListBullet"/>
        <w:spacing w:after="0"/>
      </w:pPr>
      <w:r>
        <w:t>Added situational-analysis alignment tables for SWOT, risks, gaps, and roadmap readiness.</w:t>
      </w:r>
    </w:p>
    <w:p>
      <w:pPr>
        <w:pStyle w:val="ListBullet"/>
        <w:spacing w:after="0"/>
      </w:pPr>
      <w:r>
        <w:t>Added Nursing Council analytics snapshot reporting from the cleansed workbook.</w:t>
      </w:r>
    </w:p>
    <w:p>
      <w:pPr>
        <w:pStyle w:val="ListBullet"/>
        <w:spacing w:after="0"/>
      </w:pPr>
      <w:r>
        <w:t>Added formal ICMS complaints, disciplinary case workflow, and regulatory decision register.</w:t>
      </w:r>
    </w:p>
    <w:p>
      <w:pPr>
        <w:pStyle w:val="ListBullet"/>
        <w:spacing w:after="0"/>
      </w:pPr>
      <w:r>
        <w:t>Added document approval/rejection sign-off for controlled repository versions.</w:t>
      </w:r>
    </w:p>
    <w:p>
      <w:pPr>
        <w:pStyle w:val="ListBullet"/>
        <w:spacing w:after="0"/>
      </w:pPr>
      <w:r>
        <w:t>Added NHWA workbook alignment as a reporting layer.</w:t>
      </w:r>
    </w:p>
    <w:p>
      <w:pPr>
        <w:pStyle w:val="ListBullet"/>
        <w:spacing w:after="0"/>
      </w:pPr>
      <w:r>
        <w:t>Added public FAQ, moderated forum, and mapped institution/facility reference pages.</w:t>
      </w:r>
    </w:p>
    <w:p>
      <w:pPr>
        <w:pStyle w:val="ListBullet"/>
        <w:spacing w:after="0"/>
      </w:pPr>
      <w:r>
        <w:t>Added receipt-owner linking and high-value review routing.</w:t>
      </w:r>
    </w:p>
    <w:p>
      <w:pPr>
        <w:pStyle w:val="Heading1"/>
      </w:pPr>
      <w:r>
        <w:t>10. Recommendations</w:t>
      </w:r>
    </w:p>
    <w:p>
      <w:pPr>
        <w:pStyle w:val="ListBullet"/>
        <w:spacing w:after="0"/>
      </w:pPr>
      <w:r>
        <w:t>Standardise legal wording on the Council's statutory basis across all official documents and templates.</w:t>
      </w:r>
    </w:p>
    <w:p>
      <w:pPr>
        <w:pStyle w:val="ListBullet"/>
        <w:spacing w:after="0"/>
      </w:pPr>
      <w:r>
        <w:t>Agree a single counting method for graduate outputs, full licences, ATP, and specialisations before using these figures for ministerial or board reporting.</w:t>
      </w:r>
    </w:p>
    <w:p>
      <w:pPr>
        <w:pStyle w:val="ListBullet"/>
        <w:spacing w:after="0"/>
      </w:pPr>
      <w:r>
        <w:t>Populate employment and workforce movement data if employment-type reporting is expected from the system.</w:t>
      </w:r>
    </w:p>
    <w:p>
      <w:pPr>
        <w:pStyle w:val="ListBullet"/>
        <w:spacing w:after="0"/>
      </w:pPr>
      <w:r>
        <w:t>Adopt SOPs and staff training for formal complaints, discipline, regulatory decisions, document sign-off, and receipt review workflows.</w:t>
      </w:r>
    </w:p>
    <w:p>
      <w:pPr>
        <w:pStyle w:val="ListBullet"/>
        <w:spacing w:after="0"/>
      </w:pPr>
      <w:r>
        <w:t>Verify mapped entity coordinates before public map demonstrations.</w:t>
      </w:r>
    </w:p>
    <w:p>
      <w:pPr>
        <w:pStyle w:val="ListBullet"/>
        <w:spacing w:after="0"/>
      </w:pPr>
      <w:r>
        <w:t>Use NHWA workbooks as reporting/sign-off outputs only, not as registry overwrite sources.</w:t>
      </w:r>
    </w:p>
    <w:p>
      <w:pPr>
        <w:pStyle w:val="ListBullet"/>
        <w:spacing w:after="0"/>
      </w:pPr>
      <w:r>
        <w:t>Use the new registrar profile section as the live operational reference point, but continue validating report-source spreadsheets before executive submission.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