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B2FC" w14:textId="77777777" w:rsidR="001A1EF4" w:rsidRDefault="00720092" w:rsidP="009210A9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Partie 1 : Modélisation UML </w:t>
      </w:r>
    </w:p>
    <w:p w14:paraId="1F7350D4" w14:textId="77777777" w:rsidR="00720092" w:rsidRDefault="00720092" w:rsidP="00720092">
      <w:pPr>
        <w:jc w:val="center"/>
        <w:rPr>
          <w:b/>
          <w:bCs/>
          <w:color w:val="FF0000"/>
          <w:sz w:val="32"/>
          <w:szCs w:val="32"/>
        </w:rPr>
      </w:pPr>
    </w:p>
    <w:p w14:paraId="25F0A258" w14:textId="77777777" w:rsidR="00720092" w:rsidRPr="00720092" w:rsidRDefault="00720092" w:rsidP="00720092">
      <w:pPr>
        <w:pStyle w:val="Heading1"/>
        <w:shd w:val="clear" w:color="auto" w:fill="BDD6EE" w:themeFill="accent5" w:themeFillTint="66"/>
      </w:pPr>
      <w:r w:rsidRPr="00720092">
        <w:rPr>
          <w:b/>
          <w:bCs/>
        </w:rPr>
        <w:t>Énoncé</w:t>
      </w:r>
      <w:r w:rsidRPr="00720092">
        <w:t> </w:t>
      </w:r>
    </w:p>
    <w:p w14:paraId="2339F0F6" w14:textId="2B237ABE" w:rsidR="007F7E5A" w:rsidRDefault="007F7E5A" w:rsidP="003A7DDE">
      <w:pPr>
        <w:tabs>
          <w:tab w:val="left" w:pos="1032"/>
        </w:tabs>
        <w:jc w:val="both"/>
      </w:pPr>
      <w:r w:rsidRPr="007F7E5A">
        <w:rPr>
          <w:color w:val="FF0000"/>
        </w:rPr>
        <w:t>Rouge</w:t>
      </w:r>
      <w:r>
        <w:t> : classe</w:t>
      </w:r>
    </w:p>
    <w:p w14:paraId="0B289F79" w14:textId="57A1EDE7" w:rsidR="007F7E5A" w:rsidRDefault="007F7E5A" w:rsidP="003A7DDE">
      <w:pPr>
        <w:tabs>
          <w:tab w:val="left" w:pos="1032"/>
        </w:tabs>
        <w:jc w:val="both"/>
      </w:pPr>
      <w:r w:rsidRPr="007F7E5A">
        <w:rPr>
          <w:color w:val="0070C0"/>
        </w:rPr>
        <w:t>Bleu</w:t>
      </w:r>
      <w:r>
        <w:t> : attribut</w:t>
      </w:r>
    </w:p>
    <w:p w14:paraId="7A30A283" w14:textId="2C6735FD" w:rsidR="007F7E5A" w:rsidRDefault="007F7E5A" w:rsidP="003A7DDE">
      <w:pPr>
        <w:tabs>
          <w:tab w:val="left" w:pos="1032"/>
        </w:tabs>
        <w:jc w:val="both"/>
      </w:pPr>
      <w:r w:rsidRPr="007F7E5A">
        <w:rPr>
          <w:color w:val="00B050"/>
        </w:rPr>
        <w:t>Vert</w:t>
      </w:r>
      <w:r>
        <w:t> : classe fille</w:t>
      </w:r>
    </w:p>
    <w:p w14:paraId="0E8F079A" w14:textId="0B428C19" w:rsidR="007F7E5A" w:rsidRDefault="007F7E5A" w:rsidP="003A7DDE">
      <w:pPr>
        <w:tabs>
          <w:tab w:val="left" w:pos="1032"/>
        </w:tabs>
        <w:jc w:val="both"/>
      </w:pPr>
      <w:r w:rsidRPr="007F7E5A">
        <w:rPr>
          <w:color w:val="7030A0"/>
        </w:rPr>
        <w:t>Mauve</w:t>
      </w:r>
      <w:r>
        <w:t> : attribut de la classe fille</w:t>
      </w:r>
    </w:p>
    <w:p w14:paraId="13054E69" w14:textId="37E61160" w:rsidR="007F7E5A" w:rsidRDefault="007F7E5A" w:rsidP="003A7DDE">
      <w:pPr>
        <w:tabs>
          <w:tab w:val="left" w:pos="1032"/>
        </w:tabs>
        <w:jc w:val="both"/>
      </w:pPr>
      <w:r w:rsidRPr="007F7E5A">
        <w:rPr>
          <w:color w:val="FFFF00"/>
        </w:rPr>
        <w:t>Jaune</w:t>
      </w:r>
      <w:r>
        <w:t> : méthode</w:t>
      </w:r>
    </w:p>
    <w:p w14:paraId="10356479" w14:textId="48685866" w:rsidR="007F7E5A" w:rsidRDefault="007F7E5A" w:rsidP="003A7DDE">
      <w:pPr>
        <w:tabs>
          <w:tab w:val="left" w:pos="1032"/>
        </w:tabs>
        <w:jc w:val="both"/>
      </w:pPr>
      <w:r w:rsidRPr="007F7E5A">
        <w:rPr>
          <w:color w:val="FFC000"/>
        </w:rPr>
        <w:t>Orange</w:t>
      </w:r>
      <w:r>
        <w:t> : lien de l’association</w:t>
      </w:r>
    </w:p>
    <w:p w14:paraId="1B90CED5" w14:textId="6454C5ED" w:rsidR="00CF203A" w:rsidRPr="007F7E5A" w:rsidRDefault="00F15FEA" w:rsidP="003A7DDE">
      <w:pPr>
        <w:tabs>
          <w:tab w:val="left" w:pos="1032"/>
        </w:tabs>
        <w:jc w:val="both"/>
        <w:rPr>
          <w:color w:val="0070C0"/>
        </w:rPr>
      </w:pPr>
      <w:r>
        <w:t xml:space="preserve">Une pharmacie vend des </w:t>
      </w:r>
      <w:r w:rsidRPr="007F7E5A">
        <w:rPr>
          <w:color w:val="FF0000"/>
        </w:rPr>
        <w:t>médicaments</w:t>
      </w:r>
      <w:r>
        <w:t xml:space="preserve"> aux </w:t>
      </w:r>
      <w:r w:rsidRPr="007F7E5A">
        <w:rPr>
          <w:color w:val="FF0000"/>
        </w:rPr>
        <w:t>patients</w:t>
      </w:r>
      <w:r>
        <w:t xml:space="preserve">. Ces médicaments proviennent de différents </w:t>
      </w:r>
      <w:r w:rsidRPr="007F7E5A">
        <w:rPr>
          <w:color w:val="FF0000"/>
        </w:rPr>
        <w:t>fournisseurs</w:t>
      </w:r>
      <w:r>
        <w:t>.</w:t>
      </w:r>
    </w:p>
    <w:p w14:paraId="1D5B7216" w14:textId="77777777" w:rsidR="003A7DDE" w:rsidRDefault="00F15FEA" w:rsidP="003A7DDE">
      <w:pPr>
        <w:tabs>
          <w:tab w:val="left" w:pos="1032"/>
        </w:tabs>
        <w:jc w:val="both"/>
      </w:pPr>
      <w:r>
        <w:t xml:space="preserve">Les médicaments sont caractérisés par un </w:t>
      </w:r>
      <w:r w:rsidRPr="007F7E5A">
        <w:rPr>
          <w:color w:val="0070C0"/>
        </w:rPr>
        <w:t>code du médicament</w:t>
      </w:r>
      <w:r>
        <w:t xml:space="preserve">, un </w:t>
      </w:r>
      <w:r w:rsidRPr="007F7E5A">
        <w:rPr>
          <w:color w:val="0070C0"/>
        </w:rPr>
        <w:t>nom chimique</w:t>
      </w:r>
      <w:r>
        <w:t xml:space="preserve">, un </w:t>
      </w:r>
      <w:r w:rsidRPr="007F7E5A">
        <w:rPr>
          <w:color w:val="0070C0"/>
        </w:rPr>
        <w:t>nom commercial</w:t>
      </w:r>
      <w:r>
        <w:t xml:space="preserve">, un </w:t>
      </w:r>
      <w:r w:rsidRPr="007F7E5A">
        <w:rPr>
          <w:color w:val="0070C0"/>
        </w:rPr>
        <w:t>prix</w:t>
      </w:r>
      <w:r>
        <w:t xml:space="preserve"> et une </w:t>
      </w:r>
      <w:r w:rsidRPr="007F7E5A">
        <w:rPr>
          <w:color w:val="0070C0"/>
        </w:rPr>
        <w:t>catégorie</w:t>
      </w:r>
      <w:r>
        <w:t xml:space="preserve">. Le code du médicament est composé de trois lettres suivies de trois chiffres. Le nom chimique et le nom commercial sont composés d’un maximum de 50 lettres. Le prix </w:t>
      </w:r>
      <w:r w:rsidR="003A7DDE">
        <w:t>a une valeur comprise entre 5 et 100</w:t>
      </w:r>
      <w:r w:rsidR="00473F8E">
        <w:t xml:space="preserve"> </w:t>
      </w:r>
      <w:r w:rsidR="003A7DDE">
        <w:t>$. La catégorie du médicament peut être un</w:t>
      </w:r>
      <w:r w:rsidR="00401939">
        <w:t>e</w:t>
      </w:r>
      <w:r w:rsidR="003A7DDE">
        <w:t xml:space="preserve"> des trois valeurs suivantes : Antibiotiques, Analgésiques ou Corticoïde.</w:t>
      </w:r>
    </w:p>
    <w:p w14:paraId="58346C04" w14:textId="77777777" w:rsidR="003A7DDE" w:rsidRDefault="003A7DDE" w:rsidP="003A7DDE">
      <w:pPr>
        <w:tabs>
          <w:tab w:val="left" w:pos="1032"/>
        </w:tabs>
        <w:jc w:val="both"/>
      </w:pPr>
      <w:r>
        <w:t xml:space="preserve">Un médicament </w:t>
      </w:r>
      <w:r w:rsidR="00401939">
        <w:t>est</w:t>
      </w:r>
      <w:r>
        <w:t xml:space="preserve"> soit un </w:t>
      </w:r>
      <w:r w:rsidRPr="007F7E5A">
        <w:rPr>
          <w:color w:val="00B050"/>
        </w:rPr>
        <w:t>antibiotique</w:t>
      </w:r>
      <w:r>
        <w:t xml:space="preserve">, soit un </w:t>
      </w:r>
      <w:r w:rsidRPr="007F7E5A">
        <w:rPr>
          <w:color w:val="00B050"/>
        </w:rPr>
        <w:t>analgésique</w:t>
      </w:r>
      <w:r>
        <w:t xml:space="preserve"> soit un </w:t>
      </w:r>
      <w:r w:rsidRPr="007F7E5A">
        <w:rPr>
          <w:color w:val="00B050"/>
        </w:rPr>
        <w:t>corticoïde</w:t>
      </w:r>
      <w:r>
        <w:t>.</w:t>
      </w:r>
    </w:p>
    <w:p w14:paraId="6E20ADDE" w14:textId="77777777" w:rsidR="00F15FEA" w:rsidRDefault="002F19F3" w:rsidP="003A7DDE">
      <w:pPr>
        <w:tabs>
          <w:tab w:val="left" w:pos="1032"/>
        </w:tabs>
        <w:jc w:val="both"/>
      </w:pPr>
      <w:r>
        <w:t xml:space="preserve">Un Antibiotique est un médicament. Il est donc caractérisé par les informations qui caractérisent le médicament et celle qui caractérise l’antibiotique : La </w:t>
      </w:r>
      <w:r w:rsidRPr="007F7E5A">
        <w:rPr>
          <w:color w:val="7030A0"/>
        </w:rPr>
        <w:t>durée de prise maximal</w:t>
      </w:r>
      <w:r w:rsidR="00343E93" w:rsidRPr="007F7E5A">
        <w:rPr>
          <w:color w:val="7030A0"/>
        </w:rPr>
        <w:t>e</w:t>
      </w:r>
      <w:r>
        <w:t xml:space="preserve">, qui est en nombre de jours.  </w:t>
      </w:r>
      <w:r w:rsidR="003A7DDE">
        <w:t xml:space="preserve"> </w:t>
      </w:r>
    </w:p>
    <w:p w14:paraId="76BB045F" w14:textId="77777777" w:rsidR="00343E93" w:rsidRDefault="002F19F3" w:rsidP="003A7DDE">
      <w:pPr>
        <w:tabs>
          <w:tab w:val="left" w:pos="1032"/>
        </w:tabs>
        <w:jc w:val="both"/>
      </w:pPr>
      <w:r>
        <w:t>Un analgésique est un médicament. Il est donc caractérisé par les informations qui caractérisent le médicament et celle qui caractérise l’an</w:t>
      </w:r>
      <w:r w:rsidR="00343E93">
        <w:t>algésique</w:t>
      </w:r>
      <w:r>
        <w:t xml:space="preserve"> : La </w:t>
      </w:r>
      <w:r w:rsidRPr="007F7E5A">
        <w:rPr>
          <w:color w:val="7030A0"/>
        </w:rPr>
        <w:t>d</w:t>
      </w:r>
      <w:r w:rsidR="00343E93" w:rsidRPr="007F7E5A">
        <w:rPr>
          <w:color w:val="7030A0"/>
        </w:rPr>
        <w:t>ose</w:t>
      </w:r>
      <w:r w:rsidRPr="007F7E5A">
        <w:rPr>
          <w:color w:val="7030A0"/>
        </w:rPr>
        <w:t xml:space="preserve"> de prise </w:t>
      </w:r>
      <w:r w:rsidR="00343E93" w:rsidRPr="007F7E5A">
        <w:rPr>
          <w:color w:val="7030A0"/>
        </w:rPr>
        <w:t xml:space="preserve">quotidienne </w:t>
      </w:r>
      <w:r w:rsidRPr="007F7E5A">
        <w:rPr>
          <w:color w:val="7030A0"/>
        </w:rPr>
        <w:t>maximal</w:t>
      </w:r>
      <w:r w:rsidR="00343E93" w:rsidRPr="007F7E5A">
        <w:rPr>
          <w:color w:val="7030A0"/>
        </w:rPr>
        <w:t>e</w:t>
      </w:r>
      <w:r>
        <w:t>, qui est en nombre de</w:t>
      </w:r>
      <w:r w:rsidR="00343E93">
        <w:t xml:space="preserve"> comprimés</w:t>
      </w:r>
      <w:r>
        <w:t>.</w:t>
      </w:r>
    </w:p>
    <w:p w14:paraId="7FA3B1E9" w14:textId="77777777" w:rsidR="00343E93" w:rsidRDefault="00343E93" w:rsidP="00343E93">
      <w:pPr>
        <w:tabs>
          <w:tab w:val="left" w:pos="1032"/>
        </w:tabs>
        <w:jc w:val="both"/>
      </w:pPr>
      <w:r>
        <w:t>Un corticoïde est un médicament. Il est donc caractérisé par les informations qui caractérisent le médicament et celle qui caractérise l</w:t>
      </w:r>
      <w:r w:rsidR="00CC1A77">
        <w:t>e corticoïde</w:t>
      </w:r>
      <w:r>
        <w:t xml:space="preserve"> : </w:t>
      </w:r>
      <w:r w:rsidRPr="007F7E5A">
        <w:rPr>
          <w:color w:val="7030A0"/>
        </w:rPr>
        <w:t>L’effet du médicament</w:t>
      </w:r>
      <w:r>
        <w:t>, qui est soit court, intermédiaire ou prolongé.</w:t>
      </w:r>
    </w:p>
    <w:p w14:paraId="45ED2C28" w14:textId="77777777" w:rsidR="00343E93" w:rsidRDefault="00343E93" w:rsidP="00343E93">
      <w:pPr>
        <w:tabs>
          <w:tab w:val="left" w:pos="1032"/>
        </w:tabs>
        <w:jc w:val="both"/>
      </w:pPr>
      <w:r>
        <w:t>Un patient</w:t>
      </w:r>
      <w:r w:rsidR="00CC1A77">
        <w:t xml:space="preserve"> de la pharmacie</w:t>
      </w:r>
      <w:r>
        <w:t xml:space="preserve"> est caractérisé par son </w:t>
      </w:r>
      <w:r w:rsidRPr="007F7E5A">
        <w:rPr>
          <w:color w:val="0070C0"/>
        </w:rPr>
        <w:t>numéro de patient</w:t>
      </w:r>
      <w:r>
        <w:t xml:space="preserve">, son </w:t>
      </w:r>
      <w:r w:rsidRPr="007F7E5A">
        <w:rPr>
          <w:color w:val="0070C0"/>
        </w:rPr>
        <w:t>nom</w:t>
      </w:r>
      <w:r>
        <w:t xml:space="preserve">, son </w:t>
      </w:r>
      <w:r w:rsidRPr="007F7E5A">
        <w:rPr>
          <w:color w:val="0070C0"/>
        </w:rPr>
        <w:t>prénom</w:t>
      </w:r>
      <w:r>
        <w:t xml:space="preserve">, sa </w:t>
      </w:r>
      <w:r w:rsidRPr="007F7E5A">
        <w:rPr>
          <w:color w:val="0070C0"/>
        </w:rPr>
        <w:t>date de naissance</w:t>
      </w:r>
      <w:r>
        <w:t xml:space="preserve"> et son </w:t>
      </w:r>
      <w:r w:rsidRPr="007F7E5A">
        <w:rPr>
          <w:color w:val="0070C0"/>
        </w:rPr>
        <w:t>adresse courriel</w:t>
      </w:r>
      <w:r>
        <w:t>. Le numéro du patient est composé de 7 chiffres, son nom et prénom sont alphabétiques de taille inférieure à 50 caractères. Le courriel est composé du nom</w:t>
      </w:r>
      <w:r w:rsidR="00CC1A77">
        <w:t xml:space="preserve"> </w:t>
      </w:r>
      <w:r>
        <w:t xml:space="preserve">du patient suivi de son prénom @gmail.com. Exemple : </w:t>
      </w:r>
      <w:hyperlink r:id="rId7" w:history="1">
        <w:r w:rsidRPr="00A536E6">
          <w:rPr>
            <w:rStyle w:val="Hyperlink"/>
          </w:rPr>
          <w:t>hasnaHocini@gmail.com</w:t>
        </w:r>
      </w:hyperlink>
      <w:r>
        <w:t>.</w:t>
      </w:r>
    </w:p>
    <w:p w14:paraId="36C3E5C1" w14:textId="5741B829" w:rsidR="00CC1A77" w:rsidRDefault="00CC1A77" w:rsidP="00343E93">
      <w:pPr>
        <w:tabs>
          <w:tab w:val="left" w:pos="1032"/>
        </w:tabs>
        <w:jc w:val="both"/>
      </w:pPr>
      <w:r>
        <w:t xml:space="preserve">Nous pouvons </w:t>
      </w:r>
      <w:r w:rsidRPr="007F7E5A">
        <w:rPr>
          <w:color w:val="FFFF00"/>
        </w:rPr>
        <w:t>calculer l’âge du patient</w:t>
      </w:r>
      <w:r>
        <w:t xml:space="preserve"> avec une méthode privée. Cette méthode sera appelée par une méthode publique qui </w:t>
      </w:r>
      <w:r w:rsidRPr="007F7E5A">
        <w:rPr>
          <w:color w:val="FFFF00"/>
        </w:rPr>
        <w:t>vérifie l’âge du patient</w:t>
      </w:r>
      <w:r>
        <w:t xml:space="preserve"> </w:t>
      </w:r>
      <w:r w:rsidR="00664004">
        <w:t>pour déterminer s’il est un adulte ou un enfant (âge supérieur ou égal, ou inférieur</w:t>
      </w:r>
      <w:r w:rsidR="00664004" w:rsidRPr="00664004">
        <w:t xml:space="preserve"> </w:t>
      </w:r>
      <w:r w:rsidR="00664004">
        <w:t xml:space="preserve">à 18 ans). </w:t>
      </w:r>
      <w:r>
        <w:t xml:space="preserve">   </w:t>
      </w:r>
    </w:p>
    <w:p w14:paraId="0F42EBB7" w14:textId="77777777" w:rsidR="007F7E5A" w:rsidRDefault="007F7E5A" w:rsidP="00343E93">
      <w:pPr>
        <w:tabs>
          <w:tab w:val="left" w:pos="1032"/>
        </w:tabs>
        <w:jc w:val="both"/>
      </w:pPr>
    </w:p>
    <w:p w14:paraId="1451F42F" w14:textId="77777777" w:rsidR="00343E93" w:rsidRDefault="00343E93" w:rsidP="00343E93">
      <w:pPr>
        <w:tabs>
          <w:tab w:val="left" w:pos="1032"/>
        </w:tabs>
        <w:jc w:val="both"/>
      </w:pPr>
      <w:r>
        <w:lastRenderedPageBreak/>
        <w:t xml:space="preserve">Un médicament est acheté </w:t>
      </w:r>
      <w:r w:rsidRPr="007F7E5A">
        <w:rPr>
          <w:color w:val="FFC000"/>
        </w:rPr>
        <w:t>par un ou plusieurs</w:t>
      </w:r>
      <w:r w:rsidR="007D53EB" w:rsidRPr="007F7E5A">
        <w:rPr>
          <w:color w:val="FFC000"/>
        </w:rPr>
        <w:t xml:space="preserve"> patients</w:t>
      </w:r>
      <w:r w:rsidR="007D53EB">
        <w:t xml:space="preserve"> et un patient </w:t>
      </w:r>
      <w:r w:rsidR="007D53EB" w:rsidRPr="007F7E5A">
        <w:rPr>
          <w:color w:val="FFC000"/>
        </w:rPr>
        <w:t>achète un ou plusieurs médicaments</w:t>
      </w:r>
      <w:r w:rsidR="007D53EB">
        <w:t>.</w:t>
      </w:r>
    </w:p>
    <w:p w14:paraId="27116519" w14:textId="77777777" w:rsidR="007D53EB" w:rsidRDefault="007D53EB" w:rsidP="00343E93">
      <w:pPr>
        <w:tabs>
          <w:tab w:val="left" w:pos="1032"/>
        </w:tabs>
        <w:jc w:val="both"/>
      </w:pPr>
      <w:r>
        <w:t xml:space="preserve">Les médicaments de la pharmacie sont fournis par </w:t>
      </w:r>
      <w:r w:rsidR="00473F8E">
        <w:t>des</w:t>
      </w:r>
      <w:r>
        <w:t xml:space="preserve"> fournisseurs. </w:t>
      </w:r>
    </w:p>
    <w:p w14:paraId="45CA16DD" w14:textId="4DD4F15F" w:rsidR="00CC1A77" w:rsidRDefault="007D53EB" w:rsidP="00CC1A77">
      <w:pPr>
        <w:tabs>
          <w:tab w:val="left" w:pos="1032"/>
        </w:tabs>
        <w:jc w:val="both"/>
      </w:pPr>
      <w:r>
        <w:t xml:space="preserve">Un fournisseur est caractérisé par son </w:t>
      </w:r>
      <w:r w:rsidRPr="007F7E5A">
        <w:rPr>
          <w:color w:val="0070C0"/>
        </w:rPr>
        <w:t>code du fournisseur</w:t>
      </w:r>
      <w:r>
        <w:t xml:space="preserve"> et le </w:t>
      </w:r>
      <w:r w:rsidRPr="007F7E5A">
        <w:rPr>
          <w:color w:val="0070C0"/>
        </w:rPr>
        <w:t>nom de la compagnie</w:t>
      </w:r>
      <w:r>
        <w:t>. Le code du fournisseur commence par la lettre F en majuscule suivie par cinq caractères alphanumériques.</w:t>
      </w:r>
      <w:r w:rsidR="00CC1A77">
        <w:t xml:space="preserve"> </w:t>
      </w:r>
      <w:r>
        <w:t xml:space="preserve">Le nom du fournisseur est composé d’un maximum de </w:t>
      </w:r>
      <w:r w:rsidR="00473F8E">
        <w:t>3</w:t>
      </w:r>
      <w:r>
        <w:t>0 caractères alphabétiques.</w:t>
      </w:r>
    </w:p>
    <w:p w14:paraId="74DBF73F" w14:textId="77777777" w:rsidR="002F19F3" w:rsidRDefault="007D53EB" w:rsidP="00CC1A77">
      <w:pPr>
        <w:tabs>
          <w:tab w:val="left" w:pos="1032"/>
        </w:tabs>
        <w:jc w:val="both"/>
      </w:pPr>
      <w:r>
        <w:t xml:space="preserve">Un fournisseur </w:t>
      </w:r>
      <w:r w:rsidRPr="007F7E5A">
        <w:rPr>
          <w:color w:val="FFC000"/>
        </w:rPr>
        <w:t>fournit un ou plusieurs médicaments</w:t>
      </w:r>
      <w:r>
        <w:t xml:space="preserve"> et un médicament est </w:t>
      </w:r>
      <w:r w:rsidRPr="007F7E5A">
        <w:rPr>
          <w:color w:val="FFC000"/>
        </w:rPr>
        <w:t>fourni par un seul fournisseur</w:t>
      </w:r>
      <w:r>
        <w:t>.</w:t>
      </w:r>
    </w:p>
    <w:p w14:paraId="35A9195C" w14:textId="77777777" w:rsidR="00BB38B9" w:rsidRDefault="00897426" w:rsidP="005E5613">
      <w:pPr>
        <w:pStyle w:val="Heading2"/>
      </w:pPr>
      <w:r>
        <w:t xml:space="preserve">Question: </w:t>
      </w:r>
    </w:p>
    <w:p w14:paraId="333EA06F" w14:textId="77777777" w:rsidR="00897426" w:rsidRDefault="00897426" w:rsidP="003A7DDE">
      <w:pPr>
        <w:jc w:val="both"/>
      </w:pPr>
      <w:r>
        <w:t xml:space="preserve">Élaborer </w:t>
      </w:r>
      <w:r w:rsidR="005E5613">
        <w:t>le</w:t>
      </w:r>
      <w:r>
        <w:t xml:space="preserve"> diagramme de classe UML</w:t>
      </w:r>
      <w:r w:rsidR="005E5613">
        <w:t xml:space="preserve"> correspondant à cet énoncé</w:t>
      </w:r>
      <w:r>
        <w:t>. Pour ce faire </w:t>
      </w:r>
      <w:r w:rsidR="005E5613">
        <w:t xml:space="preserve">il faudra </w:t>
      </w:r>
      <w:r>
        <w:t>:</w:t>
      </w:r>
    </w:p>
    <w:p w14:paraId="049D9D24" w14:textId="77777777" w:rsidR="00897426" w:rsidRDefault="00D96D2A" w:rsidP="00897426">
      <w:pPr>
        <w:pStyle w:val="ListParagraph"/>
        <w:numPr>
          <w:ilvl w:val="0"/>
          <w:numId w:val="1"/>
        </w:numPr>
      </w:pPr>
      <w:r>
        <w:t>Déterminer les classes candidates du</w:t>
      </w:r>
      <w:r w:rsidR="005E5613">
        <w:t xml:space="preserve"> d</w:t>
      </w:r>
      <w:r>
        <w:t>iagramme de classe</w:t>
      </w:r>
      <w:r w:rsidR="005E5613">
        <w:t>.</w:t>
      </w:r>
    </w:p>
    <w:p w14:paraId="2DA22740" w14:textId="77777777" w:rsidR="00D96D2A" w:rsidRDefault="00D96D2A" w:rsidP="00897426">
      <w:pPr>
        <w:pStyle w:val="ListParagraph"/>
        <w:numPr>
          <w:ilvl w:val="0"/>
          <w:numId w:val="1"/>
        </w:numPr>
      </w:pPr>
      <w:r>
        <w:t>Ajouter les attributs et les méthodes aux classes candidates</w:t>
      </w:r>
      <w:r w:rsidR="005E5613">
        <w:t>.</w:t>
      </w:r>
    </w:p>
    <w:p w14:paraId="40C88C6E" w14:textId="77777777" w:rsidR="00D96D2A" w:rsidRDefault="00D96D2A" w:rsidP="00897426">
      <w:pPr>
        <w:pStyle w:val="ListParagraph"/>
        <w:numPr>
          <w:ilvl w:val="0"/>
          <w:numId w:val="1"/>
        </w:numPr>
      </w:pPr>
      <w:r>
        <w:t>Représenter correctement l’héritage et les associations décrits dans l’énoncé</w:t>
      </w:r>
      <w:r w:rsidR="005E5613">
        <w:t>.</w:t>
      </w:r>
    </w:p>
    <w:p w14:paraId="68C02B0E" w14:textId="77777777" w:rsidR="005E5613" w:rsidRDefault="005E5613" w:rsidP="005E5613">
      <w:pPr>
        <w:ind w:left="360"/>
      </w:pPr>
    </w:p>
    <w:p w14:paraId="2F40A2C9" w14:textId="77777777" w:rsidR="005E5613" w:rsidRDefault="005E5613" w:rsidP="005E5613">
      <w:pPr>
        <w:pStyle w:val="ListParagraph"/>
      </w:pPr>
    </w:p>
    <w:p w14:paraId="5DB1C5AB" w14:textId="77777777" w:rsidR="00D96D2A" w:rsidRDefault="00D96D2A" w:rsidP="00D96D2A">
      <w:pPr>
        <w:pStyle w:val="ListParagraph"/>
      </w:pPr>
    </w:p>
    <w:p w14:paraId="07F92A5C" w14:textId="77777777" w:rsidR="00897426" w:rsidRDefault="00897426" w:rsidP="00720092"/>
    <w:p w14:paraId="7CDABAD9" w14:textId="77777777" w:rsidR="00BB38B9" w:rsidRDefault="00BB38B9" w:rsidP="00720092">
      <w:r>
        <w:t xml:space="preserve">    </w:t>
      </w:r>
    </w:p>
    <w:p w14:paraId="6E3F1635" w14:textId="77777777" w:rsidR="00720092" w:rsidRPr="00720092" w:rsidRDefault="00CF203A" w:rsidP="00720092">
      <w:r>
        <w:t xml:space="preserve"> </w:t>
      </w:r>
    </w:p>
    <w:p w14:paraId="0543E75E" w14:textId="77777777" w:rsidR="00720092" w:rsidRPr="00720092" w:rsidRDefault="00720092" w:rsidP="00720092"/>
    <w:p w14:paraId="190FBB38" w14:textId="77777777" w:rsidR="00720092" w:rsidRPr="00720092" w:rsidRDefault="00720092" w:rsidP="0072009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8E246B" w14:textId="77777777" w:rsidR="00720092" w:rsidRDefault="00720092"/>
    <w:p w14:paraId="6717E4E0" w14:textId="77777777" w:rsidR="00A01992" w:rsidRDefault="00A01992"/>
    <w:sectPr w:rsidR="00A01992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FF3C" w14:textId="77777777" w:rsidR="00CA1750" w:rsidRDefault="00CA1750" w:rsidP="00720092">
      <w:pPr>
        <w:spacing w:after="0" w:line="240" w:lineRule="auto"/>
      </w:pPr>
      <w:r>
        <w:separator/>
      </w:r>
    </w:p>
  </w:endnote>
  <w:endnote w:type="continuationSeparator" w:id="0">
    <w:p w14:paraId="02027E45" w14:textId="77777777" w:rsidR="00CA1750" w:rsidRDefault="00CA1750" w:rsidP="0072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3501361"/>
      <w:docPartObj>
        <w:docPartGallery w:val="Page Numbers (Bottom of Page)"/>
        <w:docPartUnique/>
      </w:docPartObj>
    </w:sdtPr>
    <w:sdtEndPr/>
    <w:sdtContent>
      <w:p w14:paraId="5E9815C2" w14:textId="77777777" w:rsidR="00D96D2A" w:rsidRDefault="00D96D2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B878D05" w14:textId="77777777" w:rsidR="00D96D2A" w:rsidRDefault="00D96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4722" w14:textId="77777777" w:rsidR="00CA1750" w:rsidRDefault="00CA1750" w:rsidP="00720092">
      <w:pPr>
        <w:spacing w:after="0" w:line="240" w:lineRule="auto"/>
      </w:pPr>
      <w:r>
        <w:separator/>
      </w:r>
    </w:p>
  </w:footnote>
  <w:footnote w:type="continuationSeparator" w:id="0">
    <w:p w14:paraId="00F88AEB" w14:textId="77777777" w:rsidR="00CA1750" w:rsidRDefault="00CA1750" w:rsidP="00720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10C3A" w14:textId="77777777" w:rsidR="00720092" w:rsidRDefault="00720092">
    <w:pPr>
      <w:pStyle w:val="Header"/>
    </w:pPr>
    <w:r>
      <w:t xml:space="preserve">Programmation </w:t>
    </w:r>
    <w:r w:rsidR="00E76F7D">
      <w:t>O</w:t>
    </w:r>
    <w:r>
      <w:t xml:space="preserve">rientée </w:t>
    </w:r>
    <w:r w:rsidR="00E76F7D">
      <w:t>O</w:t>
    </w:r>
    <w:r>
      <w:t>bjet</w:t>
    </w:r>
    <w:r>
      <w:tab/>
    </w:r>
    <w:r>
      <w:tab/>
      <w:t>Hasna Hocini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7676"/>
    <w:multiLevelType w:val="hybridMultilevel"/>
    <w:tmpl w:val="595440C0"/>
    <w:lvl w:ilvl="0" w:tplc="41F85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92"/>
    <w:rsid w:val="000272E5"/>
    <w:rsid w:val="000C452E"/>
    <w:rsid w:val="000E6D1D"/>
    <w:rsid w:val="0011149D"/>
    <w:rsid w:val="001248B5"/>
    <w:rsid w:val="00150E16"/>
    <w:rsid w:val="00190BA1"/>
    <w:rsid w:val="001A1EF4"/>
    <w:rsid w:val="002F19F3"/>
    <w:rsid w:val="00315E95"/>
    <w:rsid w:val="00343E93"/>
    <w:rsid w:val="003A7DDE"/>
    <w:rsid w:val="003C46B3"/>
    <w:rsid w:val="003F78DC"/>
    <w:rsid w:val="00401939"/>
    <w:rsid w:val="00473F8E"/>
    <w:rsid w:val="005C2F2F"/>
    <w:rsid w:val="005E5613"/>
    <w:rsid w:val="00664004"/>
    <w:rsid w:val="00720092"/>
    <w:rsid w:val="00761F00"/>
    <w:rsid w:val="007C0D86"/>
    <w:rsid w:val="007D53EB"/>
    <w:rsid w:val="007F7E5A"/>
    <w:rsid w:val="00897426"/>
    <w:rsid w:val="009210A9"/>
    <w:rsid w:val="00A01992"/>
    <w:rsid w:val="00AC4AB1"/>
    <w:rsid w:val="00BB38B9"/>
    <w:rsid w:val="00CA1750"/>
    <w:rsid w:val="00CC1A77"/>
    <w:rsid w:val="00CF203A"/>
    <w:rsid w:val="00D96D2A"/>
    <w:rsid w:val="00DD5B51"/>
    <w:rsid w:val="00E43142"/>
    <w:rsid w:val="00E76F7D"/>
    <w:rsid w:val="00EA54CD"/>
    <w:rsid w:val="00F1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E759"/>
  <w15:chartTrackingRefBased/>
  <w15:docId w15:val="{EAEAE121-2105-430F-901D-58CBF1DC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0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200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092"/>
  </w:style>
  <w:style w:type="paragraph" w:styleId="Footer">
    <w:name w:val="footer"/>
    <w:basedOn w:val="Normal"/>
    <w:link w:val="FooterChar"/>
    <w:uiPriority w:val="99"/>
    <w:unhideWhenUsed/>
    <w:rsid w:val="007200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092"/>
  </w:style>
  <w:style w:type="character" w:customStyle="1" w:styleId="Heading1Char">
    <w:name w:val="Heading 1 Char"/>
    <w:basedOn w:val="DefaultParagraphFont"/>
    <w:link w:val="Heading1"/>
    <w:uiPriority w:val="9"/>
    <w:rsid w:val="00720092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8974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43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snaHoci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Hocini</dc:creator>
  <cp:keywords/>
  <dc:description/>
  <cp:lastModifiedBy>Darren Qu</cp:lastModifiedBy>
  <cp:revision>12</cp:revision>
  <dcterms:created xsi:type="dcterms:W3CDTF">2023-05-11T04:03:00Z</dcterms:created>
  <dcterms:modified xsi:type="dcterms:W3CDTF">2024-05-11T18:07:00Z</dcterms:modified>
</cp:coreProperties>
</file>