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Link: 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https://v4e038.vfe.sas.com/links/resources/report?uri=%2Freports%2Freports%2F5447d59a-27c4-4bed-a476-32b2a3130574&amp;page=vi6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Exercise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0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C.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the Data pane on the left of the canvas (if it is not open) and answer below questions: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1) Which level of the Status Category 96NK variable has the highest count?</w:t>
      </w:r>
      <w:r w:rsidDel="00000000" w:rsidR="00000000" w:rsidRPr="00000000">
        <w:rPr>
          <w:b w:val="1"/>
          <w:highlight w:val="yellow"/>
          <w:rtl w:val="0"/>
        </w:rPr>
        <w:t xml:space="preserve"> A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Does the variable Age contain any missing values? </w:t>
      </w:r>
      <w:r w:rsidDel="00000000" w:rsidR="00000000" w:rsidRPr="00000000">
        <w:rPr>
          <w:b w:val="1"/>
          <w:highlight w:val="yellow"/>
          <w:rtl w:val="0"/>
        </w:rPr>
        <w:t xml:space="preserve">Yes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226600</wp:posOffset>
            </wp:positionV>
            <wp:extent cx="5405438" cy="2526646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526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D.</w:t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Answer these below questions:</w:t>
      </w:r>
    </w:p>
    <w:p w:rsidR="00000000" w:rsidDel="00000000" w:rsidP="00000000" w:rsidRDefault="00000000" w:rsidRPr="00000000" w14:paraId="00000023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1) How are responders and non-responders distributed in the data?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Responders dan non responder terbagi rata dengan frekuensi 53,273</w:t>
      </w:r>
    </w:p>
    <w:p w:rsidR="00000000" w:rsidDel="00000000" w:rsidP="00000000" w:rsidRDefault="00000000" w:rsidRPr="00000000" w14:paraId="00000024">
      <w:pPr>
        <w:ind w:left="0" w:firstLine="72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2) How many females responded to the campaign? </w:t>
      </w:r>
      <w:r w:rsidDel="00000000" w:rsidR="00000000" w:rsidRPr="00000000">
        <w:rPr>
          <w:highlight w:val="yellow"/>
          <w:rtl w:val="0"/>
        </w:rPr>
        <w:t xml:space="preserve">28,699 responds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v4e038.vfe.sas.com/links/resources/report?uri=%2Freports%2Freports%2F5447d59a-27c4-4bed-a476-32b2a3130574&amp;page=vi6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