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64367" w14:textId="77777777" w:rsidR="009E62EE" w:rsidRDefault="009E62EE">
      <w:pPr>
        <w:rPr>
          <w:rFonts w:eastAsiaTheme="majorEastAsia" w:cstheme="majorBidi"/>
          <w:color w:val="2F5496" w:themeColor="accent1" w:themeShade="BF"/>
          <w:sz w:val="32"/>
          <w:szCs w:val="32"/>
        </w:rPr>
      </w:pPr>
      <w:r>
        <w:br w:type="page"/>
      </w:r>
      <w:bookmarkStart w:id="0" w:name="_GoBack"/>
      <w:bookmarkEnd w:id="0"/>
    </w:p>
    <w:p w14:paraId="4055F749" w14:textId="0EA366AA" w:rsidR="005F66DA" w:rsidRDefault="00156D3B" w:rsidP="001F5F80">
      <w:pPr>
        <w:pStyle w:val="Heading1"/>
      </w:pPr>
      <w:r w:rsidRPr="000E4787">
        <w:lastRenderedPageBreak/>
        <w:t>Overview</w:t>
      </w:r>
    </w:p>
    <w:p w14:paraId="0C5B43EC" w14:textId="6AC56E4B" w:rsidR="000549CC" w:rsidRDefault="000549CC" w:rsidP="000549CC">
      <w:r w:rsidRPr="000E4787">
        <w:t>This report summarizes the findings and analysis activities of a brief study intended to examine the feasibility of predicting student ensemble placement categories using a set of audition scores obtained prior to fall ensemble auditions.</w:t>
      </w:r>
    </w:p>
    <w:p w14:paraId="06173A95" w14:textId="77777777" w:rsidR="00C4207E" w:rsidRDefault="005D2454" w:rsidP="000549CC">
      <w:r>
        <w:t xml:space="preserve">The main findings of this study </w:t>
      </w:r>
      <w:r w:rsidR="00F31597">
        <w:t xml:space="preserve">suggest that, while the prediction models examined exhibited some shortcomings, it is likely that additional data and analyses </w:t>
      </w:r>
      <w:r w:rsidR="00DE44CB">
        <w:t xml:space="preserve">will </w:t>
      </w:r>
      <w:r w:rsidR="00F31597">
        <w:t xml:space="preserve">produce prediction models that </w:t>
      </w:r>
      <w:r w:rsidR="00DE44CB">
        <w:t>c</w:t>
      </w:r>
      <w:r w:rsidR="00F31597">
        <w:t>ould be useful for informing ensemble placements for a large proportion of students.</w:t>
      </w:r>
    </w:p>
    <w:p w14:paraId="0106B205" w14:textId="5DDD190F" w:rsidR="00DE44CB" w:rsidRPr="000549CC" w:rsidRDefault="00C4207E" w:rsidP="000549CC">
      <w:r>
        <w:t>However, a non-trivial number of substantive and policy questions should be resolved before operationalizing a statistical prediction system.  Additionally, supplemental analyses revealed some potential statistical issues that should be addressed as part of the development of an operational model.</w:t>
      </w:r>
    </w:p>
    <w:p w14:paraId="1C3D9F85" w14:textId="365BC364" w:rsidR="00A1031A" w:rsidRDefault="00A1031A" w:rsidP="003148F7">
      <w:pPr>
        <w:pStyle w:val="Heading2"/>
      </w:pPr>
      <w:r>
        <w:t>Methodological Approach</w:t>
      </w:r>
    </w:p>
    <w:p w14:paraId="03BC2F57" w14:textId="3A37E41A" w:rsidR="00452BF6" w:rsidRDefault="00C14E05" w:rsidP="00A1031A">
      <w:r>
        <w:t xml:space="preserve">The main analysis activities for this study </w:t>
      </w:r>
      <w:r w:rsidR="00AB0A2A">
        <w:t>can be seen</w:t>
      </w:r>
      <w:r>
        <w:t xml:space="preserve"> an iterative process, as </w:t>
      </w:r>
      <w:r w:rsidR="00AB0A2A">
        <w:t xml:space="preserve">illustrated </w:t>
      </w:r>
      <w:r>
        <w:t xml:space="preserve">in the shaded boxes below.  A model is selected and fit to the data, predictions </w:t>
      </w:r>
      <w:r w:rsidR="00FC2FF1">
        <w:t>a</w:t>
      </w:r>
      <w:r>
        <w:t xml:space="preserve">re produced from the model, and the prediction results </w:t>
      </w:r>
      <w:r w:rsidR="00FC2FF1">
        <w:t>a</w:t>
      </w:r>
      <w:r>
        <w:t>re evaluated.  After evaluation, the model is refined, by changing parameters, input variables, model type, or a combination of the three, and the process is repeated</w:t>
      </w:r>
      <w:r w:rsidR="00991978">
        <w:t xml:space="preserve"> until some set of criteria are satisfied</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14E05" w14:paraId="0ADE0B67" w14:textId="77777777" w:rsidTr="00970675">
        <w:trPr>
          <w:jc w:val="center"/>
        </w:trPr>
        <w:tc>
          <w:tcPr>
            <w:tcW w:w="9350" w:type="dxa"/>
          </w:tcPr>
          <w:p w14:paraId="4B4756E9" w14:textId="59CA8A8B" w:rsidR="00C14E05" w:rsidRDefault="00C14E05" w:rsidP="00452BF6">
            <w:r w:rsidRPr="00C14E05">
              <w:rPr>
                <w:i/>
                <w:iCs/>
              </w:rPr>
              <w:t>Figure 1</w:t>
            </w:r>
            <w:r>
              <w:t>.  Iterative process for statistical prediction modeling.</w:t>
            </w:r>
          </w:p>
        </w:tc>
      </w:tr>
      <w:tr w:rsidR="00C14E05" w14:paraId="4F394539" w14:textId="77777777" w:rsidTr="00970675">
        <w:trPr>
          <w:jc w:val="center"/>
        </w:trPr>
        <w:tc>
          <w:tcPr>
            <w:tcW w:w="9350" w:type="dxa"/>
          </w:tcPr>
          <w:p w14:paraId="03683155" w14:textId="52D2CD51" w:rsidR="00C14E05" w:rsidRDefault="00C14E05" w:rsidP="00C14E05">
            <w:pPr>
              <w:jc w:val="center"/>
            </w:pPr>
            <w:r>
              <w:rPr>
                <w:noProof/>
              </w:rPr>
              <w:drawing>
                <wp:inline distT="0" distB="0" distL="0" distR="0" wp14:anchorId="7C1B803A" wp14:editId="46132F2D">
                  <wp:extent cx="59436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tc>
      </w:tr>
    </w:tbl>
    <w:p w14:paraId="7B5C3A1E" w14:textId="458E3298" w:rsidR="00C14E05" w:rsidRDefault="00970675" w:rsidP="00452BF6">
      <w:r>
        <w:t>More than 30 models were attempted as part of this study, of which 1</w:t>
      </w:r>
      <w:r w:rsidR="00E35DF8">
        <w:t>4</w:t>
      </w:r>
      <w:r>
        <w:t xml:space="preserve"> are described and presented in this report.</w:t>
      </w:r>
      <w:r w:rsidR="003124B4">
        <w:t xml:space="preserve">  The models were selected to illustrate a range of methods (simple to moderately complex) and prediction outcomes (poor to moderate accuracy)</w:t>
      </w:r>
      <w:r w:rsidR="00E35DF8">
        <w:t>.</w:t>
      </w:r>
    </w:p>
    <w:p w14:paraId="7B37CA61" w14:textId="314F0AAC" w:rsidR="003148F7" w:rsidRDefault="003148F7" w:rsidP="003148F7">
      <w:pPr>
        <w:pStyle w:val="Heading2"/>
      </w:pPr>
      <w:r>
        <w:t>Key Results</w:t>
      </w:r>
    </w:p>
    <w:p w14:paraId="1E411876" w14:textId="36C7B12B" w:rsidR="00E35DF8" w:rsidRDefault="00B563CD" w:rsidP="00452BF6">
      <w:r>
        <w:t xml:space="preserve">Models were evaluated based on an array of accuracy statistics and an examination of overfitting.  While many subjective decisions are typically required to choose a “best” model, one model that showed promise was an ordered </w:t>
      </w:r>
      <w:proofErr w:type="spellStart"/>
      <w:r>
        <w:t>probit</w:t>
      </w:r>
      <w:proofErr w:type="spellEnd"/>
      <w:r>
        <w:t xml:space="preserve"> model with polynomial predictors.  Selected results from this model are shown in Table 1.</w:t>
      </w:r>
    </w:p>
    <w:tbl>
      <w:tblPr>
        <w:tblW w:w="4680" w:type="dxa"/>
        <w:jc w:val="center"/>
        <w:tblLook w:val="04A0" w:firstRow="1" w:lastRow="0" w:firstColumn="1" w:lastColumn="0" w:noHBand="0" w:noVBand="1"/>
      </w:tblPr>
      <w:tblGrid>
        <w:gridCol w:w="960"/>
        <w:gridCol w:w="1650"/>
        <w:gridCol w:w="270"/>
        <w:gridCol w:w="1800"/>
      </w:tblGrid>
      <w:tr w:rsidR="00B563CD" w:rsidRPr="00B563CD" w14:paraId="0050FB48" w14:textId="77777777" w:rsidTr="00DD333B">
        <w:trPr>
          <w:trHeight w:val="660"/>
          <w:jc w:val="center"/>
        </w:trPr>
        <w:tc>
          <w:tcPr>
            <w:tcW w:w="4680" w:type="dxa"/>
            <w:gridSpan w:val="4"/>
            <w:tcBorders>
              <w:top w:val="nil"/>
              <w:left w:val="nil"/>
              <w:bottom w:val="single" w:sz="4" w:space="0" w:color="auto"/>
              <w:right w:val="nil"/>
            </w:tcBorders>
            <w:shd w:val="clear" w:color="auto" w:fill="auto"/>
            <w:noWrap/>
            <w:vAlign w:val="bottom"/>
          </w:tcPr>
          <w:p w14:paraId="4F68BE15" w14:textId="1EAD7FAA" w:rsidR="00B563CD" w:rsidRPr="00B563CD" w:rsidRDefault="00B563CD" w:rsidP="00B563CD">
            <w:pPr>
              <w:spacing w:after="0" w:line="240" w:lineRule="auto"/>
              <w:rPr>
                <w:rFonts w:eastAsia="Times New Roman" w:cs="Calibri"/>
              </w:rPr>
            </w:pPr>
            <w:r w:rsidRPr="00E85815">
              <w:rPr>
                <w:rFonts w:eastAsia="Times New Roman" w:cs="Calibri"/>
                <w:i/>
                <w:iCs/>
              </w:rPr>
              <w:t>Table 1</w:t>
            </w:r>
            <w:r>
              <w:rPr>
                <w:rFonts w:eastAsia="Times New Roman" w:cs="Calibri"/>
              </w:rPr>
              <w:t>.</w:t>
            </w:r>
            <w:r w:rsidR="00E85815">
              <w:rPr>
                <w:rFonts w:eastAsia="Times New Roman" w:cs="Calibri"/>
              </w:rPr>
              <w:t xml:space="preserve">  “Within-</w:t>
            </w:r>
            <w:r w:rsidR="00D56918">
              <w:rPr>
                <w:rFonts w:eastAsia="Times New Roman" w:cs="Calibri"/>
              </w:rPr>
              <w:t>one</w:t>
            </w:r>
            <w:r w:rsidR="00E85815">
              <w:rPr>
                <w:rFonts w:eastAsia="Times New Roman" w:cs="Calibri"/>
              </w:rPr>
              <w:t xml:space="preserve">” recall rates and weighted </w:t>
            </w:r>
            <w:r w:rsidR="00E85815" w:rsidRPr="0056248F">
              <w:rPr>
                <w:rFonts w:eastAsia="Times New Roman" w:cs="Calibri"/>
                <w:i/>
                <w:iCs/>
              </w:rPr>
              <w:t>kappa</w:t>
            </w:r>
            <w:r w:rsidR="00E85815">
              <w:rPr>
                <w:rFonts w:eastAsia="Times New Roman" w:cs="Calibri"/>
              </w:rPr>
              <w:t xml:space="preserve"> for ordered </w:t>
            </w:r>
            <w:proofErr w:type="spellStart"/>
            <w:r w:rsidR="00E85815">
              <w:rPr>
                <w:rFonts w:eastAsia="Times New Roman" w:cs="Calibri"/>
              </w:rPr>
              <w:t>probit</w:t>
            </w:r>
            <w:proofErr w:type="spellEnd"/>
            <w:r w:rsidR="00E85815">
              <w:rPr>
                <w:rFonts w:eastAsia="Times New Roman" w:cs="Calibri"/>
              </w:rPr>
              <w:t xml:space="preserve"> prediction model with polynomial predict</w:t>
            </w:r>
            <w:r w:rsidR="001B6315">
              <w:rPr>
                <w:rFonts w:eastAsia="Times New Roman" w:cs="Calibri"/>
              </w:rPr>
              <w:t>or</w:t>
            </w:r>
            <w:r w:rsidR="00E85815">
              <w:rPr>
                <w:rFonts w:eastAsia="Times New Roman" w:cs="Calibri"/>
              </w:rPr>
              <w:t>s.</w:t>
            </w:r>
          </w:p>
        </w:tc>
      </w:tr>
      <w:tr w:rsidR="00B563CD" w:rsidRPr="00B563CD" w14:paraId="3DAA098D" w14:textId="77777777" w:rsidTr="00DD333B">
        <w:trPr>
          <w:trHeight w:val="278"/>
          <w:jc w:val="center"/>
        </w:trPr>
        <w:tc>
          <w:tcPr>
            <w:tcW w:w="960" w:type="dxa"/>
            <w:tcBorders>
              <w:top w:val="nil"/>
              <w:left w:val="nil"/>
              <w:bottom w:val="single" w:sz="4" w:space="0" w:color="auto"/>
              <w:right w:val="nil"/>
            </w:tcBorders>
            <w:shd w:val="clear" w:color="auto" w:fill="auto"/>
            <w:noWrap/>
            <w:vAlign w:val="bottom"/>
            <w:hideMark/>
          </w:tcPr>
          <w:p w14:paraId="25BCE10F"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Rating</w:t>
            </w:r>
          </w:p>
        </w:tc>
        <w:tc>
          <w:tcPr>
            <w:tcW w:w="1650" w:type="dxa"/>
            <w:tcBorders>
              <w:top w:val="nil"/>
              <w:left w:val="nil"/>
              <w:bottom w:val="single" w:sz="4" w:space="0" w:color="auto"/>
              <w:right w:val="nil"/>
            </w:tcBorders>
            <w:shd w:val="clear" w:color="auto" w:fill="auto"/>
            <w:vAlign w:val="bottom"/>
            <w:hideMark/>
          </w:tcPr>
          <w:p w14:paraId="5A12BE16"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Full sample</w:t>
            </w:r>
          </w:p>
        </w:tc>
        <w:tc>
          <w:tcPr>
            <w:tcW w:w="270" w:type="dxa"/>
            <w:tcBorders>
              <w:top w:val="nil"/>
              <w:left w:val="nil"/>
              <w:bottom w:val="single" w:sz="4" w:space="0" w:color="auto"/>
              <w:right w:val="nil"/>
            </w:tcBorders>
            <w:shd w:val="clear" w:color="auto" w:fill="auto"/>
            <w:noWrap/>
            <w:vAlign w:val="bottom"/>
            <w:hideMark/>
          </w:tcPr>
          <w:p w14:paraId="1C133054" w14:textId="77777777" w:rsidR="00B563CD" w:rsidRPr="00B563CD" w:rsidRDefault="00B563CD" w:rsidP="00B563CD">
            <w:pPr>
              <w:spacing w:after="0" w:line="240" w:lineRule="auto"/>
              <w:rPr>
                <w:rFonts w:eastAsia="Times New Roman" w:cs="Calibri"/>
              </w:rPr>
            </w:pPr>
            <w:r w:rsidRPr="00B563CD">
              <w:rPr>
                <w:rFonts w:eastAsia="Times New Roman" w:cs="Calibri"/>
              </w:rPr>
              <w:t> </w:t>
            </w:r>
          </w:p>
        </w:tc>
        <w:tc>
          <w:tcPr>
            <w:tcW w:w="1800" w:type="dxa"/>
            <w:tcBorders>
              <w:top w:val="nil"/>
              <w:left w:val="nil"/>
              <w:bottom w:val="single" w:sz="4" w:space="0" w:color="auto"/>
              <w:right w:val="nil"/>
            </w:tcBorders>
            <w:shd w:val="clear" w:color="auto" w:fill="auto"/>
            <w:vAlign w:val="bottom"/>
            <w:hideMark/>
          </w:tcPr>
          <w:p w14:paraId="2731D44B"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Cross-validated</w:t>
            </w:r>
          </w:p>
        </w:tc>
      </w:tr>
      <w:tr w:rsidR="00B563CD" w:rsidRPr="00B563CD" w14:paraId="31360844"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3F3D4AED"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1</w:t>
            </w:r>
          </w:p>
        </w:tc>
        <w:tc>
          <w:tcPr>
            <w:tcW w:w="1650" w:type="dxa"/>
            <w:tcBorders>
              <w:top w:val="nil"/>
              <w:left w:val="nil"/>
              <w:bottom w:val="nil"/>
              <w:right w:val="nil"/>
            </w:tcBorders>
            <w:shd w:val="clear" w:color="auto" w:fill="auto"/>
            <w:noWrap/>
            <w:vAlign w:val="bottom"/>
            <w:hideMark/>
          </w:tcPr>
          <w:p w14:paraId="2D7044BC"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94.8%</w:t>
            </w:r>
          </w:p>
        </w:tc>
        <w:tc>
          <w:tcPr>
            <w:tcW w:w="270" w:type="dxa"/>
            <w:tcBorders>
              <w:top w:val="nil"/>
              <w:left w:val="nil"/>
              <w:bottom w:val="nil"/>
              <w:right w:val="nil"/>
            </w:tcBorders>
            <w:shd w:val="clear" w:color="auto" w:fill="auto"/>
            <w:noWrap/>
            <w:vAlign w:val="bottom"/>
            <w:hideMark/>
          </w:tcPr>
          <w:p w14:paraId="4709A395"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57D56950"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94.6%</w:t>
            </w:r>
          </w:p>
        </w:tc>
      </w:tr>
      <w:tr w:rsidR="00B563CD" w:rsidRPr="00B563CD" w14:paraId="1AF6B9A3"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00E7E941"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lastRenderedPageBreak/>
              <w:t>2</w:t>
            </w:r>
          </w:p>
        </w:tc>
        <w:tc>
          <w:tcPr>
            <w:tcW w:w="1650" w:type="dxa"/>
            <w:tcBorders>
              <w:top w:val="nil"/>
              <w:left w:val="nil"/>
              <w:bottom w:val="nil"/>
              <w:right w:val="nil"/>
            </w:tcBorders>
            <w:shd w:val="clear" w:color="auto" w:fill="auto"/>
            <w:noWrap/>
            <w:vAlign w:val="bottom"/>
            <w:hideMark/>
          </w:tcPr>
          <w:p w14:paraId="5BEC2034"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99.1%</w:t>
            </w:r>
          </w:p>
        </w:tc>
        <w:tc>
          <w:tcPr>
            <w:tcW w:w="270" w:type="dxa"/>
            <w:tcBorders>
              <w:top w:val="nil"/>
              <w:left w:val="nil"/>
              <w:bottom w:val="nil"/>
              <w:right w:val="nil"/>
            </w:tcBorders>
            <w:shd w:val="clear" w:color="auto" w:fill="auto"/>
            <w:noWrap/>
            <w:vAlign w:val="bottom"/>
            <w:hideMark/>
          </w:tcPr>
          <w:p w14:paraId="0C9C5093"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63CBC2A2"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99.1%</w:t>
            </w:r>
          </w:p>
        </w:tc>
      </w:tr>
      <w:tr w:rsidR="00B563CD" w:rsidRPr="00B563CD" w14:paraId="4F8B173A"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063C7491"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3</w:t>
            </w:r>
          </w:p>
        </w:tc>
        <w:tc>
          <w:tcPr>
            <w:tcW w:w="1650" w:type="dxa"/>
            <w:tcBorders>
              <w:top w:val="nil"/>
              <w:left w:val="nil"/>
              <w:bottom w:val="nil"/>
              <w:right w:val="nil"/>
            </w:tcBorders>
            <w:shd w:val="clear" w:color="auto" w:fill="auto"/>
            <w:noWrap/>
            <w:vAlign w:val="bottom"/>
            <w:hideMark/>
          </w:tcPr>
          <w:p w14:paraId="585083B0"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97.2%</w:t>
            </w:r>
          </w:p>
        </w:tc>
        <w:tc>
          <w:tcPr>
            <w:tcW w:w="270" w:type="dxa"/>
            <w:tcBorders>
              <w:top w:val="nil"/>
              <w:left w:val="nil"/>
              <w:bottom w:val="nil"/>
              <w:right w:val="nil"/>
            </w:tcBorders>
            <w:shd w:val="clear" w:color="auto" w:fill="auto"/>
            <w:noWrap/>
            <w:vAlign w:val="bottom"/>
            <w:hideMark/>
          </w:tcPr>
          <w:p w14:paraId="23D8ECCD"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54014399"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97.2%</w:t>
            </w:r>
          </w:p>
        </w:tc>
      </w:tr>
      <w:tr w:rsidR="00B563CD" w:rsidRPr="00B563CD" w14:paraId="1E8D580C"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2606F353"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4</w:t>
            </w:r>
          </w:p>
        </w:tc>
        <w:tc>
          <w:tcPr>
            <w:tcW w:w="1650" w:type="dxa"/>
            <w:tcBorders>
              <w:top w:val="nil"/>
              <w:left w:val="nil"/>
              <w:bottom w:val="nil"/>
              <w:right w:val="nil"/>
            </w:tcBorders>
            <w:shd w:val="clear" w:color="auto" w:fill="auto"/>
            <w:noWrap/>
            <w:vAlign w:val="bottom"/>
            <w:hideMark/>
          </w:tcPr>
          <w:p w14:paraId="73B1762A"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77.2%</w:t>
            </w:r>
          </w:p>
        </w:tc>
        <w:tc>
          <w:tcPr>
            <w:tcW w:w="270" w:type="dxa"/>
            <w:tcBorders>
              <w:top w:val="nil"/>
              <w:left w:val="nil"/>
              <w:bottom w:val="nil"/>
              <w:right w:val="nil"/>
            </w:tcBorders>
            <w:shd w:val="clear" w:color="auto" w:fill="auto"/>
            <w:noWrap/>
            <w:vAlign w:val="bottom"/>
            <w:hideMark/>
          </w:tcPr>
          <w:p w14:paraId="7A0F203E"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3154D573"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77.0%</w:t>
            </w:r>
          </w:p>
        </w:tc>
      </w:tr>
      <w:tr w:rsidR="00B563CD" w:rsidRPr="00B563CD" w14:paraId="63D82B73"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2F7791D6"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5</w:t>
            </w:r>
          </w:p>
        </w:tc>
        <w:tc>
          <w:tcPr>
            <w:tcW w:w="1650" w:type="dxa"/>
            <w:tcBorders>
              <w:top w:val="nil"/>
              <w:left w:val="nil"/>
              <w:bottom w:val="nil"/>
              <w:right w:val="nil"/>
            </w:tcBorders>
            <w:shd w:val="clear" w:color="auto" w:fill="auto"/>
            <w:noWrap/>
            <w:vAlign w:val="bottom"/>
            <w:hideMark/>
          </w:tcPr>
          <w:p w14:paraId="1922918A"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48.1%</w:t>
            </w:r>
          </w:p>
        </w:tc>
        <w:tc>
          <w:tcPr>
            <w:tcW w:w="270" w:type="dxa"/>
            <w:tcBorders>
              <w:top w:val="nil"/>
              <w:left w:val="nil"/>
              <w:bottom w:val="nil"/>
              <w:right w:val="nil"/>
            </w:tcBorders>
            <w:shd w:val="clear" w:color="auto" w:fill="auto"/>
            <w:noWrap/>
            <w:vAlign w:val="bottom"/>
            <w:hideMark/>
          </w:tcPr>
          <w:p w14:paraId="5E3629F5"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5EF47923"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47.6%</w:t>
            </w:r>
          </w:p>
        </w:tc>
      </w:tr>
      <w:tr w:rsidR="00B563CD" w:rsidRPr="00B563CD" w14:paraId="123DF102"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7707BEA7"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6</w:t>
            </w:r>
          </w:p>
        </w:tc>
        <w:tc>
          <w:tcPr>
            <w:tcW w:w="1650" w:type="dxa"/>
            <w:tcBorders>
              <w:top w:val="nil"/>
              <w:left w:val="nil"/>
              <w:bottom w:val="nil"/>
              <w:right w:val="nil"/>
            </w:tcBorders>
            <w:shd w:val="clear" w:color="auto" w:fill="auto"/>
            <w:noWrap/>
            <w:vAlign w:val="bottom"/>
            <w:hideMark/>
          </w:tcPr>
          <w:p w14:paraId="7F2A11BD"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27.3%</w:t>
            </w:r>
          </w:p>
        </w:tc>
        <w:tc>
          <w:tcPr>
            <w:tcW w:w="270" w:type="dxa"/>
            <w:tcBorders>
              <w:top w:val="nil"/>
              <w:left w:val="nil"/>
              <w:bottom w:val="nil"/>
              <w:right w:val="nil"/>
            </w:tcBorders>
            <w:shd w:val="clear" w:color="auto" w:fill="auto"/>
            <w:noWrap/>
            <w:vAlign w:val="bottom"/>
            <w:hideMark/>
          </w:tcPr>
          <w:p w14:paraId="0BF77048"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2E9B2DEF"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25.8%</w:t>
            </w:r>
          </w:p>
        </w:tc>
      </w:tr>
      <w:tr w:rsidR="00B563CD" w:rsidRPr="00B563CD" w14:paraId="078B1DD6" w14:textId="77777777" w:rsidTr="00DD333B">
        <w:trPr>
          <w:trHeight w:val="300"/>
          <w:jc w:val="center"/>
        </w:trPr>
        <w:tc>
          <w:tcPr>
            <w:tcW w:w="960" w:type="dxa"/>
            <w:tcBorders>
              <w:top w:val="nil"/>
              <w:left w:val="nil"/>
              <w:right w:val="nil"/>
            </w:tcBorders>
            <w:shd w:val="clear" w:color="auto" w:fill="auto"/>
            <w:noWrap/>
            <w:vAlign w:val="bottom"/>
            <w:hideMark/>
          </w:tcPr>
          <w:p w14:paraId="6D53A2A1" w14:textId="77777777" w:rsidR="00B563CD" w:rsidRPr="00B563CD" w:rsidRDefault="00B563CD" w:rsidP="00B563CD">
            <w:pPr>
              <w:spacing w:after="0" w:line="240" w:lineRule="auto"/>
              <w:jc w:val="center"/>
              <w:rPr>
                <w:rFonts w:eastAsia="Times New Roman" w:cs="Calibri"/>
              </w:rPr>
            </w:pPr>
          </w:p>
        </w:tc>
        <w:tc>
          <w:tcPr>
            <w:tcW w:w="1650" w:type="dxa"/>
            <w:tcBorders>
              <w:top w:val="nil"/>
              <w:left w:val="nil"/>
              <w:right w:val="nil"/>
            </w:tcBorders>
            <w:shd w:val="clear" w:color="auto" w:fill="auto"/>
            <w:noWrap/>
            <w:vAlign w:val="bottom"/>
            <w:hideMark/>
          </w:tcPr>
          <w:p w14:paraId="3C92F093" w14:textId="77777777" w:rsidR="00B563CD" w:rsidRPr="00B563CD" w:rsidRDefault="00B563CD" w:rsidP="00B563CD">
            <w:pPr>
              <w:spacing w:after="0" w:line="240" w:lineRule="auto"/>
              <w:rPr>
                <w:rFonts w:ascii="Times New Roman" w:eastAsia="Times New Roman" w:hAnsi="Times New Roman" w:cs="Times New Roman"/>
                <w:sz w:val="20"/>
                <w:szCs w:val="20"/>
              </w:rPr>
            </w:pPr>
          </w:p>
        </w:tc>
        <w:tc>
          <w:tcPr>
            <w:tcW w:w="270" w:type="dxa"/>
            <w:tcBorders>
              <w:top w:val="nil"/>
              <w:left w:val="nil"/>
              <w:right w:val="nil"/>
            </w:tcBorders>
            <w:shd w:val="clear" w:color="auto" w:fill="auto"/>
            <w:noWrap/>
            <w:vAlign w:val="bottom"/>
            <w:hideMark/>
          </w:tcPr>
          <w:p w14:paraId="6C241B6E" w14:textId="77777777" w:rsidR="00B563CD" w:rsidRPr="00B563CD" w:rsidRDefault="00B563CD" w:rsidP="00B563CD">
            <w:pPr>
              <w:spacing w:after="0" w:line="240" w:lineRule="auto"/>
              <w:jc w:val="center"/>
              <w:rPr>
                <w:rFonts w:ascii="Times New Roman" w:eastAsia="Times New Roman" w:hAnsi="Times New Roman" w:cs="Times New Roman"/>
                <w:sz w:val="20"/>
                <w:szCs w:val="20"/>
              </w:rPr>
            </w:pPr>
          </w:p>
        </w:tc>
        <w:tc>
          <w:tcPr>
            <w:tcW w:w="1800" w:type="dxa"/>
            <w:tcBorders>
              <w:top w:val="nil"/>
              <w:left w:val="nil"/>
              <w:right w:val="nil"/>
            </w:tcBorders>
            <w:shd w:val="clear" w:color="auto" w:fill="auto"/>
            <w:noWrap/>
            <w:vAlign w:val="bottom"/>
            <w:hideMark/>
          </w:tcPr>
          <w:p w14:paraId="403D379B" w14:textId="77777777" w:rsidR="00B563CD" w:rsidRPr="00B563CD" w:rsidRDefault="00B563CD" w:rsidP="00B563CD">
            <w:pPr>
              <w:spacing w:after="0" w:line="240" w:lineRule="auto"/>
              <w:rPr>
                <w:rFonts w:ascii="Times New Roman" w:eastAsia="Times New Roman" w:hAnsi="Times New Roman" w:cs="Times New Roman"/>
                <w:sz w:val="20"/>
                <w:szCs w:val="20"/>
              </w:rPr>
            </w:pPr>
          </w:p>
        </w:tc>
      </w:tr>
      <w:tr w:rsidR="00E85815" w:rsidRPr="00B563CD" w14:paraId="469E86BD" w14:textId="77777777" w:rsidTr="00DD333B">
        <w:trPr>
          <w:trHeight w:val="300"/>
          <w:jc w:val="center"/>
        </w:trPr>
        <w:tc>
          <w:tcPr>
            <w:tcW w:w="960" w:type="dxa"/>
            <w:tcBorders>
              <w:top w:val="nil"/>
              <w:left w:val="nil"/>
              <w:bottom w:val="single" w:sz="4" w:space="0" w:color="auto"/>
              <w:right w:val="nil"/>
            </w:tcBorders>
            <w:shd w:val="clear" w:color="auto" w:fill="auto"/>
            <w:noWrap/>
            <w:vAlign w:val="bottom"/>
            <w:hideMark/>
          </w:tcPr>
          <w:p w14:paraId="7F045D20" w14:textId="581D4DA8" w:rsidR="00B563CD" w:rsidRPr="00B563CD" w:rsidRDefault="000D692B" w:rsidP="00B563CD">
            <w:pPr>
              <w:spacing w:after="0" w:line="240" w:lineRule="auto"/>
              <w:jc w:val="right"/>
              <w:rPr>
                <w:rFonts w:eastAsia="Times New Roman" w:cs="Calibri"/>
                <w:i/>
                <w:iCs/>
              </w:rPr>
            </w:pPr>
            <w:r>
              <w:rPr>
                <w:rFonts w:eastAsia="Times New Roman" w:cs="Calibri"/>
                <w:i/>
                <w:iCs/>
              </w:rPr>
              <w:t>kappa</w:t>
            </w:r>
          </w:p>
        </w:tc>
        <w:tc>
          <w:tcPr>
            <w:tcW w:w="1650" w:type="dxa"/>
            <w:tcBorders>
              <w:top w:val="nil"/>
              <w:left w:val="nil"/>
              <w:bottom w:val="single" w:sz="4" w:space="0" w:color="auto"/>
              <w:right w:val="nil"/>
            </w:tcBorders>
            <w:shd w:val="clear" w:color="auto" w:fill="auto"/>
            <w:noWrap/>
            <w:vAlign w:val="bottom"/>
            <w:hideMark/>
          </w:tcPr>
          <w:p w14:paraId="65759247"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0.677</w:t>
            </w:r>
          </w:p>
        </w:tc>
        <w:tc>
          <w:tcPr>
            <w:tcW w:w="270" w:type="dxa"/>
            <w:tcBorders>
              <w:top w:val="nil"/>
              <w:left w:val="nil"/>
              <w:bottom w:val="single" w:sz="4" w:space="0" w:color="auto"/>
              <w:right w:val="nil"/>
            </w:tcBorders>
            <w:shd w:val="clear" w:color="auto" w:fill="auto"/>
            <w:noWrap/>
            <w:vAlign w:val="bottom"/>
            <w:hideMark/>
          </w:tcPr>
          <w:p w14:paraId="6A799F28" w14:textId="77777777" w:rsidR="00B563CD" w:rsidRPr="00B563CD" w:rsidRDefault="00B563CD" w:rsidP="00B563CD">
            <w:pPr>
              <w:spacing w:after="0" w:line="240" w:lineRule="auto"/>
              <w:rPr>
                <w:rFonts w:eastAsia="Times New Roman" w:cs="Calibri"/>
              </w:rPr>
            </w:pPr>
            <w:r w:rsidRPr="00B563CD">
              <w:rPr>
                <w:rFonts w:eastAsia="Times New Roman" w:cs="Calibri"/>
              </w:rPr>
              <w:t> </w:t>
            </w:r>
          </w:p>
        </w:tc>
        <w:tc>
          <w:tcPr>
            <w:tcW w:w="1800" w:type="dxa"/>
            <w:tcBorders>
              <w:top w:val="nil"/>
              <w:left w:val="nil"/>
              <w:bottom w:val="single" w:sz="4" w:space="0" w:color="auto"/>
              <w:right w:val="nil"/>
            </w:tcBorders>
            <w:shd w:val="clear" w:color="auto" w:fill="auto"/>
            <w:noWrap/>
            <w:vAlign w:val="bottom"/>
            <w:hideMark/>
          </w:tcPr>
          <w:p w14:paraId="56DBBAEA"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0.673</w:t>
            </w:r>
          </w:p>
        </w:tc>
      </w:tr>
      <w:tr w:rsidR="00E85815" w:rsidRPr="00B563CD" w14:paraId="726AB348" w14:textId="77777777" w:rsidTr="00DD333B">
        <w:trPr>
          <w:trHeight w:val="300"/>
          <w:jc w:val="center"/>
        </w:trPr>
        <w:tc>
          <w:tcPr>
            <w:tcW w:w="4680" w:type="dxa"/>
            <w:gridSpan w:val="4"/>
            <w:tcBorders>
              <w:top w:val="single" w:sz="4" w:space="0" w:color="auto"/>
              <w:left w:val="nil"/>
              <w:bottom w:val="single" w:sz="4" w:space="0" w:color="auto"/>
              <w:right w:val="nil"/>
            </w:tcBorders>
            <w:shd w:val="clear" w:color="auto" w:fill="auto"/>
            <w:noWrap/>
            <w:vAlign w:val="bottom"/>
          </w:tcPr>
          <w:p w14:paraId="7E09DB20" w14:textId="77777777" w:rsidR="00E85815" w:rsidRDefault="00E85815" w:rsidP="00E85815">
            <w:pPr>
              <w:spacing w:after="0" w:line="240" w:lineRule="auto"/>
              <w:rPr>
                <w:rFonts w:eastAsia="Times New Roman" w:cs="Calibri"/>
                <w:sz w:val="20"/>
                <w:szCs w:val="20"/>
              </w:rPr>
            </w:pPr>
            <w:r w:rsidRPr="00E85815">
              <w:rPr>
                <w:rFonts w:eastAsia="Times New Roman" w:cs="Calibri"/>
                <w:sz w:val="20"/>
                <w:szCs w:val="20"/>
              </w:rPr>
              <w:t>“Rating” rows display the percentages of students with the indicated rating whose predicted ratings were within one point of their actual rating.</w:t>
            </w:r>
            <w:r>
              <w:rPr>
                <w:rFonts w:eastAsia="Times New Roman" w:cs="Calibri"/>
                <w:sz w:val="20"/>
                <w:szCs w:val="20"/>
              </w:rPr>
              <w:t xml:space="preserve"> </w:t>
            </w:r>
            <w:r>
              <w:rPr>
                <w:rFonts w:eastAsia="Times New Roman" w:cs="Calibri"/>
                <w:i/>
                <w:iCs/>
                <w:sz w:val="20"/>
                <w:szCs w:val="20"/>
              </w:rPr>
              <w:t>K</w:t>
            </w:r>
            <w:r>
              <w:rPr>
                <w:rFonts w:eastAsia="Times New Roman" w:cs="Calibri"/>
                <w:sz w:val="20"/>
                <w:szCs w:val="20"/>
              </w:rPr>
              <w:t xml:space="preserve"> (weighted </w:t>
            </w:r>
            <w:r>
              <w:rPr>
                <w:rFonts w:eastAsia="Times New Roman" w:cs="Calibri"/>
                <w:i/>
                <w:iCs/>
                <w:sz w:val="20"/>
                <w:szCs w:val="20"/>
              </w:rPr>
              <w:t>kappa</w:t>
            </w:r>
            <w:r>
              <w:rPr>
                <w:rFonts w:eastAsia="Times New Roman" w:cs="Calibri"/>
                <w:sz w:val="20"/>
                <w:szCs w:val="20"/>
              </w:rPr>
              <w:t>) is a measure of how well the model predicts, relative to random assignment.</w:t>
            </w:r>
          </w:p>
          <w:p w14:paraId="50EEC0E3" w14:textId="231C3C69" w:rsidR="00E85815" w:rsidRPr="00E85815" w:rsidRDefault="00E85815" w:rsidP="00E85815">
            <w:pPr>
              <w:spacing w:after="0" w:line="240" w:lineRule="auto"/>
              <w:rPr>
                <w:rFonts w:eastAsia="Times New Roman" w:cs="Calibri"/>
              </w:rPr>
            </w:pPr>
            <w:r>
              <w:rPr>
                <w:rFonts w:eastAsia="Times New Roman" w:cs="Calibri"/>
                <w:sz w:val="20"/>
                <w:szCs w:val="20"/>
              </w:rPr>
              <w:t>“Cross-validated” values are average values from out-of-sample predictions (5-fold).</w:t>
            </w:r>
          </w:p>
        </w:tc>
      </w:tr>
    </w:tbl>
    <w:p w14:paraId="165907CC" w14:textId="16BB9A78" w:rsidR="00B563CD" w:rsidRDefault="000D692B" w:rsidP="00452BF6">
      <w:r>
        <w:t>Table 1 shows that, among students with actual ensemble ratings ranging from 1 to 3, the model assigned predicted ratings within one point of actual</w:t>
      </w:r>
      <w:r w:rsidR="00B05DD8">
        <w:t xml:space="preserve"> ratings</w:t>
      </w:r>
      <w:r>
        <w:t xml:space="preserve"> for more than 90% of students.  The </w:t>
      </w:r>
      <w:r>
        <w:rPr>
          <w:i/>
          <w:iCs/>
        </w:rPr>
        <w:t>kappa</w:t>
      </w:r>
      <w:r>
        <w:t xml:space="preserve"> statistic</w:t>
      </w:r>
      <w:r w:rsidR="00CD17C6">
        <w:t xml:space="preserve">, which measures the model’s performance relative to random assignment and generally ranges from 0 to 1, is </w:t>
      </w:r>
      <w:r w:rsidR="007B5BA0">
        <w:t xml:space="preserve">also </w:t>
      </w:r>
      <w:r w:rsidR="00CD17C6">
        <w:t xml:space="preserve">fairly high for this model, at 0.677.  </w:t>
      </w:r>
      <w:r w:rsidR="007B5BA0">
        <w:t>Furthermore</w:t>
      </w:r>
      <w:r w:rsidR="00CD17C6">
        <w:t>, the fact that the “</w:t>
      </w:r>
      <w:r w:rsidR="007B5BA0">
        <w:t>c</w:t>
      </w:r>
      <w:r w:rsidR="00CD17C6">
        <w:t>ross-validated” values are not appreciably lower than their corresponding full-sample values suggests that the model may be useful for predictions using future data.</w:t>
      </w:r>
    </w:p>
    <w:p w14:paraId="63478DBB" w14:textId="6A2961F2" w:rsidR="00CD17C6" w:rsidRDefault="00A54E6B" w:rsidP="00452BF6">
      <w:r>
        <w:t xml:space="preserve">On the other hand, the model is noticeably worse at predicting highly-rated students than students with ratings from 1 to 3, with recall rates declining to 27.3% for students in the highest category.  </w:t>
      </w:r>
      <w:r w:rsidR="00E221AA">
        <w:t>Nearly all of the attempted models had this issue; the only exceptions were those that also suffered from noticeable overfitting for these ratings.</w:t>
      </w:r>
    </w:p>
    <w:p w14:paraId="509F835D" w14:textId="73236332" w:rsidR="00E221AA" w:rsidRDefault="00347EBB" w:rsidP="00452BF6">
      <w:r>
        <w:t>While these latter issues are not ideal, they can potentially be addressed by incorporating additional data and attempting to fit additional models.  Only eight variables were used to pr</w:t>
      </w:r>
      <w:r w:rsidR="00BF6F3E">
        <w:t>oduce the above predictions, and only 30 of potentially hundreds of available models were examined.</w:t>
      </w:r>
      <w:r w:rsidR="00E940EC">
        <w:t xml:space="preserve">  Given this, it seems plausible that a statistical prediction model can be developed that </w:t>
      </w:r>
      <w:r w:rsidR="00DD477E">
        <w:t>w</w:t>
      </w:r>
      <w:r w:rsidR="00E940EC">
        <w:t xml:space="preserve">ould </w:t>
      </w:r>
      <w:r w:rsidR="00296A96">
        <w:t>be useful for informing ensemble placements.</w:t>
      </w:r>
    </w:p>
    <w:p w14:paraId="3BEE825D" w14:textId="774A80CA" w:rsidR="0081379B" w:rsidRDefault="0081379B" w:rsidP="0081379B">
      <w:pPr>
        <w:pStyle w:val="Heading2"/>
      </w:pPr>
      <w:r>
        <w:t>Limitations and Caveats</w:t>
      </w:r>
    </w:p>
    <w:p w14:paraId="003BCCEF" w14:textId="5CDAAE5B" w:rsidR="00DD477E" w:rsidRDefault="00DD477E" w:rsidP="00DD477E">
      <w:r>
        <w:t xml:space="preserve">It should be emphasized that “perfect” prediction models are nearly impossible to produce, and </w:t>
      </w:r>
      <w:r w:rsidR="006F78F5">
        <w:t xml:space="preserve">predicted categories </w:t>
      </w:r>
      <w:r>
        <w:t xml:space="preserve">should not be used as the sole basis for high-stakes decisions.  </w:t>
      </w:r>
      <w:r w:rsidR="006F78F5">
        <w:t xml:space="preserve">Such decisions should, at a minimum, take into account measures of prediction uncertainty, and </w:t>
      </w:r>
      <w:r w:rsidR="00A12EEB">
        <w:t xml:space="preserve">should also </w:t>
      </w:r>
      <w:r w:rsidR="00267494">
        <w:t xml:space="preserve">incorporate </w:t>
      </w:r>
      <w:r w:rsidR="00A12EEB">
        <w:t>professional judgment and</w:t>
      </w:r>
      <w:r w:rsidR="008E0687">
        <w:t xml:space="preserve"> relevant</w:t>
      </w:r>
      <w:r w:rsidR="00A12EEB">
        <w:t xml:space="preserve"> information that </w:t>
      </w:r>
      <w:r w:rsidR="008E0687">
        <w:t xml:space="preserve">may be </w:t>
      </w:r>
      <w:r w:rsidR="00A12EEB">
        <w:t xml:space="preserve">difficult to quantify (e.g., notes taken by </w:t>
      </w:r>
      <w:proofErr w:type="spellStart"/>
      <w:r w:rsidR="00A12EEB">
        <w:t>auditioners</w:t>
      </w:r>
      <w:proofErr w:type="spellEnd"/>
      <w:r w:rsidR="00A12EEB">
        <w:t>).</w:t>
      </w:r>
    </w:p>
    <w:p w14:paraId="1542FB3C" w14:textId="7D8FAF7B" w:rsidR="00267494" w:rsidRDefault="00553074" w:rsidP="00DD477E">
      <w:r>
        <w:t>Additionally, supplemental statistical analyses revealed some potentially problematic findings:</w:t>
      </w:r>
    </w:p>
    <w:p w14:paraId="0C4C0616" w14:textId="287DECF0" w:rsidR="00553074" w:rsidRDefault="00553074" w:rsidP="00553074">
      <w:pPr>
        <w:pStyle w:val="ListParagraph"/>
        <w:numPr>
          <w:ilvl w:val="0"/>
          <w:numId w:val="13"/>
        </w:numPr>
      </w:pPr>
      <w:r>
        <w:t>Cohort effects</w:t>
      </w:r>
    </w:p>
    <w:p w14:paraId="1AC02E49" w14:textId="6792BCC3" w:rsidR="00553074" w:rsidRDefault="00553074" w:rsidP="00553074">
      <w:pPr>
        <w:pStyle w:val="ListParagraph"/>
        <w:numPr>
          <w:ilvl w:val="0"/>
          <w:numId w:val="13"/>
        </w:numPr>
      </w:pPr>
      <w:r>
        <w:t>Construct validity issues</w:t>
      </w:r>
    </w:p>
    <w:p w14:paraId="6FA43D1C" w14:textId="2F522351" w:rsidR="00553074" w:rsidRDefault="00553074" w:rsidP="00553074">
      <w:pPr>
        <w:pStyle w:val="ListParagraph"/>
        <w:numPr>
          <w:ilvl w:val="0"/>
          <w:numId w:val="13"/>
        </w:numPr>
      </w:pPr>
      <w:r>
        <w:t>Issues related to prediction error estimation</w:t>
      </w:r>
    </w:p>
    <w:p w14:paraId="7D219BAF" w14:textId="22A09980" w:rsidR="00553074" w:rsidRPr="00DD477E" w:rsidRDefault="00553074" w:rsidP="00553074">
      <w:r>
        <w:t>These issues are detailed in the Key Issues section of this report.</w:t>
      </w:r>
    </w:p>
    <w:p w14:paraId="1CA6FE8B" w14:textId="6FE92107" w:rsidR="0081379B" w:rsidRPr="0081379B" w:rsidRDefault="00B05DD8" w:rsidP="00B05DD8">
      <w:pPr>
        <w:pStyle w:val="Heading2"/>
      </w:pPr>
      <w:r>
        <w:lastRenderedPageBreak/>
        <w:t>Next Steps</w:t>
      </w:r>
    </w:p>
    <w:p w14:paraId="40A9B8E2" w14:textId="16928F47" w:rsidR="003A20F5" w:rsidRDefault="004F3219" w:rsidP="003A20F5">
      <w:r>
        <w:t>If stakeholders decide to further explore the use of statistical modeling to inform ensemble placement decisions, the following steps are recommended:</w:t>
      </w:r>
    </w:p>
    <w:p w14:paraId="0F8F653F" w14:textId="1DE91B91" w:rsidR="004F3219" w:rsidRDefault="004F3219" w:rsidP="004F3219">
      <w:pPr>
        <w:pStyle w:val="ListParagraph"/>
        <w:numPr>
          <w:ilvl w:val="0"/>
          <w:numId w:val="14"/>
        </w:numPr>
      </w:pPr>
      <w:r>
        <w:t xml:space="preserve">Discuss a set of procedures for ensemble placement that specifies how statistical predictions might be incorporated.  Such procedures might include, for example, individual review of ratings for students with high prediction uncertainty; </w:t>
      </w:r>
      <w:r w:rsidR="00631FBD">
        <w:t>opportunities for students to request an audition both before and after receiving placement results; and a process for diagnosing disagreements between initial predictions and final ratings.  This will help to determine a set of properties and features that a minimally-acceptable prediction model should include.</w:t>
      </w:r>
    </w:p>
    <w:p w14:paraId="56BEBD8A" w14:textId="78D35A0C" w:rsidR="00631FBD" w:rsidRDefault="00631FBD" w:rsidP="004F3219">
      <w:pPr>
        <w:pStyle w:val="ListParagraph"/>
        <w:numPr>
          <w:ilvl w:val="0"/>
          <w:numId w:val="14"/>
        </w:numPr>
      </w:pPr>
      <w:r>
        <w:t xml:space="preserve">Gather, clean, and merge additional data that is likely to improve the quality of predictions, such as </w:t>
      </w:r>
      <w:proofErr w:type="spellStart"/>
      <w:r>
        <w:t>auditioner</w:t>
      </w:r>
      <w:proofErr w:type="spellEnd"/>
      <w:r>
        <w:t xml:space="preserve"> IDs and student background characteristics.</w:t>
      </w:r>
    </w:p>
    <w:p w14:paraId="5F327FC2" w14:textId="14954A44" w:rsidR="00631FBD" w:rsidRDefault="00631FBD" w:rsidP="004F3219">
      <w:pPr>
        <w:pStyle w:val="ListParagraph"/>
        <w:numPr>
          <w:ilvl w:val="0"/>
          <w:numId w:val="14"/>
        </w:numPr>
      </w:pPr>
      <w:r>
        <w:t>If possible, hire or train in-house analysts</w:t>
      </w:r>
      <w:r w:rsidR="00DC5B4C">
        <w:t xml:space="preserve"> who are capable of developing, analyzing, and refining the prediction model as more data are observed.  Relationships between predictors and outcomes are likely to change over time, especially if participants change their behavior in response to policy changes.  Operational prediction models should be adjusted or replaced regularly in order to adjust to such changes.  Berklee staff are more likely than external analysts to develop a deep understanding of the college’s business processes and policy goals.</w:t>
      </w:r>
    </w:p>
    <w:p w14:paraId="3E4ECCB3" w14:textId="4FE2061E" w:rsidR="00DA57A8" w:rsidRDefault="005933A6" w:rsidP="00DA57A8">
      <w:r>
        <w:t>The remainder of this report is organized as follows:</w:t>
      </w:r>
    </w:p>
    <w:p w14:paraId="2D1198CC" w14:textId="314338DD" w:rsidR="005933A6" w:rsidRDefault="005933A6" w:rsidP="005933A6">
      <w:pPr>
        <w:pStyle w:val="ListParagraph"/>
        <w:numPr>
          <w:ilvl w:val="0"/>
          <w:numId w:val="15"/>
        </w:numPr>
      </w:pPr>
      <w:r>
        <w:t>The Data and Prediction Methods sections provide high-level overviews of the analysis dataset, modeling methods, and prediction evaluation criteria.</w:t>
      </w:r>
    </w:p>
    <w:p w14:paraId="7AE93958" w14:textId="1071B3E1" w:rsidR="005933A6" w:rsidRDefault="005933A6" w:rsidP="005933A6">
      <w:pPr>
        <w:pStyle w:val="ListParagraph"/>
        <w:numPr>
          <w:ilvl w:val="0"/>
          <w:numId w:val="15"/>
        </w:numPr>
      </w:pPr>
      <w:r>
        <w:t>The Prediction Results presents results from a small set of relatively well-performing prediction models.</w:t>
      </w:r>
    </w:p>
    <w:p w14:paraId="750E67CC" w14:textId="354FAB71" w:rsidR="005933A6" w:rsidRDefault="005933A6" w:rsidP="005933A6">
      <w:pPr>
        <w:pStyle w:val="ListParagraph"/>
        <w:numPr>
          <w:ilvl w:val="0"/>
          <w:numId w:val="15"/>
        </w:numPr>
      </w:pPr>
      <w:r>
        <w:t>The Key Issues section details statistical and substantive issues that should be addressed.</w:t>
      </w:r>
    </w:p>
    <w:p w14:paraId="759DBAAB" w14:textId="58884CB6" w:rsidR="006D0031" w:rsidRPr="003A20F5" w:rsidRDefault="005933A6" w:rsidP="006D0031">
      <w:pPr>
        <w:pStyle w:val="ListParagraph"/>
        <w:numPr>
          <w:ilvl w:val="0"/>
          <w:numId w:val="15"/>
        </w:numPr>
      </w:pPr>
      <w:r>
        <w:t>The Appendix contains technical details and complete results for the models selected for this study.</w:t>
      </w:r>
    </w:p>
    <w:p w14:paraId="46B1DE54" w14:textId="77777777" w:rsidR="006D0031" w:rsidRDefault="006D0031">
      <w:pPr>
        <w:rPr>
          <w:rFonts w:eastAsiaTheme="majorEastAsia" w:cstheme="majorBidi"/>
          <w:color w:val="2F5496" w:themeColor="accent1" w:themeShade="BF"/>
          <w:sz w:val="32"/>
          <w:szCs w:val="32"/>
        </w:rPr>
      </w:pPr>
      <w:r>
        <w:br w:type="page"/>
      </w:r>
    </w:p>
    <w:p w14:paraId="33CA1BD3" w14:textId="7FF3CAA3" w:rsidR="00156D3B" w:rsidRPr="000E4787" w:rsidRDefault="00156D3B" w:rsidP="001F5F80">
      <w:pPr>
        <w:pStyle w:val="Heading1"/>
      </w:pPr>
      <w:r w:rsidRPr="001F5F80">
        <w:lastRenderedPageBreak/>
        <w:t>Data</w:t>
      </w:r>
    </w:p>
    <w:p w14:paraId="580EB1DB" w14:textId="0EA9BDAF" w:rsidR="001F5F80" w:rsidRDefault="00C16E14" w:rsidP="001F5F80">
      <w:r w:rsidRPr="000E4787">
        <w:t xml:space="preserve">The dataset for this study </w:t>
      </w:r>
      <w:r w:rsidR="005A0CD7" w:rsidRPr="001F5F80">
        <w:t>comprised</w:t>
      </w:r>
      <w:r w:rsidRPr="000E4787">
        <w:t xml:space="preserve"> 2,965 student records from cohorts entering in the fall of 2016, 2017, and 2018, of which 2,911 </w:t>
      </w:r>
      <w:r w:rsidR="005A0CD7" w:rsidRPr="000E4787">
        <w:t xml:space="preserve">(98.2%) </w:t>
      </w:r>
      <w:r w:rsidRPr="000E4787">
        <w:t>had complete data on all of the required variables.</w:t>
      </w:r>
      <w:r w:rsidR="002D1F4D">
        <w:t xml:space="preserve">  The overall ensemble rating was the outcome of interest, while the predictors consisted of six audition scores, a single scholarship score, and a set of indicators for each student’s principal instrument.  The analysis variables are described in more detail below.</w:t>
      </w:r>
    </w:p>
    <w:p w14:paraId="36C2CF66" w14:textId="1A44B6C8" w:rsidR="001F5F80" w:rsidRPr="001F5F80" w:rsidRDefault="001F5F80" w:rsidP="001F5F80">
      <w:pPr>
        <w:pStyle w:val="Heading2"/>
      </w:pPr>
      <w:r w:rsidRPr="001F5F80">
        <w:t>Analysis Variables</w:t>
      </w:r>
    </w:p>
    <w:p w14:paraId="03D33F4D" w14:textId="6022C127" w:rsidR="00056907" w:rsidRPr="000E4787" w:rsidRDefault="00056907" w:rsidP="001F5F80">
      <w:r w:rsidRPr="000E4787">
        <w:rPr>
          <w:b/>
          <w:bCs/>
          <w:i/>
          <w:iCs/>
        </w:rPr>
        <w:t xml:space="preserve">Overall Ensemble </w:t>
      </w:r>
      <w:r w:rsidR="00255140">
        <w:rPr>
          <w:b/>
          <w:bCs/>
          <w:i/>
          <w:iCs/>
        </w:rPr>
        <w:t>Rating</w:t>
      </w:r>
      <w:r w:rsidR="00382D7A" w:rsidRPr="000E4787">
        <w:t>:</w:t>
      </w:r>
      <w:r w:rsidRPr="000E4787">
        <w:t xml:space="preserve"> The outcome of interest for all models.  Ensemble </w:t>
      </w:r>
      <w:r w:rsidR="00255140">
        <w:t xml:space="preserve">ratings </w:t>
      </w:r>
      <w:r w:rsidRPr="000E4787">
        <w:t xml:space="preserve">are integer values ranging from 1 to 7.  In the dataset, only </w:t>
      </w:r>
      <w:r w:rsidR="00876D22">
        <w:t>six</w:t>
      </w:r>
      <w:r w:rsidRPr="000E4787">
        <w:t xml:space="preserve"> students obtained a </w:t>
      </w:r>
      <w:r w:rsidR="002243DD">
        <w:t xml:space="preserve">rating </w:t>
      </w:r>
      <w:r w:rsidRPr="000E4787">
        <w:t xml:space="preserve">of 7; none of these were in the 2018 cohort, and all were Piano players.  These students were recoded as having a </w:t>
      </w:r>
      <w:r w:rsidR="002243DD">
        <w:t xml:space="preserve">rating </w:t>
      </w:r>
      <w:r w:rsidRPr="000E4787">
        <w:t>of 6, due to their scarcity.</w:t>
      </w:r>
    </w:p>
    <w:p w14:paraId="6393A712" w14:textId="75CE8C5F" w:rsidR="00056907" w:rsidRPr="000E4787" w:rsidRDefault="00056907" w:rsidP="001F5F80">
      <w:r w:rsidRPr="000E4787">
        <w:rPr>
          <w:b/>
          <w:bCs/>
          <w:i/>
          <w:iCs/>
        </w:rPr>
        <w:t>Instrument</w:t>
      </w:r>
      <w:r w:rsidRPr="000E4787">
        <w:t xml:space="preserve">: A categorical variable indicating the student’s </w:t>
      </w:r>
      <w:r w:rsidR="006938D4">
        <w:t>principal</w:t>
      </w:r>
      <w:r w:rsidRPr="000E4787">
        <w:t xml:space="preserve"> instrument.  Possible values were Bass, Brass, Guitar, Percussion, Piano, Strings, Voice, and Woodwind.</w:t>
      </w:r>
    </w:p>
    <w:p w14:paraId="567B0995" w14:textId="1084E730" w:rsidR="00056907" w:rsidRPr="000E4787" w:rsidRDefault="00F70EAA" w:rsidP="001F5F80">
      <w:r w:rsidRPr="00F81BD3">
        <w:rPr>
          <w:b/>
          <w:bCs/>
          <w:i/>
          <w:iCs/>
        </w:rPr>
        <w:t>Audition Improv, Prepared Piece, and Overall Score</w:t>
      </w:r>
      <w:r w:rsidRPr="000E4787">
        <w:t>: These audition ratings ranged from 1 to 8 and included decimal values.  These were treated as continuous variables.</w:t>
      </w:r>
    </w:p>
    <w:p w14:paraId="55A5CA71" w14:textId="1B5D9A98" w:rsidR="00F70EAA" w:rsidRPr="000E4787" w:rsidRDefault="00F70EAA" w:rsidP="001F5F80">
      <w:r w:rsidRPr="000E4787">
        <w:rPr>
          <w:b/>
          <w:bCs/>
          <w:i/>
          <w:iCs/>
        </w:rPr>
        <w:t>Audition Reading, Melodic, and Rhythmic Rating</w:t>
      </w:r>
      <w:r w:rsidRPr="000E4787">
        <w:t>:  Values for these ratings were None, Beginner, Intermediate, Strong, and Advanced.  A single student received one rating labeled “Low-Intermediate,” which was recoded as “Beginner.”  These were treated as either continuous (ranging from 0 to 4) or categorical, depending on the model.</w:t>
      </w:r>
    </w:p>
    <w:p w14:paraId="7100892A" w14:textId="1983659A" w:rsidR="00F70EAA" w:rsidRDefault="00F70EAA" w:rsidP="001F5F80">
      <w:r w:rsidRPr="000E4787">
        <w:rPr>
          <w:b/>
          <w:bCs/>
          <w:i/>
          <w:iCs/>
        </w:rPr>
        <w:t>Scholarship Rating</w:t>
      </w:r>
      <w:r w:rsidRPr="000E4787">
        <w:t>: This variable ranged from 2 to 8 and included decimal values.  Scholarship rating was treated as continuous.</w:t>
      </w:r>
    </w:p>
    <w:p w14:paraId="60DD896E" w14:textId="14C0958F" w:rsidR="00C540A7" w:rsidRPr="000E4787" w:rsidRDefault="00255140" w:rsidP="001F5F80">
      <w:r>
        <w:t xml:space="preserve">According to the dataset’s accompanying data dictionary, the Overall Ensemble </w:t>
      </w:r>
      <w:r w:rsidR="00AA3693">
        <w:t xml:space="preserve">Rating </w:t>
      </w:r>
      <w:r>
        <w:t>is a composite of four sub-</w:t>
      </w:r>
      <w:r w:rsidR="00AA3693">
        <w:t>ratings</w:t>
      </w:r>
      <w:r>
        <w:t xml:space="preserve">: </w:t>
      </w:r>
      <w:r w:rsidR="00AA3693">
        <w:t>Reading, Instrumental Skills, Improvisation, and Rhythmic Interpretation.  These ratings were not used in the prediction models, as they would not be obtainable prior to fall ensemble auditions.</w:t>
      </w:r>
      <w:r w:rsidR="006D0031">
        <w:t xml:space="preserve">  However, they were examined as part of a set of supplemental analyses, as described in the Key Issues section.</w:t>
      </w:r>
    </w:p>
    <w:p w14:paraId="115E6135" w14:textId="1C25532F" w:rsidR="00156D3B" w:rsidRPr="000E4787" w:rsidRDefault="00677D6E" w:rsidP="001F5F80">
      <w:pPr>
        <w:pStyle w:val="Heading1"/>
      </w:pPr>
      <w:r>
        <w:t xml:space="preserve">Prediction </w:t>
      </w:r>
      <w:r w:rsidR="00156D3B" w:rsidRPr="000E4787">
        <w:t>M</w:t>
      </w:r>
      <w:r w:rsidR="0040359A">
        <w:t>ethods</w:t>
      </w:r>
    </w:p>
    <w:p w14:paraId="266DC28F" w14:textId="2EBBEF60" w:rsidR="00E170A9" w:rsidRDefault="0040359A" w:rsidP="001F5F80">
      <w:r>
        <w:t xml:space="preserve">Broadly speaking, the prediction methods employed below can be described as varying along two dimensions: the </w:t>
      </w:r>
      <w:r w:rsidRPr="0040359A">
        <w:rPr>
          <w:i/>
          <w:iCs/>
        </w:rPr>
        <w:t>model type</w:t>
      </w:r>
      <w:r>
        <w:t xml:space="preserve">, which specifies the relationship between predictors and ensemble rating; and the </w:t>
      </w:r>
      <w:r>
        <w:rPr>
          <w:i/>
          <w:iCs/>
        </w:rPr>
        <w:t>variable set</w:t>
      </w:r>
      <w:r>
        <w:t>, the set of predictors used.</w:t>
      </w:r>
    </w:p>
    <w:p w14:paraId="52A555F5" w14:textId="13EF5626" w:rsidR="0040359A" w:rsidRPr="000E4787" w:rsidRDefault="0040359A" w:rsidP="0040359A">
      <w:pPr>
        <w:pStyle w:val="Heading2"/>
      </w:pPr>
      <w:r>
        <w:t>Model Types</w:t>
      </w:r>
    </w:p>
    <w:p w14:paraId="0A45B811" w14:textId="77777777" w:rsidR="0040359A" w:rsidRDefault="00C16E14" w:rsidP="0040359A">
      <w:pPr>
        <w:pStyle w:val="Heading3"/>
      </w:pPr>
      <w:r w:rsidRPr="000E4787">
        <w:t>Ordinary Least Squares regression (OLS)</w:t>
      </w:r>
    </w:p>
    <w:p w14:paraId="3F3B6682" w14:textId="7FD1927F" w:rsidR="00E170A9" w:rsidRPr="000E4787" w:rsidRDefault="002273B4" w:rsidP="001F5F80">
      <w:r>
        <w:t>Classical linear regression</w:t>
      </w:r>
      <w:r w:rsidR="00BF2672">
        <w:t>,</w:t>
      </w:r>
      <w:r>
        <w:t xml:space="preserve"> in which the ensemble rating is modeled as </w:t>
      </w:r>
      <w:r w:rsidRPr="00E963A7">
        <w:t>a</w:t>
      </w:r>
      <w:r w:rsidRPr="00E963A7">
        <w:rPr>
          <w:i/>
          <w:iCs/>
        </w:rPr>
        <w:t xml:space="preserve"> continuous</w:t>
      </w:r>
      <w:r>
        <w:t xml:space="preserve"> variable.  Predicted ratings are obtained by rounding (decimal) predictions to the nearest integer and, if necessary, clamping them to range from 1 to 6.</w:t>
      </w:r>
    </w:p>
    <w:p w14:paraId="56C977BA" w14:textId="77777777" w:rsidR="0040359A" w:rsidRDefault="00C16E14" w:rsidP="0040359A">
      <w:pPr>
        <w:pStyle w:val="Heading3"/>
      </w:pPr>
      <w:r w:rsidRPr="000E4787">
        <w:t xml:space="preserve">Ordered </w:t>
      </w:r>
      <w:proofErr w:type="spellStart"/>
      <w:r w:rsidRPr="000E4787">
        <w:t>Probit</w:t>
      </w:r>
      <w:proofErr w:type="spellEnd"/>
      <w:r w:rsidRPr="000E4787">
        <w:t xml:space="preserve"> regression (OP)</w:t>
      </w:r>
    </w:p>
    <w:p w14:paraId="205ADE8B" w14:textId="669EB412" w:rsidR="00C16E14" w:rsidRPr="000E4787" w:rsidRDefault="002273B4" w:rsidP="001F5F80">
      <w:r>
        <w:t xml:space="preserve">Ratings are treated as </w:t>
      </w:r>
      <w:r w:rsidRPr="00E963A7">
        <w:rPr>
          <w:i/>
          <w:iCs/>
        </w:rPr>
        <w:t>ordered categories</w:t>
      </w:r>
      <w:r>
        <w:t xml:space="preserve"> (i.e., ranging from lowest to highest), </w:t>
      </w:r>
      <w:r w:rsidR="00E963A7">
        <w:t xml:space="preserve">and for each student, the model estimates a probability of assignment to each category.  Each student’s predicted rating is taken to be the rating with the highest probability.  Unlike the OLS model, the OP model does not </w:t>
      </w:r>
      <w:r w:rsidR="00E963A7">
        <w:lastRenderedPageBreak/>
        <w:t xml:space="preserve">implicitly assume that ratings are equally-spaced, and decimal </w:t>
      </w:r>
      <w:r w:rsidR="00C33CA7">
        <w:t xml:space="preserve">or out-of-range </w:t>
      </w:r>
      <w:r w:rsidR="00E963A7">
        <w:t>values are not possible.</w:t>
      </w:r>
    </w:p>
    <w:p w14:paraId="44705964" w14:textId="25223642" w:rsidR="0040359A" w:rsidRDefault="00C16E14" w:rsidP="0040359A">
      <w:pPr>
        <w:pStyle w:val="Heading3"/>
      </w:pPr>
      <w:r w:rsidRPr="000E4787">
        <w:t>Multinomial Logi</w:t>
      </w:r>
      <w:r w:rsidR="00750439">
        <w:t>stic</w:t>
      </w:r>
      <w:r w:rsidRPr="000E4787">
        <w:t xml:space="preserve"> regression (MLOG)</w:t>
      </w:r>
    </w:p>
    <w:p w14:paraId="5B30DB51" w14:textId="7D33B9EB" w:rsidR="00C16E14" w:rsidRPr="00E963A7" w:rsidRDefault="00E963A7" w:rsidP="001F5F80">
      <w:r>
        <w:t xml:space="preserve">Ratings are treated as </w:t>
      </w:r>
      <w:r>
        <w:rPr>
          <w:i/>
          <w:iCs/>
        </w:rPr>
        <w:t>unordered</w:t>
      </w:r>
      <w:r>
        <w:t xml:space="preserve"> </w:t>
      </w:r>
      <w:r w:rsidRPr="00E963A7">
        <w:rPr>
          <w:i/>
          <w:iCs/>
        </w:rPr>
        <w:t>categories</w:t>
      </w:r>
      <w:r>
        <w:t xml:space="preserve">.  As with OP regression, the MLOG model produces an estimated probability of assignment to each category for each student.  </w:t>
      </w:r>
      <w:r w:rsidR="00AC5E07">
        <w:t xml:space="preserve">A disadvantage of this </w:t>
      </w:r>
      <w:r w:rsidR="00677D6E">
        <w:t xml:space="preserve">method </w:t>
      </w:r>
      <w:r w:rsidR="00AC5E07">
        <w:t>is that it can easily fail to produce a solution (i.e., achieve convergence) when insufficient variation exists in the data.</w:t>
      </w:r>
    </w:p>
    <w:p w14:paraId="2E46DD2D" w14:textId="4CC1FA57" w:rsidR="0040359A" w:rsidRDefault="0040359A" w:rsidP="0040359A">
      <w:pPr>
        <w:pStyle w:val="Heading2"/>
      </w:pPr>
      <w:r>
        <w:t>Variable Sets</w:t>
      </w:r>
    </w:p>
    <w:p w14:paraId="729104BB" w14:textId="001475F6" w:rsidR="000B0007" w:rsidRPr="000E4787" w:rsidRDefault="000B0007" w:rsidP="000B0007">
      <w:pPr>
        <w:pStyle w:val="Heading3"/>
      </w:pPr>
      <w:r>
        <w:t>Base</w:t>
      </w:r>
      <w:r w:rsidR="00F73FDE">
        <w:t xml:space="preserve"> (1</w:t>
      </w:r>
      <w:r w:rsidR="00C921FF">
        <w:t>4</w:t>
      </w:r>
      <w:r w:rsidR="00F73FDE">
        <w:t xml:space="preserve"> </w:t>
      </w:r>
      <w:r w:rsidR="00347EBB">
        <w:t>predictors</w:t>
      </w:r>
      <w:r w:rsidR="00F73FDE">
        <w:t>)</w:t>
      </w:r>
    </w:p>
    <w:p w14:paraId="4D334A62" w14:textId="2530A707" w:rsidR="00C16E14" w:rsidRDefault="000B0007" w:rsidP="001F5F80">
      <w:r>
        <w:t xml:space="preserve">The base set </w:t>
      </w:r>
      <w:r w:rsidR="00AD6D1A">
        <w:t>of variables consists of indicator variables for the student’s principal instrument, along with audition and scholarship ratings treated as linear, continuous variables</w:t>
      </w:r>
      <w:r>
        <w:t>.</w:t>
      </w:r>
      <w:r w:rsidR="00AD6D1A">
        <w:t xml:space="preserve">  This represents the simplest variable set employed in the study.</w:t>
      </w:r>
    </w:p>
    <w:p w14:paraId="03DDC1A0" w14:textId="14D84BFF" w:rsidR="000B0007" w:rsidRDefault="000B0007" w:rsidP="000B0007">
      <w:pPr>
        <w:pStyle w:val="Heading3"/>
      </w:pPr>
      <w:r>
        <w:t>Indicator Expansion</w:t>
      </w:r>
      <w:r w:rsidR="009A7593">
        <w:t xml:space="preserve"> (</w:t>
      </w:r>
      <w:r w:rsidR="008E522F">
        <w:t>2</w:t>
      </w:r>
      <w:r w:rsidR="00C921FF">
        <w:t>3</w:t>
      </w:r>
      <w:r w:rsidR="008E522F">
        <w:t xml:space="preserve"> </w:t>
      </w:r>
      <w:r w:rsidR="00347EBB">
        <w:t>predictors</w:t>
      </w:r>
      <w:r w:rsidR="009A7593">
        <w:t>)</w:t>
      </w:r>
    </w:p>
    <w:p w14:paraId="125166B7" w14:textId="322C7A2E" w:rsidR="000B0007" w:rsidRDefault="000B0007" w:rsidP="001F5F80">
      <w:r>
        <w:t xml:space="preserve">Identical to the Base set, except that audition Reading, Melodic, and Rhythmic ratings are treated as categorical, rather than continuous.  This “frees” the model to estimate </w:t>
      </w:r>
      <w:r w:rsidR="008155D3">
        <w:t>arbitrary relationships between these three predictors and ensemble ratings.</w:t>
      </w:r>
      <w:r w:rsidR="008F4109">
        <w:t xml:space="preserve">  This added flexibility can improve prediction accuracy, but it may also lead to overfitting and convergence difficulties.</w:t>
      </w:r>
    </w:p>
    <w:p w14:paraId="0D94D3E8" w14:textId="299E20EF" w:rsidR="008155D3" w:rsidRDefault="008155D3" w:rsidP="006B6EEB">
      <w:pPr>
        <w:pStyle w:val="Heading3"/>
      </w:pPr>
      <w:r>
        <w:t>Instrument Interaction</w:t>
      </w:r>
      <w:r w:rsidR="00871575">
        <w:t xml:space="preserve"> (63 </w:t>
      </w:r>
      <w:r w:rsidR="00347EBB">
        <w:t>predictors</w:t>
      </w:r>
      <w:r w:rsidR="00871575">
        <w:t>)</w:t>
      </w:r>
    </w:p>
    <w:p w14:paraId="7D8A5CA7" w14:textId="5A006722" w:rsidR="008155D3" w:rsidRDefault="006B6EEB" w:rsidP="001F5F80">
      <w:r>
        <w:t xml:space="preserve">The Base set with interaction terms between instrument indicators and each of the other ratings.  This enables the model to estimate a different linear relationship between ratings and the outcome for each instrument; this is substantively similar to estimating </w:t>
      </w:r>
      <w:r w:rsidR="008C00CE">
        <w:t>a distinct set of relationships between ratings and the outcome for each instrument type.</w:t>
      </w:r>
    </w:p>
    <w:p w14:paraId="04495CCD" w14:textId="4F30F668" w:rsidR="006B6EEB" w:rsidRDefault="006B6EEB" w:rsidP="006B6EEB">
      <w:pPr>
        <w:pStyle w:val="Heading3"/>
      </w:pPr>
      <w:r>
        <w:t>Polynomial</w:t>
      </w:r>
      <w:r w:rsidR="00AA11F9">
        <w:t xml:space="preserve"> (28 </w:t>
      </w:r>
      <w:r w:rsidR="00347EBB">
        <w:t>predictors</w:t>
      </w:r>
      <w:r w:rsidR="00AA11F9">
        <w:t>)</w:t>
      </w:r>
    </w:p>
    <w:p w14:paraId="5C50611C" w14:textId="1DAAAE49" w:rsidR="006B6EEB" w:rsidRPr="006B6EEB" w:rsidRDefault="008C00CE" w:rsidP="006B6EEB">
      <w:r>
        <w:t>The Base set with quadratic and cubic polynomial terms added for each audition and scholarship rating.  This enables the estimation of non-linear relationships between ratings and the outcome.</w:t>
      </w:r>
      <w:r w:rsidR="008F4109">
        <w:t xml:space="preserve">  This provides more flexibility than the Base set but less than the Indicator Expansion set for Reading, Melodic, and Rhythmic ratings.</w:t>
      </w:r>
    </w:p>
    <w:p w14:paraId="4991132F" w14:textId="428BDB53" w:rsidR="00C02D22" w:rsidRDefault="006947F7" w:rsidP="00295E73">
      <w:r>
        <w:t>A</w:t>
      </w:r>
      <w:r w:rsidR="00E4592B">
        <w:t xml:space="preserve">n additional </w:t>
      </w:r>
      <w:r>
        <w:t>modeling approach</w:t>
      </w:r>
      <w:r w:rsidR="00E4592B">
        <w:t xml:space="preserve">, called a </w:t>
      </w:r>
      <w:r w:rsidR="00E4592B">
        <w:rPr>
          <w:i/>
          <w:iCs/>
        </w:rPr>
        <w:t>support-vector machine</w:t>
      </w:r>
      <w:r w:rsidR="0017614D">
        <w:t>,</w:t>
      </w:r>
      <w:r w:rsidR="00E4592B">
        <w:t xml:space="preserve"> was also employed as an experiment.  The SVM </w:t>
      </w:r>
      <w:r>
        <w:t xml:space="preserve">assigns students to rating categories </w:t>
      </w:r>
      <w:r w:rsidR="00C02D22">
        <w:t>using algorithms that automate the selection of variable transformations and search for variable combinations that best “separate” students into their observed categories</w:t>
      </w:r>
      <w:r>
        <w:t>.</w:t>
      </w:r>
    </w:p>
    <w:p w14:paraId="014D4A74" w14:textId="676745AC" w:rsidR="00295E73" w:rsidRDefault="0007669B" w:rsidP="00295E73">
      <w:r>
        <w:t>One</w:t>
      </w:r>
      <w:r w:rsidR="00C02D22">
        <w:t xml:space="preserve"> drawback of the SVM approach is that results are highly sensitive to user-defined parameters that are difficult to express in substantive terms.  Two SVM models were fit for illustrative purposes; a full exploration of SVMs and other automated approaches may yield useful results but is beyond the scope of this study.</w:t>
      </w:r>
    </w:p>
    <w:p w14:paraId="01FAF951" w14:textId="61F31135" w:rsidR="00CE485B" w:rsidRPr="000E4787" w:rsidRDefault="00CE485B" w:rsidP="001F5F80">
      <w:pPr>
        <w:pStyle w:val="Heading2"/>
      </w:pPr>
      <w:r w:rsidRPr="000E4787">
        <w:t>Evaluating Prediction Quality</w:t>
      </w:r>
    </w:p>
    <w:p w14:paraId="43D0E7C2" w14:textId="7EF1FE91" w:rsidR="00AD1C42" w:rsidRDefault="00CE485B" w:rsidP="001F5F80">
      <w:r w:rsidRPr="000E4787">
        <w:t xml:space="preserve">Overall accuracy – the proportion of students whose predicted scores match their actual scores – may be an intuitive statistic for evaluating the quality of predictions, but this statistic is often misleading.  In Fall 2018, for example, about 40% of students were assigned an ensemble score of 2; a model that simply predicted a score of 2 for </w:t>
      </w:r>
      <w:r w:rsidRPr="000E4787">
        <w:rPr>
          <w:i/>
          <w:iCs/>
        </w:rPr>
        <w:t>all</w:t>
      </w:r>
      <w:r w:rsidRPr="000E4787">
        <w:t xml:space="preserve"> students would therefore have an overall accuracy of 40%, </w:t>
      </w:r>
      <w:r w:rsidR="00C72BC7" w:rsidRPr="000E4787">
        <w:t>despite using no student information at all to produce its predictions.</w:t>
      </w:r>
    </w:p>
    <w:p w14:paraId="24BFFE68" w14:textId="7E903DC3" w:rsidR="006D7A15" w:rsidRDefault="004F3DE6" w:rsidP="001F5F80">
      <w:r>
        <w:lastRenderedPageBreak/>
        <w:t>Instead, a more detailed set of statistics can be used to assess the accuracy and quality of predictions</w:t>
      </w:r>
      <w:r w:rsidR="005F66DA">
        <w:t>, as described below.</w:t>
      </w:r>
    </w:p>
    <w:p w14:paraId="7E9E54DA" w14:textId="611412A5" w:rsidR="00617D2A" w:rsidRDefault="00617D2A" w:rsidP="00617D2A">
      <w:pPr>
        <w:pStyle w:val="Heading3"/>
      </w:pPr>
      <w:r>
        <w:t>Accuracy</w:t>
      </w:r>
    </w:p>
    <w:p w14:paraId="5A1C3BD3" w14:textId="09E00405" w:rsidR="0044058F" w:rsidRDefault="0044058F" w:rsidP="0044058F">
      <w:r>
        <w:t xml:space="preserve">The primary measures used to assess prediction accuracy in this study were </w:t>
      </w:r>
      <w:r>
        <w:rPr>
          <w:i/>
          <w:iCs/>
        </w:rPr>
        <w:t>recall</w:t>
      </w:r>
      <w:r>
        <w:t xml:space="preserve">, </w:t>
      </w:r>
      <w:r>
        <w:rPr>
          <w:i/>
          <w:iCs/>
        </w:rPr>
        <w:t>precision</w:t>
      </w:r>
      <w:r>
        <w:t xml:space="preserve">, and Cohen’s </w:t>
      </w:r>
      <w:r>
        <w:rPr>
          <w:i/>
          <w:iCs/>
        </w:rPr>
        <w:t>kappa</w:t>
      </w:r>
      <w:r>
        <w:t>.</w:t>
      </w:r>
      <w:r w:rsidR="00CE573A">
        <w:t xml:space="preserve">  The first two of these are category-specific, in that they summarize accuracy for each ensemble rating level (1 to 6), while the </w:t>
      </w:r>
      <w:r w:rsidR="00CE573A">
        <w:rPr>
          <w:i/>
          <w:iCs/>
        </w:rPr>
        <w:t>kappa</w:t>
      </w:r>
      <w:r w:rsidR="00CE573A">
        <w:t xml:space="preserve"> is a</w:t>
      </w:r>
      <w:r w:rsidR="00F8450D">
        <w:t>n “adjusted”</w:t>
      </w:r>
      <w:r w:rsidR="00CE573A">
        <w:t xml:space="preserve"> measure of overall accuracy.</w:t>
      </w:r>
    </w:p>
    <w:p w14:paraId="642E09F6" w14:textId="38D39E00" w:rsidR="00CE573A" w:rsidRDefault="00CE573A" w:rsidP="0044058F">
      <w:r>
        <w:t>It is often not possible to find a model that outperforms all others in every one of these accuracy statistics.  Because of this, there is usually not a single “best” model, as the relative importance of different metrics is subject to judgment; a model that predicts moderately well for all students, for instance, may be preferable to a model that predicts much better for low-rated students but much worse for highly-rated students.</w:t>
      </w:r>
    </w:p>
    <w:p w14:paraId="2961282A" w14:textId="490125FC" w:rsidR="00FC5AAF" w:rsidRPr="00F4693E" w:rsidRDefault="00F4693E" w:rsidP="0044058F">
      <w:r>
        <w:t xml:space="preserve">The accuracy statistics are defined below and described in more detail in the appendix.  First, however, an introduction to the </w:t>
      </w:r>
      <w:r>
        <w:rPr>
          <w:i/>
          <w:iCs/>
        </w:rPr>
        <w:t>confusion matrix</w:t>
      </w:r>
      <w:r>
        <w:t xml:space="preserve"> may be helpful.</w:t>
      </w:r>
    </w:p>
    <w:p w14:paraId="62CB819D" w14:textId="3283BACA" w:rsidR="005F66DA" w:rsidRPr="00617D2A" w:rsidRDefault="005F66DA" w:rsidP="00617D2A">
      <w:pPr>
        <w:pStyle w:val="Heading4"/>
      </w:pPr>
      <w:r w:rsidRPr="00617D2A">
        <w:t>Confusion Matrix</w:t>
      </w:r>
    </w:p>
    <w:p w14:paraId="02A1A217" w14:textId="2E84EB49" w:rsidR="005F66DA" w:rsidRDefault="005F66DA" w:rsidP="001F5F80">
      <w:r>
        <w:t xml:space="preserve">The </w:t>
      </w:r>
      <w:r>
        <w:rPr>
          <w:i/>
          <w:iCs/>
        </w:rPr>
        <w:t>confusion matrix</w:t>
      </w:r>
      <w:r>
        <w:t xml:space="preserve"> is a cross-tabulation of students’ predicted ratings vs. their actual ratings.  The confusion matrix for the ordered </w:t>
      </w:r>
      <w:proofErr w:type="spellStart"/>
      <w:r>
        <w:t>probit</w:t>
      </w:r>
      <w:proofErr w:type="spellEnd"/>
      <w:r>
        <w:t xml:space="preserve"> model with polynomial predictors is shown in Table </w:t>
      </w:r>
      <w:r w:rsidR="006F31AB">
        <w:t>2</w:t>
      </w:r>
      <w:r>
        <w:t>.</w:t>
      </w:r>
    </w:p>
    <w:tbl>
      <w:tblPr>
        <w:tblW w:w="6067" w:type="dxa"/>
        <w:jc w:val="center"/>
        <w:tblLook w:val="04A0" w:firstRow="1" w:lastRow="0" w:firstColumn="1" w:lastColumn="0" w:noHBand="0" w:noVBand="1"/>
      </w:tblPr>
      <w:tblGrid>
        <w:gridCol w:w="487"/>
        <w:gridCol w:w="420"/>
        <w:gridCol w:w="741"/>
        <w:gridCol w:w="1007"/>
        <w:gridCol w:w="740"/>
        <w:gridCol w:w="708"/>
        <w:gridCol w:w="512"/>
        <w:gridCol w:w="492"/>
        <w:gridCol w:w="960"/>
      </w:tblGrid>
      <w:tr w:rsidR="00470CFC" w:rsidRPr="008D74DF" w14:paraId="2C52F1D4" w14:textId="77777777" w:rsidTr="004A4BA8">
        <w:trPr>
          <w:trHeight w:val="285"/>
          <w:jc w:val="center"/>
        </w:trPr>
        <w:tc>
          <w:tcPr>
            <w:tcW w:w="6067" w:type="dxa"/>
            <w:gridSpan w:val="9"/>
            <w:tcBorders>
              <w:top w:val="nil"/>
              <w:left w:val="nil"/>
              <w:bottom w:val="single" w:sz="4" w:space="0" w:color="auto"/>
              <w:right w:val="nil"/>
            </w:tcBorders>
            <w:shd w:val="clear" w:color="auto" w:fill="auto"/>
            <w:noWrap/>
            <w:vAlign w:val="bottom"/>
          </w:tcPr>
          <w:p w14:paraId="6245D6EB" w14:textId="756E98EC" w:rsidR="00470CFC" w:rsidRPr="00470CFC" w:rsidRDefault="00470CFC" w:rsidP="00470CFC">
            <w:pPr>
              <w:spacing w:after="0" w:line="240" w:lineRule="auto"/>
              <w:rPr>
                <w:rFonts w:eastAsia="Times New Roman" w:cs="Calibri"/>
              </w:rPr>
            </w:pPr>
            <w:r w:rsidRPr="00470CFC">
              <w:rPr>
                <w:rFonts w:eastAsia="Times New Roman" w:cs="Calibri"/>
                <w:i/>
                <w:iCs/>
              </w:rPr>
              <w:t xml:space="preserve">Table </w:t>
            </w:r>
            <w:r w:rsidR="006F31AB">
              <w:rPr>
                <w:rFonts w:eastAsia="Times New Roman" w:cs="Calibri"/>
                <w:i/>
                <w:iCs/>
              </w:rPr>
              <w:t>2</w:t>
            </w:r>
            <w:r w:rsidRPr="00470CFC">
              <w:rPr>
                <w:rFonts w:eastAsia="Times New Roman" w:cs="Calibri"/>
              </w:rPr>
              <w:t>.</w:t>
            </w:r>
            <w:r>
              <w:rPr>
                <w:rFonts w:eastAsia="Times New Roman" w:cs="Calibri"/>
              </w:rPr>
              <w:t xml:space="preserve">  Confusion matrix for ordered </w:t>
            </w:r>
            <w:proofErr w:type="spellStart"/>
            <w:r>
              <w:rPr>
                <w:rFonts w:eastAsia="Times New Roman" w:cs="Calibri"/>
              </w:rPr>
              <w:t>probit</w:t>
            </w:r>
            <w:proofErr w:type="spellEnd"/>
            <w:r>
              <w:rPr>
                <w:rFonts w:eastAsia="Times New Roman" w:cs="Calibri"/>
              </w:rPr>
              <w:t xml:space="preserve"> model with polynomial predictors.</w:t>
            </w:r>
          </w:p>
        </w:tc>
      </w:tr>
      <w:tr w:rsidR="008D74DF" w:rsidRPr="008D74DF" w14:paraId="67104DBD" w14:textId="77777777" w:rsidTr="004A4BA8">
        <w:trPr>
          <w:trHeight w:val="285"/>
          <w:jc w:val="center"/>
        </w:trPr>
        <w:tc>
          <w:tcPr>
            <w:tcW w:w="487" w:type="dxa"/>
            <w:tcBorders>
              <w:top w:val="single" w:sz="4" w:space="0" w:color="auto"/>
              <w:left w:val="nil"/>
              <w:bottom w:val="nil"/>
              <w:right w:val="nil"/>
            </w:tcBorders>
            <w:shd w:val="clear" w:color="auto" w:fill="auto"/>
            <w:noWrap/>
            <w:vAlign w:val="bottom"/>
            <w:hideMark/>
          </w:tcPr>
          <w:p w14:paraId="60254271" w14:textId="77777777" w:rsidR="008D74DF" w:rsidRPr="008D74DF" w:rsidRDefault="008D74DF" w:rsidP="008D74DF">
            <w:pPr>
              <w:spacing w:after="0" w:line="240" w:lineRule="auto"/>
              <w:rPr>
                <w:rFonts w:ascii="Times New Roman" w:eastAsia="Times New Roman" w:hAnsi="Times New Roman" w:cs="Times New Roman"/>
                <w:sz w:val="24"/>
                <w:szCs w:val="24"/>
              </w:rPr>
            </w:pPr>
          </w:p>
        </w:tc>
        <w:tc>
          <w:tcPr>
            <w:tcW w:w="420" w:type="dxa"/>
            <w:tcBorders>
              <w:top w:val="single" w:sz="4" w:space="0" w:color="auto"/>
              <w:left w:val="nil"/>
              <w:bottom w:val="nil"/>
              <w:right w:val="nil"/>
            </w:tcBorders>
            <w:shd w:val="clear" w:color="auto" w:fill="auto"/>
            <w:noWrap/>
            <w:vAlign w:val="bottom"/>
            <w:hideMark/>
          </w:tcPr>
          <w:p w14:paraId="1072D015" w14:textId="77777777" w:rsidR="008D74DF" w:rsidRPr="008D74DF" w:rsidRDefault="008D74DF" w:rsidP="008D74DF">
            <w:pPr>
              <w:spacing w:after="0" w:line="240" w:lineRule="auto"/>
              <w:rPr>
                <w:rFonts w:ascii="Times New Roman" w:eastAsia="Times New Roman" w:hAnsi="Times New Roman" w:cs="Times New Roman"/>
                <w:sz w:val="20"/>
                <w:szCs w:val="20"/>
              </w:rPr>
            </w:pPr>
          </w:p>
        </w:tc>
        <w:tc>
          <w:tcPr>
            <w:tcW w:w="4200" w:type="dxa"/>
            <w:gridSpan w:val="6"/>
            <w:tcBorders>
              <w:top w:val="single" w:sz="4" w:space="0" w:color="auto"/>
              <w:left w:val="nil"/>
              <w:bottom w:val="single" w:sz="4" w:space="0" w:color="auto"/>
              <w:right w:val="nil"/>
            </w:tcBorders>
            <w:shd w:val="clear" w:color="auto" w:fill="auto"/>
            <w:noWrap/>
            <w:vAlign w:val="bottom"/>
            <w:hideMark/>
          </w:tcPr>
          <w:p w14:paraId="1FA55FBE"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Predicted</w:t>
            </w:r>
          </w:p>
        </w:tc>
        <w:tc>
          <w:tcPr>
            <w:tcW w:w="960" w:type="dxa"/>
            <w:tcBorders>
              <w:top w:val="single" w:sz="4" w:space="0" w:color="auto"/>
              <w:left w:val="nil"/>
              <w:bottom w:val="nil"/>
              <w:right w:val="nil"/>
            </w:tcBorders>
            <w:shd w:val="clear" w:color="auto" w:fill="auto"/>
            <w:noWrap/>
            <w:vAlign w:val="bottom"/>
            <w:hideMark/>
          </w:tcPr>
          <w:p w14:paraId="2656B2A6" w14:textId="77777777" w:rsidR="008D74DF" w:rsidRPr="008D74DF" w:rsidRDefault="008D74DF" w:rsidP="008D74DF">
            <w:pPr>
              <w:spacing w:after="0" w:line="240" w:lineRule="auto"/>
              <w:jc w:val="center"/>
              <w:rPr>
                <w:rFonts w:eastAsia="Times New Roman" w:cs="Calibri"/>
                <w:b/>
                <w:bCs/>
              </w:rPr>
            </w:pPr>
          </w:p>
        </w:tc>
      </w:tr>
      <w:tr w:rsidR="008D74DF" w:rsidRPr="008D74DF" w14:paraId="629EA22D" w14:textId="77777777" w:rsidTr="00470CFC">
        <w:trPr>
          <w:trHeight w:val="285"/>
          <w:jc w:val="center"/>
        </w:trPr>
        <w:tc>
          <w:tcPr>
            <w:tcW w:w="487" w:type="dxa"/>
            <w:tcBorders>
              <w:top w:val="nil"/>
              <w:left w:val="nil"/>
              <w:bottom w:val="nil"/>
              <w:right w:val="nil"/>
            </w:tcBorders>
            <w:shd w:val="clear" w:color="auto" w:fill="auto"/>
            <w:noWrap/>
            <w:vAlign w:val="bottom"/>
            <w:hideMark/>
          </w:tcPr>
          <w:p w14:paraId="778337C7" w14:textId="77777777" w:rsidR="008D74DF" w:rsidRPr="008D74DF" w:rsidRDefault="008D74DF" w:rsidP="008D74DF">
            <w:pPr>
              <w:spacing w:after="0" w:line="240" w:lineRule="auto"/>
              <w:rPr>
                <w:rFonts w:ascii="Times New Roman" w:eastAsia="Times New Roman" w:hAnsi="Times New Roman" w:cs="Times New Roman"/>
                <w:sz w:val="20"/>
                <w:szCs w:val="20"/>
              </w:rPr>
            </w:pPr>
          </w:p>
        </w:tc>
        <w:tc>
          <w:tcPr>
            <w:tcW w:w="420" w:type="dxa"/>
            <w:tcBorders>
              <w:top w:val="nil"/>
              <w:left w:val="nil"/>
              <w:bottom w:val="single" w:sz="4" w:space="0" w:color="auto"/>
              <w:right w:val="single" w:sz="4" w:space="0" w:color="auto"/>
            </w:tcBorders>
            <w:shd w:val="clear" w:color="auto" w:fill="auto"/>
            <w:noWrap/>
            <w:vAlign w:val="bottom"/>
            <w:hideMark/>
          </w:tcPr>
          <w:p w14:paraId="7FFFD19D" w14:textId="77777777" w:rsidR="008D74DF" w:rsidRPr="008D74DF" w:rsidRDefault="008D74DF" w:rsidP="008D74DF">
            <w:pPr>
              <w:spacing w:after="0" w:line="240" w:lineRule="auto"/>
              <w:rPr>
                <w:rFonts w:eastAsia="Times New Roman" w:cs="Calibri"/>
              </w:rPr>
            </w:pPr>
            <w:r w:rsidRPr="008D74DF">
              <w:rPr>
                <w:rFonts w:eastAsia="Times New Roman" w:cs="Calibri"/>
              </w:rPr>
              <w:t> </w:t>
            </w:r>
          </w:p>
        </w:tc>
        <w:tc>
          <w:tcPr>
            <w:tcW w:w="741" w:type="dxa"/>
            <w:tcBorders>
              <w:top w:val="nil"/>
              <w:left w:val="nil"/>
              <w:bottom w:val="single" w:sz="4" w:space="0" w:color="auto"/>
              <w:right w:val="nil"/>
            </w:tcBorders>
            <w:shd w:val="clear" w:color="auto" w:fill="auto"/>
            <w:noWrap/>
            <w:vAlign w:val="bottom"/>
            <w:hideMark/>
          </w:tcPr>
          <w:p w14:paraId="14196BD9"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1</w:t>
            </w:r>
          </w:p>
        </w:tc>
        <w:tc>
          <w:tcPr>
            <w:tcW w:w="1007" w:type="dxa"/>
            <w:tcBorders>
              <w:top w:val="nil"/>
              <w:left w:val="nil"/>
              <w:bottom w:val="single" w:sz="4" w:space="0" w:color="auto"/>
              <w:right w:val="nil"/>
            </w:tcBorders>
            <w:shd w:val="clear" w:color="auto" w:fill="auto"/>
            <w:noWrap/>
            <w:vAlign w:val="bottom"/>
            <w:hideMark/>
          </w:tcPr>
          <w:p w14:paraId="2E4B2865"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2</w:t>
            </w:r>
          </w:p>
        </w:tc>
        <w:tc>
          <w:tcPr>
            <w:tcW w:w="740" w:type="dxa"/>
            <w:tcBorders>
              <w:top w:val="nil"/>
              <w:left w:val="nil"/>
              <w:bottom w:val="single" w:sz="4" w:space="0" w:color="auto"/>
              <w:right w:val="nil"/>
            </w:tcBorders>
            <w:shd w:val="clear" w:color="auto" w:fill="auto"/>
            <w:noWrap/>
            <w:vAlign w:val="bottom"/>
            <w:hideMark/>
          </w:tcPr>
          <w:p w14:paraId="145965E3"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3</w:t>
            </w:r>
          </w:p>
        </w:tc>
        <w:tc>
          <w:tcPr>
            <w:tcW w:w="708" w:type="dxa"/>
            <w:tcBorders>
              <w:top w:val="nil"/>
              <w:left w:val="nil"/>
              <w:bottom w:val="single" w:sz="4" w:space="0" w:color="auto"/>
              <w:right w:val="nil"/>
            </w:tcBorders>
            <w:shd w:val="clear" w:color="auto" w:fill="auto"/>
            <w:noWrap/>
            <w:vAlign w:val="bottom"/>
            <w:hideMark/>
          </w:tcPr>
          <w:p w14:paraId="44A67BF9"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4</w:t>
            </w:r>
          </w:p>
        </w:tc>
        <w:tc>
          <w:tcPr>
            <w:tcW w:w="512" w:type="dxa"/>
            <w:tcBorders>
              <w:top w:val="nil"/>
              <w:left w:val="nil"/>
              <w:bottom w:val="single" w:sz="4" w:space="0" w:color="auto"/>
              <w:right w:val="nil"/>
            </w:tcBorders>
            <w:shd w:val="clear" w:color="auto" w:fill="auto"/>
            <w:noWrap/>
            <w:vAlign w:val="bottom"/>
            <w:hideMark/>
          </w:tcPr>
          <w:p w14:paraId="41EED660"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5</w:t>
            </w:r>
          </w:p>
        </w:tc>
        <w:tc>
          <w:tcPr>
            <w:tcW w:w="492" w:type="dxa"/>
            <w:tcBorders>
              <w:top w:val="nil"/>
              <w:left w:val="nil"/>
              <w:bottom w:val="single" w:sz="4" w:space="0" w:color="auto"/>
              <w:right w:val="single" w:sz="4" w:space="0" w:color="auto"/>
            </w:tcBorders>
            <w:shd w:val="clear" w:color="auto" w:fill="auto"/>
            <w:noWrap/>
            <w:vAlign w:val="bottom"/>
            <w:hideMark/>
          </w:tcPr>
          <w:p w14:paraId="02A2EF54"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6</w:t>
            </w:r>
          </w:p>
        </w:tc>
        <w:tc>
          <w:tcPr>
            <w:tcW w:w="960" w:type="dxa"/>
            <w:tcBorders>
              <w:top w:val="nil"/>
              <w:left w:val="nil"/>
              <w:bottom w:val="single" w:sz="4" w:space="0" w:color="auto"/>
              <w:right w:val="nil"/>
            </w:tcBorders>
            <w:shd w:val="clear" w:color="auto" w:fill="auto"/>
            <w:noWrap/>
            <w:vAlign w:val="bottom"/>
            <w:hideMark/>
          </w:tcPr>
          <w:p w14:paraId="3FC423CF"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Total</w:t>
            </w:r>
          </w:p>
        </w:tc>
      </w:tr>
      <w:tr w:rsidR="008D74DF" w:rsidRPr="008D74DF" w14:paraId="793E35BA" w14:textId="77777777" w:rsidTr="00470CFC">
        <w:trPr>
          <w:trHeight w:val="285"/>
          <w:jc w:val="center"/>
        </w:trPr>
        <w:tc>
          <w:tcPr>
            <w:tcW w:w="487" w:type="dxa"/>
            <w:vMerge w:val="restart"/>
            <w:tcBorders>
              <w:top w:val="nil"/>
              <w:left w:val="nil"/>
              <w:bottom w:val="single" w:sz="4" w:space="0" w:color="000000"/>
              <w:right w:val="single" w:sz="4" w:space="0" w:color="auto"/>
            </w:tcBorders>
            <w:shd w:val="clear" w:color="auto" w:fill="auto"/>
            <w:noWrap/>
            <w:textDirection w:val="btLr"/>
            <w:vAlign w:val="center"/>
            <w:hideMark/>
          </w:tcPr>
          <w:p w14:paraId="7AC0915B" w14:textId="77777777" w:rsidR="008D74DF" w:rsidRPr="008D74DF" w:rsidRDefault="008D74DF" w:rsidP="00CE411D">
            <w:pPr>
              <w:spacing w:after="0" w:line="240" w:lineRule="auto"/>
              <w:jc w:val="center"/>
              <w:rPr>
                <w:rFonts w:eastAsia="Times New Roman" w:cs="Calibri"/>
                <w:b/>
                <w:bCs/>
              </w:rPr>
            </w:pPr>
            <w:r w:rsidRPr="008D74DF">
              <w:rPr>
                <w:rFonts w:eastAsia="Times New Roman" w:cs="Calibri"/>
                <w:b/>
                <w:bCs/>
              </w:rPr>
              <w:t>Actual</w:t>
            </w:r>
          </w:p>
        </w:tc>
        <w:tc>
          <w:tcPr>
            <w:tcW w:w="420" w:type="dxa"/>
            <w:tcBorders>
              <w:top w:val="nil"/>
              <w:left w:val="nil"/>
              <w:bottom w:val="nil"/>
              <w:right w:val="single" w:sz="4" w:space="0" w:color="auto"/>
            </w:tcBorders>
            <w:shd w:val="clear" w:color="auto" w:fill="auto"/>
            <w:noWrap/>
            <w:vAlign w:val="bottom"/>
            <w:hideMark/>
          </w:tcPr>
          <w:p w14:paraId="4895374F"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1</w:t>
            </w:r>
          </w:p>
        </w:tc>
        <w:tc>
          <w:tcPr>
            <w:tcW w:w="741" w:type="dxa"/>
            <w:tcBorders>
              <w:top w:val="nil"/>
              <w:left w:val="nil"/>
              <w:bottom w:val="nil"/>
              <w:right w:val="nil"/>
            </w:tcBorders>
            <w:shd w:val="clear" w:color="000000" w:fill="B4C6E7"/>
            <w:noWrap/>
            <w:vAlign w:val="bottom"/>
            <w:hideMark/>
          </w:tcPr>
          <w:p w14:paraId="1F77B73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138</w:t>
            </w:r>
          </w:p>
        </w:tc>
        <w:tc>
          <w:tcPr>
            <w:tcW w:w="1007" w:type="dxa"/>
            <w:tcBorders>
              <w:top w:val="nil"/>
              <w:left w:val="nil"/>
              <w:bottom w:val="nil"/>
              <w:right w:val="nil"/>
            </w:tcBorders>
            <w:shd w:val="clear" w:color="auto" w:fill="auto"/>
            <w:noWrap/>
            <w:vAlign w:val="bottom"/>
            <w:hideMark/>
          </w:tcPr>
          <w:p w14:paraId="4EBD0AA1"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338</w:t>
            </w:r>
          </w:p>
        </w:tc>
        <w:tc>
          <w:tcPr>
            <w:tcW w:w="740" w:type="dxa"/>
            <w:tcBorders>
              <w:top w:val="nil"/>
              <w:left w:val="nil"/>
              <w:bottom w:val="nil"/>
              <w:right w:val="nil"/>
            </w:tcBorders>
            <w:shd w:val="clear" w:color="auto" w:fill="auto"/>
            <w:noWrap/>
            <w:vAlign w:val="bottom"/>
            <w:hideMark/>
          </w:tcPr>
          <w:p w14:paraId="454DA52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26</w:t>
            </w:r>
          </w:p>
        </w:tc>
        <w:tc>
          <w:tcPr>
            <w:tcW w:w="708" w:type="dxa"/>
            <w:tcBorders>
              <w:top w:val="nil"/>
              <w:left w:val="nil"/>
              <w:bottom w:val="nil"/>
              <w:right w:val="nil"/>
            </w:tcBorders>
            <w:shd w:val="clear" w:color="auto" w:fill="auto"/>
            <w:noWrap/>
            <w:vAlign w:val="bottom"/>
            <w:hideMark/>
          </w:tcPr>
          <w:p w14:paraId="4EC644ED"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512" w:type="dxa"/>
            <w:tcBorders>
              <w:top w:val="nil"/>
              <w:left w:val="nil"/>
              <w:bottom w:val="nil"/>
              <w:right w:val="nil"/>
            </w:tcBorders>
            <w:shd w:val="clear" w:color="auto" w:fill="auto"/>
            <w:noWrap/>
            <w:vAlign w:val="bottom"/>
            <w:hideMark/>
          </w:tcPr>
          <w:p w14:paraId="274F1DED"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492" w:type="dxa"/>
            <w:tcBorders>
              <w:top w:val="nil"/>
              <w:left w:val="nil"/>
              <w:bottom w:val="nil"/>
              <w:right w:val="single" w:sz="4" w:space="0" w:color="auto"/>
            </w:tcBorders>
            <w:shd w:val="clear" w:color="auto" w:fill="auto"/>
            <w:noWrap/>
            <w:vAlign w:val="bottom"/>
            <w:hideMark/>
          </w:tcPr>
          <w:p w14:paraId="213BE12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960" w:type="dxa"/>
            <w:tcBorders>
              <w:top w:val="nil"/>
              <w:left w:val="nil"/>
              <w:bottom w:val="nil"/>
              <w:right w:val="nil"/>
            </w:tcBorders>
            <w:shd w:val="clear" w:color="auto" w:fill="auto"/>
            <w:noWrap/>
            <w:vAlign w:val="bottom"/>
            <w:hideMark/>
          </w:tcPr>
          <w:p w14:paraId="113A00D2"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502</w:t>
            </w:r>
          </w:p>
        </w:tc>
      </w:tr>
      <w:tr w:rsidR="008D74DF" w:rsidRPr="008D74DF" w14:paraId="05A541A1" w14:textId="77777777" w:rsidTr="00470CFC">
        <w:trPr>
          <w:trHeight w:val="285"/>
          <w:jc w:val="center"/>
        </w:trPr>
        <w:tc>
          <w:tcPr>
            <w:tcW w:w="487" w:type="dxa"/>
            <w:vMerge/>
            <w:tcBorders>
              <w:top w:val="nil"/>
              <w:left w:val="nil"/>
              <w:bottom w:val="single" w:sz="4" w:space="0" w:color="000000"/>
              <w:right w:val="single" w:sz="4" w:space="0" w:color="auto"/>
            </w:tcBorders>
            <w:vAlign w:val="center"/>
            <w:hideMark/>
          </w:tcPr>
          <w:p w14:paraId="62A01EAC"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33C5A14C"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2</w:t>
            </w:r>
          </w:p>
        </w:tc>
        <w:tc>
          <w:tcPr>
            <w:tcW w:w="741" w:type="dxa"/>
            <w:tcBorders>
              <w:top w:val="nil"/>
              <w:left w:val="nil"/>
              <w:bottom w:val="nil"/>
              <w:right w:val="nil"/>
            </w:tcBorders>
            <w:shd w:val="clear" w:color="auto" w:fill="auto"/>
            <w:noWrap/>
            <w:vAlign w:val="bottom"/>
            <w:hideMark/>
          </w:tcPr>
          <w:p w14:paraId="3FC9C144"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85</w:t>
            </w:r>
          </w:p>
        </w:tc>
        <w:tc>
          <w:tcPr>
            <w:tcW w:w="1007" w:type="dxa"/>
            <w:tcBorders>
              <w:top w:val="nil"/>
              <w:left w:val="nil"/>
              <w:bottom w:val="nil"/>
              <w:right w:val="nil"/>
            </w:tcBorders>
            <w:shd w:val="clear" w:color="000000" w:fill="B4C6E7"/>
            <w:noWrap/>
            <w:vAlign w:val="bottom"/>
            <w:hideMark/>
          </w:tcPr>
          <w:p w14:paraId="3A0833AE"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812</w:t>
            </w:r>
          </w:p>
        </w:tc>
        <w:tc>
          <w:tcPr>
            <w:tcW w:w="740" w:type="dxa"/>
            <w:tcBorders>
              <w:top w:val="nil"/>
              <w:left w:val="nil"/>
              <w:bottom w:val="nil"/>
              <w:right w:val="nil"/>
            </w:tcBorders>
            <w:shd w:val="clear" w:color="auto" w:fill="auto"/>
            <w:noWrap/>
            <w:vAlign w:val="bottom"/>
            <w:hideMark/>
          </w:tcPr>
          <w:p w14:paraId="67B37C3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209</w:t>
            </w:r>
          </w:p>
        </w:tc>
        <w:tc>
          <w:tcPr>
            <w:tcW w:w="708" w:type="dxa"/>
            <w:tcBorders>
              <w:top w:val="nil"/>
              <w:left w:val="nil"/>
              <w:bottom w:val="nil"/>
              <w:right w:val="nil"/>
            </w:tcBorders>
            <w:shd w:val="clear" w:color="auto" w:fill="auto"/>
            <w:noWrap/>
            <w:vAlign w:val="bottom"/>
            <w:hideMark/>
          </w:tcPr>
          <w:p w14:paraId="6BB13A4C"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10</w:t>
            </w:r>
          </w:p>
        </w:tc>
        <w:tc>
          <w:tcPr>
            <w:tcW w:w="512" w:type="dxa"/>
            <w:tcBorders>
              <w:top w:val="nil"/>
              <w:left w:val="nil"/>
              <w:bottom w:val="nil"/>
              <w:right w:val="nil"/>
            </w:tcBorders>
            <w:shd w:val="clear" w:color="auto" w:fill="auto"/>
            <w:noWrap/>
            <w:vAlign w:val="bottom"/>
            <w:hideMark/>
          </w:tcPr>
          <w:p w14:paraId="09165A2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492" w:type="dxa"/>
            <w:tcBorders>
              <w:top w:val="nil"/>
              <w:left w:val="nil"/>
              <w:bottom w:val="nil"/>
              <w:right w:val="single" w:sz="4" w:space="0" w:color="auto"/>
            </w:tcBorders>
            <w:shd w:val="clear" w:color="auto" w:fill="auto"/>
            <w:noWrap/>
            <w:vAlign w:val="bottom"/>
            <w:hideMark/>
          </w:tcPr>
          <w:p w14:paraId="398DCE1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960" w:type="dxa"/>
            <w:tcBorders>
              <w:top w:val="nil"/>
              <w:left w:val="nil"/>
              <w:bottom w:val="nil"/>
              <w:right w:val="nil"/>
            </w:tcBorders>
            <w:shd w:val="clear" w:color="auto" w:fill="auto"/>
            <w:noWrap/>
            <w:vAlign w:val="bottom"/>
            <w:hideMark/>
          </w:tcPr>
          <w:p w14:paraId="1028BB47"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1,116</w:t>
            </w:r>
          </w:p>
        </w:tc>
      </w:tr>
      <w:tr w:rsidR="008D74DF" w:rsidRPr="008D74DF" w14:paraId="650F50A9" w14:textId="77777777" w:rsidTr="00470CFC">
        <w:trPr>
          <w:trHeight w:val="285"/>
          <w:jc w:val="center"/>
        </w:trPr>
        <w:tc>
          <w:tcPr>
            <w:tcW w:w="487" w:type="dxa"/>
            <w:vMerge/>
            <w:tcBorders>
              <w:top w:val="nil"/>
              <w:left w:val="nil"/>
              <w:bottom w:val="single" w:sz="4" w:space="0" w:color="000000"/>
              <w:right w:val="single" w:sz="4" w:space="0" w:color="auto"/>
            </w:tcBorders>
            <w:vAlign w:val="center"/>
            <w:hideMark/>
          </w:tcPr>
          <w:p w14:paraId="2FD35EC2"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5AE704D4"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3</w:t>
            </w:r>
          </w:p>
        </w:tc>
        <w:tc>
          <w:tcPr>
            <w:tcW w:w="741" w:type="dxa"/>
            <w:tcBorders>
              <w:top w:val="nil"/>
              <w:left w:val="nil"/>
              <w:bottom w:val="nil"/>
              <w:right w:val="nil"/>
            </w:tcBorders>
            <w:shd w:val="clear" w:color="auto" w:fill="auto"/>
            <w:noWrap/>
            <w:vAlign w:val="bottom"/>
            <w:hideMark/>
          </w:tcPr>
          <w:p w14:paraId="6BB11660"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18</w:t>
            </w:r>
          </w:p>
        </w:tc>
        <w:tc>
          <w:tcPr>
            <w:tcW w:w="1007" w:type="dxa"/>
            <w:tcBorders>
              <w:top w:val="nil"/>
              <w:left w:val="nil"/>
              <w:bottom w:val="nil"/>
              <w:right w:val="nil"/>
            </w:tcBorders>
            <w:shd w:val="clear" w:color="auto" w:fill="auto"/>
            <w:noWrap/>
            <w:vAlign w:val="bottom"/>
            <w:hideMark/>
          </w:tcPr>
          <w:p w14:paraId="03B4472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417</w:t>
            </w:r>
          </w:p>
        </w:tc>
        <w:tc>
          <w:tcPr>
            <w:tcW w:w="740" w:type="dxa"/>
            <w:tcBorders>
              <w:top w:val="nil"/>
              <w:left w:val="nil"/>
              <w:bottom w:val="nil"/>
              <w:right w:val="nil"/>
            </w:tcBorders>
            <w:shd w:val="clear" w:color="000000" w:fill="B4C6E7"/>
            <w:noWrap/>
            <w:vAlign w:val="bottom"/>
            <w:hideMark/>
          </w:tcPr>
          <w:p w14:paraId="361A7AC3"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300</w:t>
            </w:r>
          </w:p>
        </w:tc>
        <w:tc>
          <w:tcPr>
            <w:tcW w:w="708" w:type="dxa"/>
            <w:tcBorders>
              <w:top w:val="nil"/>
              <w:left w:val="nil"/>
              <w:bottom w:val="nil"/>
              <w:right w:val="nil"/>
            </w:tcBorders>
            <w:shd w:val="clear" w:color="auto" w:fill="auto"/>
            <w:noWrap/>
            <w:vAlign w:val="bottom"/>
            <w:hideMark/>
          </w:tcPr>
          <w:p w14:paraId="30E44B4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39</w:t>
            </w:r>
          </w:p>
        </w:tc>
        <w:tc>
          <w:tcPr>
            <w:tcW w:w="512" w:type="dxa"/>
            <w:tcBorders>
              <w:top w:val="nil"/>
              <w:left w:val="nil"/>
              <w:bottom w:val="nil"/>
              <w:right w:val="nil"/>
            </w:tcBorders>
            <w:shd w:val="clear" w:color="auto" w:fill="auto"/>
            <w:noWrap/>
            <w:vAlign w:val="bottom"/>
            <w:hideMark/>
          </w:tcPr>
          <w:p w14:paraId="4128C4B9"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w:t>
            </w:r>
          </w:p>
        </w:tc>
        <w:tc>
          <w:tcPr>
            <w:tcW w:w="492" w:type="dxa"/>
            <w:tcBorders>
              <w:top w:val="nil"/>
              <w:left w:val="nil"/>
              <w:bottom w:val="nil"/>
              <w:right w:val="single" w:sz="4" w:space="0" w:color="auto"/>
            </w:tcBorders>
            <w:shd w:val="clear" w:color="auto" w:fill="auto"/>
            <w:noWrap/>
            <w:vAlign w:val="bottom"/>
            <w:hideMark/>
          </w:tcPr>
          <w:p w14:paraId="540FD68E"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960" w:type="dxa"/>
            <w:tcBorders>
              <w:top w:val="nil"/>
              <w:left w:val="nil"/>
              <w:bottom w:val="nil"/>
              <w:right w:val="nil"/>
            </w:tcBorders>
            <w:shd w:val="clear" w:color="auto" w:fill="auto"/>
            <w:noWrap/>
            <w:vAlign w:val="bottom"/>
            <w:hideMark/>
          </w:tcPr>
          <w:p w14:paraId="7EA6EE42"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778</w:t>
            </w:r>
          </w:p>
        </w:tc>
      </w:tr>
      <w:tr w:rsidR="008D74DF" w:rsidRPr="008D74DF" w14:paraId="58748A14" w14:textId="77777777" w:rsidTr="00470CFC">
        <w:trPr>
          <w:trHeight w:val="285"/>
          <w:jc w:val="center"/>
        </w:trPr>
        <w:tc>
          <w:tcPr>
            <w:tcW w:w="487" w:type="dxa"/>
            <w:vMerge/>
            <w:tcBorders>
              <w:top w:val="nil"/>
              <w:left w:val="nil"/>
              <w:bottom w:val="single" w:sz="4" w:space="0" w:color="000000"/>
              <w:right w:val="single" w:sz="4" w:space="0" w:color="auto"/>
            </w:tcBorders>
            <w:vAlign w:val="center"/>
            <w:hideMark/>
          </w:tcPr>
          <w:p w14:paraId="179658CF"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7DD9C8E0"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4</w:t>
            </w:r>
          </w:p>
        </w:tc>
        <w:tc>
          <w:tcPr>
            <w:tcW w:w="741" w:type="dxa"/>
            <w:tcBorders>
              <w:top w:val="nil"/>
              <w:left w:val="nil"/>
              <w:bottom w:val="nil"/>
              <w:right w:val="nil"/>
            </w:tcBorders>
            <w:shd w:val="clear" w:color="auto" w:fill="auto"/>
            <w:noWrap/>
            <w:vAlign w:val="bottom"/>
            <w:hideMark/>
          </w:tcPr>
          <w:p w14:paraId="26FC24C0"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1007" w:type="dxa"/>
            <w:tcBorders>
              <w:top w:val="nil"/>
              <w:left w:val="nil"/>
              <w:bottom w:val="nil"/>
              <w:right w:val="nil"/>
            </w:tcBorders>
            <w:shd w:val="clear" w:color="auto" w:fill="auto"/>
            <w:noWrap/>
            <w:vAlign w:val="bottom"/>
            <w:hideMark/>
          </w:tcPr>
          <w:p w14:paraId="321A987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76</w:t>
            </w:r>
          </w:p>
        </w:tc>
        <w:tc>
          <w:tcPr>
            <w:tcW w:w="740" w:type="dxa"/>
            <w:tcBorders>
              <w:top w:val="nil"/>
              <w:left w:val="nil"/>
              <w:bottom w:val="nil"/>
              <w:right w:val="nil"/>
            </w:tcBorders>
            <w:shd w:val="clear" w:color="auto" w:fill="auto"/>
            <w:noWrap/>
            <w:vAlign w:val="bottom"/>
            <w:hideMark/>
          </w:tcPr>
          <w:p w14:paraId="4157E85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172</w:t>
            </w:r>
          </w:p>
        </w:tc>
        <w:tc>
          <w:tcPr>
            <w:tcW w:w="708" w:type="dxa"/>
            <w:tcBorders>
              <w:top w:val="nil"/>
              <w:left w:val="nil"/>
              <w:bottom w:val="nil"/>
              <w:right w:val="nil"/>
            </w:tcBorders>
            <w:shd w:val="clear" w:color="000000" w:fill="B4C6E7"/>
            <w:noWrap/>
            <w:vAlign w:val="bottom"/>
            <w:hideMark/>
          </w:tcPr>
          <w:p w14:paraId="64794D03"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78</w:t>
            </w:r>
          </w:p>
        </w:tc>
        <w:tc>
          <w:tcPr>
            <w:tcW w:w="512" w:type="dxa"/>
            <w:tcBorders>
              <w:top w:val="nil"/>
              <w:left w:val="nil"/>
              <w:bottom w:val="nil"/>
              <w:right w:val="nil"/>
            </w:tcBorders>
            <w:shd w:val="clear" w:color="auto" w:fill="auto"/>
            <w:noWrap/>
            <w:vAlign w:val="bottom"/>
            <w:hideMark/>
          </w:tcPr>
          <w:p w14:paraId="1C8C4C2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11</w:t>
            </w:r>
          </w:p>
        </w:tc>
        <w:tc>
          <w:tcPr>
            <w:tcW w:w="492" w:type="dxa"/>
            <w:tcBorders>
              <w:top w:val="nil"/>
              <w:left w:val="nil"/>
              <w:bottom w:val="nil"/>
              <w:right w:val="single" w:sz="4" w:space="0" w:color="auto"/>
            </w:tcBorders>
            <w:shd w:val="clear" w:color="auto" w:fill="auto"/>
            <w:noWrap/>
            <w:vAlign w:val="bottom"/>
            <w:hideMark/>
          </w:tcPr>
          <w:p w14:paraId="4D522266"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w:t>
            </w:r>
          </w:p>
        </w:tc>
        <w:tc>
          <w:tcPr>
            <w:tcW w:w="960" w:type="dxa"/>
            <w:tcBorders>
              <w:top w:val="nil"/>
              <w:left w:val="nil"/>
              <w:bottom w:val="nil"/>
              <w:right w:val="nil"/>
            </w:tcBorders>
            <w:shd w:val="clear" w:color="auto" w:fill="auto"/>
            <w:noWrap/>
            <w:vAlign w:val="bottom"/>
            <w:hideMark/>
          </w:tcPr>
          <w:p w14:paraId="62FE7FAA"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338</w:t>
            </w:r>
          </w:p>
        </w:tc>
      </w:tr>
      <w:tr w:rsidR="008D74DF" w:rsidRPr="008D74DF" w14:paraId="4AF99030" w14:textId="77777777" w:rsidTr="004A4BA8">
        <w:trPr>
          <w:trHeight w:val="285"/>
          <w:jc w:val="center"/>
        </w:trPr>
        <w:tc>
          <w:tcPr>
            <w:tcW w:w="487" w:type="dxa"/>
            <w:vMerge/>
            <w:tcBorders>
              <w:top w:val="nil"/>
              <w:left w:val="nil"/>
              <w:bottom w:val="single" w:sz="4" w:space="0" w:color="000000"/>
              <w:right w:val="single" w:sz="4" w:space="0" w:color="auto"/>
            </w:tcBorders>
            <w:vAlign w:val="center"/>
            <w:hideMark/>
          </w:tcPr>
          <w:p w14:paraId="09E1FBA2" w14:textId="77777777" w:rsidR="008D74DF" w:rsidRPr="008D74DF" w:rsidRDefault="008D74DF" w:rsidP="008D74DF">
            <w:pPr>
              <w:spacing w:after="0" w:line="240" w:lineRule="auto"/>
              <w:rPr>
                <w:rFonts w:eastAsia="Times New Roman" w:cs="Calibri"/>
                <w:b/>
                <w:bCs/>
              </w:rPr>
            </w:pPr>
          </w:p>
        </w:tc>
        <w:tc>
          <w:tcPr>
            <w:tcW w:w="420" w:type="dxa"/>
            <w:tcBorders>
              <w:top w:val="nil"/>
              <w:left w:val="nil"/>
              <w:right w:val="single" w:sz="4" w:space="0" w:color="auto"/>
            </w:tcBorders>
            <w:shd w:val="clear" w:color="auto" w:fill="auto"/>
            <w:noWrap/>
            <w:vAlign w:val="bottom"/>
            <w:hideMark/>
          </w:tcPr>
          <w:p w14:paraId="3D7F2B93"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5</w:t>
            </w:r>
          </w:p>
        </w:tc>
        <w:tc>
          <w:tcPr>
            <w:tcW w:w="741" w:type="dxa"/>
            <w:tcBorders>
              <w:top w:val="nil"/>
              <w:left w:val="nil"/>
              <w:right w:val="nil"/>
            </w:tcBorders>
            <w:shd w:val="clear" w:color="auto" w:fill="auto"/>
            <w:noWrap/>
            <w:vAlign w:val="bottom"/>
            <w:hideMark/>
          </w:tcPr>
          <w:p w14:paraId="52B7894F"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1007" w:type="dxa"/>
            <w:tcBorders>
              <w:top w:val="nil"/>
              <w:left w:val="nil"/>
              <w:right w:val="nil"/>
            </w:tcBorders>
            <w:shd w:val="clear" w:color="auto" w:fill="auto"/>
            <w:noWrap/>
            <w:vAlign w:val="bottom"/>
            <w:hideMark/>
          </w:tcPr>
          <w:p w14:paraId="661B6C8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14</w:t>
            </w:r>
          </w:p>
        </w:tc>
        <w:tc>
          <w:tcPr>
            <w:tcW w:w="740" w:type="dxa"/>
            <w:tcBorders>
              <w:top w:val="nil"/>
              <w:left w:val="nil"/>
              <w:right w:val="nil"/>
            </w:tcBorders>
            <w:shd w:val="clear" w:color="auto" w:fill="auto"/>
            <w:noWrap/>
            <w:vAlign w:val="bottom"/>
            <w:hideMark/>
          </w:tcPr>
          <w:p w14:paraId="45201053"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55</w:t>
            </w:r>
          </w:p>
        </w:tc>
        <w:tc>
          <w:tcPr>
            <w:tcW w:w="708" w:type="dxa"/>
            <w:tcBorders>
              <w:top w:val="nil"/>
              <w:left w:val="nil"/>
              <w:right w:val="nil"/>
            </w:tcBorders>
            <w:shd w:val="clear" w:color="auto" w:fill="auto"/>
            <w:noWrap/>
            <w:vAlign w:val="bottom"/>
            <w:hideMark/>
          </w:tcPr>
          <w:p w14:paraId="7A1F155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42</w:t>
            </w:r>
          </w:p>
        </w:tc>
        <w:tc>
          <w:tcPr>
            <w:tcW w:w="512" w:type="dxa"/>
            <w:tcBorders>
              <w:top w:val="nil"/>
              <w:left w:val="nil"/>
              <w:right w:val="nil"/>
            </w:tcBorders>
            <w:shd w:val="clear" w:color="000000" w:fill="B4C6E7"/>
            <w:noWrap/>
            <w:vAlign w:val="bottom"/>
            <w:hideMark/>
          </w:tcPr>
          <w:p w14:paraId="1582BEF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17</w:t>
            </w:r>
          </w:p>
        </w:tc>
        <w:tc>
          <w:tcPr>
            <w:tcW w:w="492" w:type="dxa"/>
            <w:tcBorders>
              <w:top w:val="nil"/>
              <w:left w:val="nil"/>
              <w:right w:val="single" w:sz="4" w:space="0" w:color="auto"/>
            </w:tcBorders>
            <w:shd w:val="clear" w:color="auto" w:fill="auto"/>
            <w:noWrap/>
            <w:vAlign w:val="bottom"/>
            <w:hideMark/>
          </w:tcPr>
          <w:p w14:paraId="53E4D615"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5</w:t>
            </w:r>
          </w:p>
        </w:tc>
        <w:tc>
          <w:tcPr>
            <w:tcW w:w="960" w:type="dxa"/>
            <w:tcBorders>
              <w:top w:val="nil"/>
              <w:left w:val="nil"/>
              <w:right w:val="nil"/>
            </w:tcBorders>
            <w:shd w:val="clear" w:color="auto" w:fill="auto"/>
            <w:noWrap/>
            <w:vAlign w:val="bottom"/>
            <w:hideMark/>
          </w:tcPr>
          <w:p w14:paraId="0CF5C0FE"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133</w:t>
            </w:r>
          </w:p>
        </w:tc>
      </w:tr>
      <w:tr w:rsidR="008D74DF" w:rsidRPr="008D74DF" w14:paraId="18E50ED3" w14:textId="77777777" w:rsidTr="004A4BA8">
        <w:trPr>
          <w:trHeight w:val="285"/>
          <w:jc w:val="center"/>
        </w:trPr>
        <w:tc>
          <w:tcPr>
            <w:tcW w:w="487" w:type="dxa"/>
            <w:vMerge/>
            <w:tcBorders>
              <w:top w:val="nil"/>
              <w:left w:val="nil"/>
              <w:right w:val="single" w:sz="4" w:space="0" w:color="auto"/>
            </w:tcBorders>
            <w:vAlign w:val="center"/>
            <w:hideMark/>
          </w:tcPr>
          <w:p w14:paraId="631D58F4"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single" w:sz="4" w:space="0" w:color="auto"/>
              <w:right w:val="single" w:sz="4" w:space="0" w:color="auto"/>
            </w:tcBorders>
            <w:shd w:val="clear" w:color="auto" w:fill="auto"/>
            <w:noWrap/>
            <w:vAlign w:val="bottom"/>
            <w:hideMark/>
          </w:tcPr>
          <w:p w14:paraId="77EA6879"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6</w:t>
            </w:r>
          </w:p>
        </w:tc>
        <w:tc>
          <w:tcPr>
            <w:tcW w:w="741" w:type="dxa"/>
            <w:tcBorders>
              <w:top w:val="nil"/>
              <w:left w:val="nil"/>
              <w:bottom w:val="single" w:sz="4" w:space="0" w:color="auto"/>
              <w:right w:val="nil"/>
            </w:tcBorders>
            <w:shd w:val="clear" w:color="auto" w:fill="auto"/>
            <w:noWrap/>
            <w:vAlign w:val="bottom"/>
            <w:hideMark/>
          </w:tcPr>
          <w:p w14:paraId="76B6D002"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1007" w:type="dxa"/>
            <w:tcBorders>
              <w:top w:val="nil"/>
              <w:left w:val="nil"/>
              <w:bottom w:val="single" w:sz="4" w:space="0" w:color="auto"/>
              <w:right w:val="nil"/>
            </w:tcBorders>
            <w:shd w:val="clear" w:color="auto" w:fill="auto"/>
            <w:noWrap/>
            <w:vAlign w:val="bottom"/>
            <w:hideMark/>
          </w:tcPr>
          <w:p w14:paraId="5E56C5D9"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740" w:type="dxa"/>
            <w:tcBorders>
              <w:top w:val="nil"/>
              <w:left w:val="nil"/>
              <w:bottom w:val="single" w:sz="4" w:space="0" w:color="auto"/>
              <w:right w:val="nil"/>
            </w:tcBorders>
            <w:shd w:val="clear" w:color="auto" w:fill="auto"/>
            <w:noWrap/>
            <w:vAlign w:val="bottom"/>
            <w:hideMark/>
          </w:tcPr>
          <w:p w14:paraId="41F1100A"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13</w:t>
            </w:r>
          </w:p>
        </w:tc>
        <w:tc>
          <w:tcPr>
            <w:tcW w:w="708" w:type="dxa"/>
            <w:tcBorders>
              <w:top w:val="nil"/>
              <w:left w:val="nil"/>
              <w:bottom w:val="single" w:sz="4" w:space="0" w:color="auto"/>
              <w:right w:val="nil"/>
            </w:tcBorders>
            <w:shd w:val="clear" w:color="auto" w:fill="auto"/>
            <w:noWrap/>
            <w:vAlign w:val="bottom"/>
            <w:hideMark/>
          </w:tcPr>
          <w:p w14:paraId="58013349"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19</w:t>
            </w:r>
          </w:p>
        </w:tc>
        <w:tc>
          <w:tcPr>
            <w:tcW w:w="512" w:type="dxa"/>
            <w:tcBorders>
              <w:top w:val="nil"/>
              <w:left w:val="nil"/>
              <w:bottom w:val="single" w:sz="4" w:space="0" w:color="auto"/>
              <w:right w:val="nil"/>
            </w:tcBorders>
            <w:shd w:val="clear" w:color="auto" w:fill="auto"/>
            <w:noWrap/>
            <w:vAlign w:val="bottom"/>
            <w:hideMark/>
          </w:tcPr>
          <w:p w14:paraId="411967B0"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8</w:t>
            </w:r>
          </w:p>
        </w:tc>
        <w:tc>
          <w:tcPr>
            <w:tcW w:w="492" w:type="dxa"/>
            <w:tcBorders>
              <w:top w:val="nil"/>
              <w:left w:val="nil"/>
              <w:bottom w:val="single" w:sz="4" w:space="0" w:color="auto"/>
              <w:right w:val="single" w:sz="4" w:space="0" w:color="auto"/>
            </w:tcBorders>
            <w:shd w:val="clear" w:color="000000" w:fill="B4C6E7"/>
            <w:noWrap/>
            <w:vAlign w:val="bottom"/>
            <w:hideMark/>
          </w:tcPr>
          <w:p w14:paraId="06ABA18F"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w:t>
            </w:r>
          </w:p>
        </w:tc>
        <w:tc>
          <w:tcPr>
            <w:tcW w:w="960" w:type="dxa"/>
            <w:tcBorders>
              <w:top w:val="nil"/>
              <w:left w:val="nil"/>
              <w:bottom w:val="single" w:sz="4" w:space="0" w:color="auto"/>
              <w:right w:val="nil"/>
            </w:tcBorders>
            <w:shd w:val="clear" w:color="auto" w:fill="auto"/>
            <w:noWrap/>
            <w:vAlign w:val="bottom"/>
            <w:hideMark/>
          </w:tcPr>
          <w:p w14:paraId="01619D88"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44</w:t>
            </w:r>
          </w:p>
        </w:tc>
      </w:tr>
      <w:tr w:rsidR="008D74DF" w:rsidRPr="008D74DF" w14:paraId="01952C01" w14:textId="77777777" w:rsidTr="004A4BA8">
        <w:trPr>
          <w:trHeight w:val="300"/>
          <w:jc w:val="center"/>
        </w:trPr>
        <w:tc>
          <w:tcPr>
            <w:tcW w:w="907" w:type="dxa"/>
            <w:gridSpan w:val="2"/>
            <w:tcBorders>
              <w:top w:val="nil"/>
              <w:left w:val="nil"/>
              <w:bottom w:val="single" w:sz="4" w:space="0" w:color="auto"/>
              <w:right w:val="single" w:sz="4" w:space="0" w:color="000000"/>
            </w:tcBorders>
            <w:shd w:val="clear" w:color="auto" w:fill="auto"/>
            <w:noWrap/>
            <w:vAlign w:val="bottom"/>
            <w:hideMark/>
          </w:tcPr>
          <w:p w14:paraId="267672C5" w14:textId="77777777" w:rsidR="008D74DF" w:rsidRPr="008D74DF" w:rsidRDefault="008D74DF" w:rsidP="008D74DF">
            <w:pPr>
              <w:spacing w:after="0" w:line="240" w:lineRule="auto"/>
              <w:jc w:val="right"/>
              <w:rPr>
                <w:rFonts w:eastAsia="Times New Roman" w:cs="Calibri"/>
                <w:i/>
                <w:iCs/>
              </w:rPr>
            </w:pPr>
            <w:r w:rsidRPr="008D74DF">
              <w:rPr>
                <w:rFonts w:eastAsia="Times New Roman" w:cs="Calibri"/>
                <w:i/>
                <w:iCs/>
              </w:rPr>
              <w:t>Total</w:t>
            </w:r>
          </w:p>
        </w:tc>
        <w:tc>
          <w:tcPr>
            <w:tcW w:w="741" w:type="dxa"/>
            <w:tcBorders>
              <w:top w:val="nil"/>
              <w:left w:val="nil"/>
              <w:bottom w:val="single" w:sz="4" w:space="0" w:color="auto"/>
              <w:right w:val="nil"/>
            </w:tcBorders>
            <w:shd w:val="clear" w:color="auto" w:fill="auto"/>
            <w:noWrap/>
            <w:vAlign w:val="bottom"/>
            <w:hideMark/>
          </w:tcPr>
          <w:p w14:paraId="291DC4CD"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241</w:t>
            </w:r>
          </w:p>
        </w:tc>
        <w:tc>
          <w:tcPr>
            <w:tcW w:w="1007" w:type="dxa"/>
            <w:tcBorders>
              <w:top w:val="nil"/>
              <w:left w:val="nil"/>
              <w:bottom w:val="single" w:sz="4" w:space="0" w:color="auto"/>
              <w:right w:val="nil"/>
            </w:tcBorders>
            <w:shd w:val="clear" w:color="auto" w:fill="auto"/>
            <w:noWrap/>
            <w:vAlign w:val="bottom"/>
            <w:hideMark/>
          </w:tcPr>
          <w:p w14:paraId="7613A467"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1,657</w:t>
            </w:r>
          </w:p>
        </w:tc>
        <w:tc>
          <w:tcPr>
            <w:tcW w:w="740" w:type="dxa"/>
            <w:tcBorders>
              <w:top w:val="nil"/>
              <w:left w:val="nil"/>
              <w:bottom w:val="single" w:sz="4" w:space="0" w:color="auto"/>
              <w:right w:val="nil"/>
            </w:tcBorders>
            <w:shd w:val="clear" w:color="auto" w:fill="auto"/>
            <w:noWrap/>
            <w:vAlign w:val="bottom"/>
            <w:hideMark/>
          </w:tcPr>
          <w:p w14:paraId="6A970741"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775</w:t>
            </w:r>
          </w:p>
        </w:tc>
        <w:tc>
          <w:tcPr>
            <w:tcW w:w="708" w:type="dxa"/>
            <w:tcBorders>
              <w:top w:val="nil"/>
              <w:left w:val="nil"/>
              <w:bottom w:val="single" w:sz="4" w:space="0" w:color="auto"/>
              <w:right w:val="nil"/>
            </w:tcBorders>
            <w:shd w:val="clear" w:color="auto" w:fill="auto"/>
            <w:noWrap/>
            <w:vAlign w:val="bottom"/>
            <w:hideMark/>
          </w:tcPr>
          <w:p w14:paraId="3EFE2633"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188</w:t>
            </w:r>
          </w:p>
        </w:tc>
        <w:tc>
          <w:tcPr>
            <w:tcW w:w="512" w:type="dxa"/>
            <w:tcBorders>
              <w:top w:val="nil"/>
              <w:left w:val="nil"/>
              <w:bottom w:val="single" w:sz="4" w:space="0" w:color="auto"/>
              <w:right w:val="nil"/>
            </w:tcBorders>
            <w:shd w:val="clear" w:color="auto" w:fill="auto"/>
            <w:noWrap/>
            <w:vAlign w:val="bottom"/>
            <w:hideMark/>
          </w:tcPr>
          <w:p w14:paraId="370C4759"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40</w:t>
            </w:r>
          </w:p>
        </w:tc>
        <w:tc>
          <w:tcPr>
            <w:tcW w:w="492" w:type="dxa"/>
            <w:tcBorders>
              <w:top w:val="nil"/>
              <w:left w:val="nil"/>
              <w:bottom w:val="single" w:sz="4" w:space="0" w:color="auto"/>
              <w:right w:val="single" w:sz="4" w:space="0" w:color="auto"/>
            </w:tcBorders>
            <w:shd w:val="clear" w:color="auto" w:fill="auto"/>
            <w:noWrap/>
            <w:vAlign w:val="bottom"/>
            <w:hideMark/>
          </w:tcPr>
          <w:p w14:paraId="6D19EC7C"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10</w:t>
            </w:r>
          </w:p>
        </w:tc>
        <w:tc>
          <w:tcPr>
            <w:tcW w:w="960" w:type="dxa"/>
            <w:tcBorders>
              <w:top w:val="nil"/>
              <w:left w:val="nil"/>
              <w:bottom w:val="single" w:sz="4" w:space="0" w:color="auto"/>
              <w:right w:val="nil"/>
            </w:tcBorders>
            <w:shd w:val="clear" w:color="auto" w:fill="auto"/>
            <w:noWrap/>
            <w:vAlign w:val="bottom"/>
            <w:hideMark/>
          </w:tcPr>
          <w:p w14:paraId="16923202"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2,911</w:t>
            </w:r>
          </w:p>
        </w:tc>
      </w:tr>
    </w:tbl>
    <w:p w14:paraId="4E6376B4" w14:textId="77777777" w:rsidR="008D74DF" w:rsidRDefault="008D74DF" w:rsidP="001F5F80"/>
    <w:p w14:paraId="398F3DD2" w14:textId="2A151C16" w:rsidR="005F66DA" w:rsidRDefault="008D74DF" w:rsidP="001F5F80">
      <w:r>
        <w:t xml:space="preserve">The diagonal elements of the confusion matrix in Table </w:t>
      </w:r>
      <w:r w:rsidR="00AD1404">
        <w:t>2</w:t>
      </w:r>
      <w:r>
        <w:t xml:space="preserve"> (highlighted in blue) contain the counts of students for whom predicted ratings matched actual ratings.  Students to the left and right of the diagonal are students for whom predicted ratings were lower and higher, respectively, than their actual ratings.</w:t>
      </w:r>
    </w:p>
    <w:p w14:paraId="6F0373C0" w14:textId="36EFBE60" w:rsidR="008D74DF" w:rsidRPr="005F66DA" w:rsidRDefault="008D74DF" w:rsidP="001F5F80">
      <w:r>
        <w:t>The confusion matrix for each prediction model is used as the basis for computing statistics for assessing model accuracy.</w:t>
      </w:r>
    </w:p>
    <w:p w14:paraId="577A8B2D" w14:textId="5157934B" w:rsidR="005667FB" w:rsidRPr="000E4787" w:rsidRDefault="005667FB" w:rsidP="00617D2A">
      <w:pPr>
        <w:pStyle w:val="Heading4"/>
      </w:pPr>
      <w:r w:rsidRPr="000E4787">
        <w:t>Recall</w:t>
      </w:r>
    </w:p>
    <w:p w14:paraId="5B73BF5A" w14:textId="7945870C" w:rsidR="00C72BC7" w:rsidRDefault="004F3DE6" w:rsidP="001F5F80">
      <w:r>
        <w:t xml:space="preserve">The </w:t>
      </w:r>
      <w:r>
        <w:rPr>
          <w:i/>
          <w:iCs/>
        </w:rPr>
        <w:t>recall</w:t>
      </w:r>
      <w:r>
        <w:t xml:space="preserve"> (also called </w:t>
      </w:r>
      <w:r w:rsidRPr="004F3DE6">
        <w:rPr>
          <w:i/>
          <w:iCs/>
        </w:rPr>
        <w:t>sensitivity</w:t>
      </w:r>
      <w:r>
        <w:t xml:space="preserve"> in some contexts) </w:t>
      </w:r>
      <w:r w:rsidRPr="004F3DE6">
        <w:t>for</w:t>
      </w:r>
      <w:r>
        <w:t xml:space="preserve"> an ensemble rating of </w:t>
      </w:r>
      <w:r w:rsidRPr="004F3DE6">
        <w:rPr>
          <w:i/>
          <w:iCs/>
        </w:rPr>
        <w:t>k</w:t>
      </w:r>
      <w:r>
        <w:t xml:space="preserve"> is the proportion of students with an actual rating of </w:t>
      </w:r>
      <w:r>
        <w:rPr>
          <w:i/>
          <w:iCs/>
        </w:rPr>
        <w:t>k</w:t>
      </w:r>
      <w:r>
        <w:t xml:space="preserve"> who whose predicted score was also </w:t>
      </w:r>
      <w:r>
        <w:rPr>
          <w:i/>
          <w:iCs/>
        </w:rPr>
        <w:t>k</w:t>
      </w:r>
      <w:r>
        <w:t xml:space="preserve">. </w:t>
      </w:r>
      <w:r w:rsidR="008D74DF">
        <w:t xml:space="preserve"> In Table </w:t>
      </w:r>
      <w:r w:rsidR="009E5AD3">
        <w:t>2</w:t>
      </w:r>
      <w:r w:rsidR="008D74DF">
        <w:t xml:space="preserve">, this is the number of accurate predictions in a row divided by the total students in the row.  For example, 300 students were accurately predicted </w:t>
      </w:r>
      <w:r w:rsidR="009E5AD3">
        <w:t>as having</w:t>
      </w:r>
      <w:r w:rsidR="008D74DF">
        <w:t xml:space="preserve"> a rating of 3, and the </w:t>
      </w:r>
      <w:r w:rsidR="00546A70">
        <w:t>total number of students with an actual rating of 3 was 778 (the row total), resulting in a recall rate of 300/778 = 38.6%</w:t>
      </w:r>
      <w:r>
        <w:t>.  Each model has six recall rates – one for each ensemble rating.</w:t>
      </w:r>
    </w:p>
    <w:p w14:paraId="6E293260" w14:textId="778052D3" w:rsidR="004F3DE6" w:rsidRDefault="004F3DE6" w:rsidP="00617D2A">
      <w:pPr>
        <w:pStyle w:val="Heading4"/>
      </w:pPr>
      <w:r>
        <w:lastRenderedPageBreak/>
        <w:t>Precision</w:t>
      </w:r>
    </w:p>
    <w:p w14:paraId="10F66171" w14:textId="7B105813" w:rsidR="004F3DE6" w:rsidRPr="002E77FF" w:rsidRDefault="003E5D76" w:rsidP="001F5F80">
      <w:r>
        <w:t xml:space="preserve">The </w:t>
      </w:r>
      <w:r>
        <w:rPr>
          <w:i/>
          <w:iCs/>
        </w:rPr>
        <w:t>precision</w:t>
      </w:r>
      <w:r>
        <w:t xml:space="preserve"> (also called </w:t>
      </w:r>
      <w:r>
        <w:rPr>
          <w:i/>
          <w:iCs/>
        </w:rPr>
        <w:t>positive predicted value</w:t>
      </w:r>
      <w:r>
        <w:t xml:space="preserve">) for a rating of </w:t>
      </w:r>
      <w:r>
        <w:rPr>
          <w:i/>
          <w:iCs/>
        </w:rPr>
        <w:t>k</w:t>
      </w:r>
      <w:r>
        <w:t xml:space="preserve"> is the proportion of students with a predicted rating of </w:t>
      </w:r>
      <w:r w:rsidR="002E77FF">
        <w:rPr>
          <w:i/>
          <w:iCs/>
        </w:rPr>
        <w:t>k</w:t>
      </w:r>
      <w:r w:rsidR="002E77FF">
        <w:t xml:space="preserve"> whose actual score was also </w:t>
      </w:r>
      <w:r w:rsidR="002E77FF">
        <w:rPr>
          <w:i/>
          <w:iCs/>
        </w:rPr>
        <w:t>k</w:t>
      </w:r>
      <w:r w:rsidR="002E77FF">
        <w:t xml:space="preserve">.  </w:t>
      </w:r>
      <w:r w:rsidR="00546A70">
        <w:t xml:space="preserve">In Table </w:t>
      </w:r>
      <w:r w:rsidR="005159B3">
        <w:t>2</w:t>
      </w:r>
      <w:r w:rsidR="00546A70">
        <w:t xml:space="preserve">, this would be the number of accurate predictions in a column divided by the column total.  </w:t>
      </w:r>
      <w:r w:rsidR="002E77FF">
        <w:t xml:space="preserve">As with recall, each model has six precision rates.  The precision is technically undefined when a model fails to assign </w:t>
      </w:r>
      <w:r w:rsidR="002E77FF">
        <w:rPr>
          <w:i/>
          <w:iCs/>
        </w:rPr>
        <w:t>any</w:t>
      </w:r>
      <w:r w:rsidR="002E77FF">
        <w:t xml:space="preserve"> students to a particular rating level.  For this study, these outcomes are treated as having a precision of zero.</w:t>
      </w:r>
    </w:p>
    <w:p w14:paraId="14BB52C2" w14:textId="0D171D36" w:rsidR="0047610D" w:rsidRPr="000E4787" w:rsidRDefault="00AD1C42" w:rsidP="00617D2A">
      <w:pPr>
        <w:pStyle w:val="Heading4"/>
      </w:pPr>
      <w:r w:rsidRPr="000E4787">
        <w:t xml:space="preserve">Cohen’s </w:t>
      </w:r>
      <w:r w:rsidR="00AE7416" w:rsidRPr="00AE7416">
        <w:t>kappa</w:t>
      </w:r>
    </w:p>
    <w:p w14:paraId="169F6921" w14:textId="644CED47" w:rsidR="00537752" w:rsidRDefault="004440D6" w:rsidP="001F5F80">
      <w:r w:rsidRPr="000E4787">
        <w:t xml:space="preserve">Cohen’s </w:t>
      </w:r>
      <w:r w:rsidRPr="000E4787">
        <w:rPr>
          <w:i/>
          <w:iCs/>
        </w:rPr>
        <w:t>kappa</w:t>
      </w:r>
      <w:r w:rsidRPr="000E4787">
        <w:t xml:space="preserve"> statistic, often used as a measure of inter-rater agreement, can be employed to describe the degree to which predicted and actual outcomes match beyond the level that would be expected due to random chance.</w:t>
      </w:r>
      <w:r w:rsidR="00295E73">
        <w:t xml:space="preserve">  Its value typically ranges from 0 to 1 (values below 0 are possible, but </w:t>
      </w:r>
      <w:r w:rsidR="005C42EF">
        <w:t>rare</w:t>
      </w:r>
      <w:r w:rsidR="00295E73">
        <w:t>), with values near 0 indicating predictions are not appreciably better than random assignment and 1 indicating perfect prediction.</w:t>
      </w:r>
    </w:p>
    <w:p w14:paraId="100181D4" w14:textId="77777777" w:rsidR="00295E73" w:rsidRPr="000E4787" w:rsidRDefault="00295E73" w:rsidP="00617D2A">
      <w:pPr>
        <w:pStyle w:val="Heading4"/>
      </w:pPr>
      <w:r>
        <w:t>Weighted</w:t>
      </w:r>
      <w:r w:rsidRPr="000E4787">
        <w:t xml:space="preserve"> </w:t>
      </w:r>
      <w:r w:rsidRPr="00AE7416">
        <w:t>kappa</w:t>
      </w:r>
    </w:p>
    <w:p w14:paraId="612924AC" w14:textId="1EBF5DB5" w:rsidR="00F24D05" w:rsidRDefault="00F24D05" w:rsidP="00295E73">
      <w:r>
        <w:t xml:space="preserve">The </w:t>
      </w:r>
      <w:r>
        <w:rPr>
          <w:i/>
          <w:iCs/>
        </w:rPr>
        <w:t>weighted kappa</w:t>
      </w:r>
      <w:r>
        <w:t xml:space="preserve"> statistic can be used with ordered outcome categories (such as ensemble ratings) to measure how close predicted ratings are to actual ratings for cases where prediction is incorrect.  For this study, the weighted </w:t>
      </w:r>
      <w:r w:rsidRPr="00F24D05">
        <w:rPr>
          <w:i/>
          <w:iCs/>
        </w:rPr>
        <w:t>kappa</w:t>
      </w:r>
      <w:r>
        <w:t xml:space="preserve"> is used to evaluate how successful each model is at predicting a value within one point of a student’s actual ensemble rating.</w:t>
      </w:r>
    </w:p>
    <w:p w14:paraId="09951581" w14:textId="77777777" w:rsidR="005A0B8D" w:rsidRPr="000E4787" w:rsidRDefault="005A0B8D" w:rsidP="001F5F80">
      <w:pPr>
        <w:pStyle w:val="Heading3"/>
      </w:pPr>
      <w:r w:rsidRPr="000E4787">
        <w:t>Overfitting</w:t>
      </w:r>
    </w:p>
    <w:p w14:paraId="07BA1A71" w14:textId="22FDE953" w:rsidR="005A0B8D" w:rsidRDefault="00342D8F" w:rsidP="001F5F80">
      <w:r>
        <w:t xml:space="preserve">Prediction models may suffer from </w:t>
      </w:r>
      <w:r w:rsidRPr="00342D8F">
        <w:rPr>
          <w:i/>
          <w:iCs/>
        </w:rPr>
        <w:t>o</w:t>
      </w:r>
      <w:r w:rsidR="004707D4">
        <w:rPr>
          <w:i/>
          <w:iCs/>
        </w:rPr>
        <w:t>verfitting</w:t>
      </w:r>
      <w:r w:rsidR="004707D4">
        <w:t xml:space="preserve">, especially </w:t>
      </w:r>
      <w:r>
        <w:t xml:space="preserve">when they </w:t>
      </w:r>
      <w:r w:rsidR="009279B9">
        <w:t xml:space="preserve">rely heavily on </w:t>
      </w:r>
      <w:r>
        <w:t>automation</w:t>
      </w:r>
      <w:r w:rsidR="004707D4">
        <w:t xml:space="preserve">.  Overfitting occurs when a model predicts well for </w:t>
      </w:r>
      <w:r w:rsidR="005B695F">
        <w:t xml:space="preserve">the </w:t>
      </w:r>
      <w:r w:rsidR="004707D4">
        <w:t xml:space="preserve">dataset </w:t>
      </w:r>
      <w:r w:rsidR="005B695F">
        <w:t xml:space="preserve">on which it was fit </w:t>
      </w:r>
      <w:r w:rsidR="004707D4">
        <w:t xml:space="preserve">but </w:t>
      </w:r>
      <w:r>
        <w:t xml:space="preserve">performs </w:t>
      </w:r>
      <w:r w:rsidR="004707D4">
        <w:t xml:space="preserve">poorly on similar data </w:t>
      </w:r>
      <w:r w:rsidR="005B695F">
        <w:t>that was not originally included</w:t>
      </w:r>
      <w:r w:rsidR="004707D4">
        <w:t>.</w:t>
      </w:r>
      <w:r w:rsidR="005B695F">
        <w:t xml:space="preserve">  A model might, for example, fit past stock prices almost perfectly, while being useless for predicting future stock prices.</w:t>
      </w:r>
    </w:p>
    <w:p w14:paraId="545ABEED" w14:textId="64E995C5" w:rsidR="00342D8F" w:rsidRDefault="00342D8F" w:rsidP="001F5F80">
      <w:r>
        <w:t xml:space="preserve">A common technique for investigating overfitting is </w:t>
      </w:r>
      <w:r>
        <w:rPr>
          <w:i/>
          <w:iCs/>
        </w:rPr>
        <w:t>cross-validation</w:t>
      </w:r>
      <w:r>
        <w:t xml:space="preserve">, in which a model is trained on some subset of the available data, then tested on the remaining “out-of-sample” data.  Accuracy statistics from both sets of data can then be compared.  Large discrepancies between the </w:t>
      </w:r>
      <w:r w:rsidR="004D6D25">
        <w:t xml:space="preserve">original </w:t>
      </w:r>
      <w:r>
        <w:t>and out-of-sample predictions may indicate the model is overfit.</w:t>
      </w:r>
    </w:p>
    <w:p w14:paraId="061B6B21" w14:textId="01ECEB79" w:rsidR="009A37F6" w:rsidRPr="005B695F" w:rsidRDefault="009A37F6" w:rsidP="009A37F6">
      <w:r>
        <w:t xml:space="preserve">Cross-validation was conducted for </w:t>
      </w:r>
      <w:r w:rsidR="009A71C3">
        <w:t>each of the primary models in this study (excluding SVM) using five-fold cross-validation, in which the sample is randomly partitioned into five groups, and accuracy statistics are averaged from five replications of the model, with each replication using four of the five groups as the “training” set and the remaining group as the “test” set.  Differences between the original accuracy statistics and the averaged cross-validated statistics may then be used to assess overfitting.</w:t>
      </w:r>
    </w:p>
    <w:p w14:paraId="75E7C13D" w14:textId="42D69294" w:rsidR="00B856FE" w:rsidRDefault="00AB427C" w:rsidP="001F5F80">
      <w:pPr>
        <w:pStyle w:val="Heading1"/>
      </w:pPr>
      <w:r w:rsidRPr="000E4787">
        <w:t>Prediction</w:t>
      </w:r>
      <w:r w:rsidR="000577E0" w:rsidRPr="000E4787">
        <w:t xml:space="preserve"> Results</w:t>
      </w:r>
    </w:p>
    <w:p w14:paraId="577A3DF7" w14:textId="0FDE74F1" w:rsidR="00A127D1" w:rsidRDefault="00F73FDE" w:rsidP="001F5F80">
      <w:r>
        <w:t xml:space="preserve">A total of 14 models </w:t>
      </w:r>
      <w:r w:rsidR="00DB0199">
        <w:t>are presented in this report</w:t>
      </w:r>
      <w:r>
        <w:t xml:space="preserve">: one for each combination of the four variable sets and three </w:t>
      </w:r>
      <w:r w:rsidR="00082D2F">
        <w:t>primary</w:t>
      </w:r>
      <w:r>
        <w:t xml:space="preserve"> model types, plus an additional two support-vector machine models.</w:t>
      </w:r>
      <w:r w:rsidR="00082D2F">
        <w:t xml:space="preserve">  For each of the primary model/variable combinations, an additional five models were fit for cross-validation purposes.</w:t>
      </w:r>
      <w:r>
        <w:t xml:space="preserve">  Full accuracy results </w:t>
      </w:r>
      <w:r w:rsidR="00D53A94">
        <w:t xml:space="preserve">for exact-match predictions </w:t>
      </w:r>
      <w:r>
        <w:t>are presented in appendix tables A1 and A2.</w:t>
      </w:r>
    </w:p>
    <w:p w14:paraId="230E5B85" w14:textId="79BD2467" w:rsidR="00D53A94" w:rsidRDefault="00D53A94" w:rsidP="00D53A94">
      <w:pPr>
        <w:pStyle w:val="Heading2"/>
      </w:pPr>
      <w:r>
        <w:lastRenderedPageBreak/>
        <w:t>Exact Matching</w:t>
      </w:r>
    </w:p>
    <w:p w14:paraId="6DE0B76E" w14:textId="49949935" w:rsidR="00190B1E" w:rsidRDefault="009133EE" w:rsidP="001F5F80">
      <w:r>
        <w:t xml:space="preserve">Overall, the Ordered </w:t>
      </w:r>
      <w:proofErr w:type="spellStart"/>
      <w:r>
        <w:t>Probit</w:t>
      </w:r>
      <w:proofErr w:type="spellEnd"/>
      <w:r>
        <w:t xml:space="preserve"> </w:t>
      </w:r>
      <w:r w:rsidR="00AA7B95">
        <w:t xml:space="preserve">(OP) </w:t>
      </w:r>
      <w:r>
        <w:t xml:space="preserve">and Multinomial Logistic </w:t>
      </w:r>
      <w:r w:rsidR="00AA7B95">
        <w:t xml:space="preserve">(MLOG) </w:t>
      </w:r>
      <w:r>
        <w:t xml:space="preserve">model types and the Instrument Interaction </w:t>
      </w:r>
      <w:r w:rsidR="00AA7B95">
        <w:t xml:space="preserve">(Int) </w:t>
      </w:r>
      <w:r>
        <w:t xml:space="preserve">and Polynomial </w:t>
      </w:r>
      <w:r w:rsidR="00AA7B95">
        <w:t xml:space="preserve">(Poly) </w:t>
      </w:r>
      <w:r>
        <w:t xml:space="preserve">variable sets tended to produce the most accurate predictions. </w:t>
      </w:r>
      <w:r w:rsidR="00190B1E">
        <w:t xml:space="preserve"> Selected statistics for two of these models are presented in Table </w:t>
      </w:r>
      <w:r w:rsidR="00165CD6">
        <w:t>3</w:t>
      </w:r>
      <w:r w:rsidR="00190B1E">
        <w:t>.</w:t>
      </w:r>
    </w:p>
    <w:tbl>
      <w:tblPr>
        <w:tblW w:w="7920" w:type="dxa"/>
        <w:jc w:val="center"/>
        <w:tblLook w:val="04A0" w:firstRow="1" w:lastRow="0" w:firstColumn="1" w:lastColumn="0" w:noHBand="0" w:noVBand="1"/>
      </w:tblPr>
      <w:tblGrid>
        <w:gridCol w:w="400"/>
        <w:gridCol w:w="1019"/>
        <w:gridCol w:w="1221"/>
        <w:gridCol w:w="400"/>
        <w:gridCol w:w="1019"/>
        <w:gridCol w:w="1221"/>
        <w:gridCol w:w="400"/>
        <w:gridCol w:w="1019"/>
        <w:gridCol w:w="1221"/>
      </w:tblGrid>
      <w:tr w:rsidR="00B44194" w:rsidRPr="00B44194" w14:paraId="4C9A6D06" w14:textId="77777777" w:rsidTr="001E0D2B">
        <w:trPr>
          <w:trHeight w:val="285"/>
          <w:jc w:val="center"/>
        </w:trPr>
        <w:tc>
          <w:tcPr>
            <w:tcW w:w="7920" w:type="dxa"/>
            <w:gridSpan w:val="9"/>
            <w:tcBorders>
              <w:top w:val="nil"/>
              <w:left w:val="nil"/>
              <w:bottom w:val="single" w:sz="4" w:space="0" w:color="auto"/>
              <w:right w:val="nil"/>
            </w:tcBorders>
            <w:shd w:val="clear" w:color="auto" w:fill="auto"/>
            <w:noWrap/>
            <w:vAlign w:val="bottom"/>
          </w:tcPr>
          <w:p w14:paraId="6EF1C834" w14:textId="2EA92DEE" w:rsidR="00B44194" w:rsidRPr="00B44194" w:rsidRDefault="00B44194" w:rsidP="00B44194">
            <w:pPr>
              <w:spacing w:after="0" w:line="240" w:lineRule="auto"/>
              <w:rPr>
                <w:rFonts w:eastAsia="Times New Roman" w:cs="Calibri"/>
              </w:rPr>
            </w:pPr>
            <w:r>
              <w:rPr>
                <w:rFonts w:eastAsia="Times New Roman" w:cs="Calibri"/>
                <w:i/>
                <w:iCs/>
              </w:rPr>
              <w:t xml:space="preserve">Table </w:t>
            </w:r>
            <w:r w:rsidR="00165CD6">
              <w:rPr>
                <w:rFonts w:eastAsia="Times New Roman" w:cs="Calibri"/>
                <w:i/>
                <w:iCs/>
              </w:rPr>
              <w:t>3</w:t>
            </w:r>
            <w:r>
              <w:rPr>
                <w:rFonts w:eastAsia="Times New Roman" w:cs="Calibri"/>
              </w:rPr>
              <w:t xml:space="preserve">.  Recall rates and </w:t>
            </w:r>
            <w:r w:rsidRPr="00B44194">
              <w:rPr>
                <w:rFonts w:eastAsia="Times New Roman" w:cs="Calibri"/>
                <w:i/>
                <w:iCs/>
              </w:rPr>
              <w:t>kappa</w:t>
            </w:r>
            <w:r>
              <w:rPr>
                <w:rFonts w:eastAsia="Times New Roman" w:cs="Calibri"/>
              </w:rPr>
              <w:t xml:space="preserve"> statistics for Ordered </w:t>
            </w:r>
            <w:proofErr w:type="spellStart"/>
            <w:r>
              <w:rPr>
                <w:rFonts w:eastAsia="Times New Roman" w:cs="Calibri"/>
              </w:rPr>
              <w:t>Probit</w:t>
            </w:r>
            <w:proofErr w:type="spellEnd"/>
            <w:r>
              <w:rPr>
                <w:rFonts w:eastAsia="Times New Roman" w:cs="Calibri"/>
              </w:rPr>
              <w:t>/Polynomial model and Multinomial Logit/Instrument Interaction model predictions.</w:t>
            </w:r>
          </w:p>
        </w:tc>
      </w:tr>
      <w:tr w:rsidR="00B44194" w:rsidRPr="00B44194" w14:paraId="15C40AB1" w14:textId="77777777" w:rsidTr="001E0D2B">
        <w:trPr>
          <w:trHeight w:val="285"/>
          <w:jc w:val="center"/>
        </w:trPr>
        <w:tc>
          <w:tcPr>
            <w:tcW w:w="400" w:type="dxa"/>
            <w:tcBorders>
              <w:top w:val="single" w:sz="4" w:space="0" w:color="auto"/>
              <w:left w:val="nil"/>
              <w:bottom w:val="nil"/>
              <w:right w:val="nil"/>
            </w:tcBorders>
            <w:shd w:val="clear" w:color="auto" w:fill="auto"/>
            <w:noWrap/>
            <w:vAlign w:val="bottom"/>
            <w:hideMark/>
          </w:tcPr>
          <w:p w14:paraId="0362F9DE" w14:textId="77777777" w:rsidR="00B44194" w:rsidRPr="00B44194" w:rsidRDefault="00B44194" w:rsidP="00B44194">
            <w:pPr>
              <w:spacing w:after="0" w:line="240" w:lineRule="auto"/>
              <w:rPr>
                <w:rFonts w:ascii="Times New Roman" w:eastAsia="Times New Roman" w:hAnsi="Times New Roman" w:cs="Times New Roman"/>
                <w:sz w:val="24"/>
                <w:szCs w:val="24"/>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07185EA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Full sample</w:t>
            </w:r>
          </w:p>
        </w:tc>
        <w:tc>
          <w:tcPr>
            <w:tcW w:w="400" w:type="dxa"/>
            <w:tcBorders>
              <w:top w:val="single" w:sz="4" w:space="0" w:color="auto"/>
              <w:left w:val="nil"/>
              <w:bottom w:val="nil"/>
              <w:right w:val="nil"/>
            </w:tcBorders>
            <w:shd w:val="clear" w:color="auto" w:fill="auto"/>
            <w:noWrap/>
            <w:vAlign w:val="bottom"/>
            <w:hideMark/>
          </w:tcPr>
          <w:p w14:paraId="4CF46F42" w14:textId="77777777" w:rsidR="00B44194" w:rsidRPr="00B44194" w:rsidRDefault="00B44194" w:rsidP="00B441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585D061A"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Cross-validated</w:t>
            </w:r>
          </w:p>
        </w:tc>
        <w:tc>
          <w:tcPr>
            <w:tcW w:w="400" w:type="dxa"/>
            <w:tcBorders>
              <w:top w:val="single" w:sz="4" w:space="0" w:color="auto"/>
              <w:left w:val="nil"/>
              <w:bottom w:val="nil"/>
              <w:right w:val="nil"/>
            </w:tcBorders>
            <w:shd w:val="clear" w:color="auto" w:fill="auto"/>
            <w:noWrap/>
            <w:vAlign w:val="bottom"/>
            <w:hideMark/>
          </w:tcPr>
          <w:p w14:paraId="03BFE618" w14:textId="77777777" w:rsidR="00B44194" w:rsidRPr="00B44194" w:rsidRDefault="00B44194" w:rsidP="00B441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73EAE79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Difference</w:t>
            </w:r>
          </w:p>
        </w:tc>
      </w:tr>
      <w:tr w:rsidR="00B44194" w:rsidRPr="00B44194" w14:paraId="36875AD8" w14:textId="77777777" w:rsidTr="001E0D2B">
        <w:trPr>
          <w:trHeight w:val="285"/>
          <w:jc w:val="center"/>
        </w:trPr>
        <w:tc>
          <w:tcPr>
            <w:tcW w:w="400" w:type="dxa"/>
            <w:tcBorders>
              <w:top w:val="nil"/>
              <w:left w:val="nil"/>
              <w:bottom w:val="single" w:sz="4" w:space="0" w:color="auto"/>
              <w:right w:val="nil"/>
            </w:tcBorders>
            <w:shd w:val="clear" w:color="auto" w:fill="auto"/>
            <w:noWrap/>
            <w:vAlign w:val="bottom"/>
            <w:hideMark/>
          </w:tcPr>
          <w:p w14:paraId="1CDAD2A3" w14:textId="77777777" w:rsidR="00B44194" w:rsidRPr="00B44194" w:rsidRDefault="00B44194" w:rsidP="00B44194">
            <w:pPr>
              <w:spacing w:after="0" w:line="240" w:lineRule="auto"/>
              <w:rPr>
                <w:rFonts w:eastAsia="Times New Roman" w:cs="Calibri"/>
              </w:rPr>
            </w:pPr>
            <w:r w:rsidRPr="00B44194">
              <w:rPr>
                <w:rFonts w:eastAsia="Times New Roman" w:cs="Calibri"/>
              </w:rPr>
              <w:t>R.</w:t>
            </w:r>
          </w:p>
        </w:tc>
        <w:tc>
          <w:tcPr>
            <w:tcW w:w="1019" w:type="dxa"/>
            <w:tcBorders>
              <w:top w:val="nil"/>
              <w:left w:val="nil"/>
              <w:bottom w:val="single" w:sz="4" w:space="0" w:color="auto"/>
              <w:right w:val="nil"/>
            </w:tcBorders>
            <w:shd w:val="clear" w:color="auto" w:fill="auto"/>
            <w:noWrap/>
            <w:vAlign w:val="bottom"/>
            <w:hideMark/>
          </w:tcPr>
          <w:p w14:paraId="11CF82BF"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60D7907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48CDC5C0"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19282A2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34E5ADA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6A439BD5"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3EBE351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2208613E"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MLOG/Int</w:t>
            </w:r>
          </w:p>
        </w:tc>
      </w:tr>
      <w:tr w:rsidR="00B44194" w:rsidRPr="00B44194" w14:paraId="5DCAAFCE"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01B4E9B6"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1</w:t>
            </w:r>
          </w:p>
        </w:tc>
        <w:tc>
          <w:tcPr>
            <w:tcW w:w="1019" w:type="dxa"/>
            <w:tcBorders>
              <w:top w:val="nil"/>
              <w:left w:val="nil"/>
              <w:bottom w:val="nil"/>
              <w:right w:val="nil"/>
            </w:tcBorders>
            <w:shd w:val="clear" w:color="auto" w:fill="auto"/>
            <w:noWrap/>
            <w:vAlign w:val="bottom"/>
            <w:hideMark/>
          </w:tcPr>
          <w:p w14:paraId="1476AB69"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27.5%</w:t>
            </w:r>
          </w:p>
        </w:tc>
        <w:tc>
          <w:tcPr>
            <w:tcW w:w="1221" w:type="dxa"/>
            <w:tcBorders>
              <w:top w:val="nil"/>
              <w:left w:val="nil"/>
              <w:bottom w:val="nil"/>
              <w:right w:val="nil"/>
            </w:tcBorders>
            <w:shd w:val="clear" w:color="auto" w:fill="auto"/>
            <w:noWrap/>
            <w:vAlign w:val="bottom"/>
            <w:hideMark/>
          </w:tcPr>
          <w:p w14:paraId="279A88C8"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37.6%</w:t>
            </w:r>
          </w:p>
        </w:tc>
        <w:tc>
          <w:tcPr>
            <w:tcW w:w="400" w:type="dxa"/>
            <w:tcBorders>
              <w:top w:val="nil"/>
              <w:left w:val="nil"/>
              <w:bottom w:val="nil"/>
              <w:right w:val="nil"/>
            </w:tcBorders>
            <w:shd w:val="clear" w:color="auto" w:fill="auto"/>
            <w:noWrap/>
            <w:vAlign w:val="bottom"/>
            <w:hideMark/>
          </w:tcPr>
          <w:p w14:paraId="6E7E1C85"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7191F89"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26.5%</w:t>
            </w:r>
          </w:p>
        </w:tc>
        <w:tc>
          <w:tcPr>
            <w:tcW w:w="1221" w:type="dxa"/>
            <w:tcBorders>
              <w:top w:val="nil"/>
              <w:left w:val="nil"/>
              <w:bottom w:val="nil"/>
              <w:right w:val="nil"/>
            </w:tcBorders>
            <w:shd w:val="clear" w:color="auto" w:fill="auto"/>
            <w:noWrap/>
            <w:vAlign w:val="bottom"/>
            <w:hideMark/>
          </w:tcPr>
          <w:p w14:paraId="19DBC97A"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35.0%</w:t>
            </w:r>
          </w:p>
        </w:tc>
        <w:tc>
          <w:tcPr>
            <w:tcW w:w="400" w:type="dxa"/>
            <w:tcBorders>
              <w:top w:val="nil"/>
              <w:left w:val="nil"/>
              <w:bottom w:val="nil"/>
              <w:right w:val="nil"/>
            </w:tcBorders>
            <w:shd w:val="clear" w:color="auto" w:fill="auto"/>
            <w:noWrap/>
            <w:vAlign w:val="bottom"/>
            <w:hideMark/>
          </w:tcPr>
          <w:p w14:paraId="1FCD06CB"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178A597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-1.0%</w:t>
            </w:r>
          </w:p>
        </w:tc>
        <w:tc>
          <w:tcPr>
            <w:tcW w:w="1221" w:type="dxa"/>
            <w:tcBorders>
              <w:top w:val="nil"/>
              <w:left w:val="nil"/>
              <w:bottom w:val="nil"/>
              <w:right w:val="nil"/>
            </w:tcBorders>
            <w:shd w:val="clear" w:color="auto" w:fill="auto"/>
            <w:noWrap/>
            <w:vAlign w:val="bottom"/>
            <w:hideMark/>
          </w:tcPr>
          <w:p w14:paraId="3195E04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-2.6%</w:t>
            </w:r>
          </w:p>
        </w:tc>
      </w:tr>
      <w:tr w:rsidR="00B44194" w:rsidRPr="00B44194" w14:paraId="6436D6EA"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43C756C4"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2</w:t>
            </w:r>
          </w:p>
        </w:tc>
        <w:tc>
          <w:tcPr>
            <w:tcW w:w="1019" w:type="dxa"/>
            <w:tcBorders>
              <w:top w:val="nil"/>
              <w:left w:val="nil"/>
              <w:bottom w:val="nil"/>
              <w:right w:val="nil"/>
            </w:tcBorders>
            <w:shd w:val="clear" w:color="auto" w:fill="auto"/>
            <w:noWrap/>
            <w:vAlign w:val="bottom"/>
            <w:hideMark/>
          </w:tcPr>
          <w:p w14:paraId="51586A61"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72.8%</w:t>
            </w:r>
          </w:p>
        </w:tc>
        <w:tc>
          <w:tcPr>
            <w:tcW w:w="1221" w:type="dxa"/>
            <w:tcBorders>
              <w:top w:val="nil"/>
              <w:left w:val="nil"/>
              <w:bottom w:val="nil"/>
              <w:right w:val="nil"/>
            </w:tcBorders>
            <w:shd w:val="clear" w:color="auto" w:fill="auto"/>
            <w:noWrap/>
            <w:vAlign w:val="bottom"/>
            <w:hideMark/>
          </w:tcPr>
          <w:p w14:paraId="47F5E88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71.1%</w:t>
            </w:r>
          </w:p>
        </w:tc>
        <w:tc>
          <w:tcPr>
            <w:tcW w:w="400" w:type="dxa"/>
            <w:tcBorders>
              <w:top w:val="nil"/>
              <w:left w:val="nil"/>
              <w:bottom w:val="nil"/>
              <w:right w:val="nil"/>
            </w:tcBorders>
            <w:shd w:val="clear" w:color="auto" w:fill="auto"/>
            <w:noWrap/>
            <w:vAlign w:val="bottom"/>
            <w:hideMark/>
          </w:tcPr>
          <w:p w14:paraId="3FE63BFD"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E98348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71.4%</w:t>
            </w:r>
          </w:p>
        </w:tc>
        <w:tc>
          <w:tcPr>
            <w:tcW w:w="1221" w:type="dxa"/>
            <w:tcBorders>
              <w:top w:val="nil"/>
              <w:left w:val="nil"/>
              <w:bottom w:val="nil"/>
              <w:right w:val="nil"/>
            </w:tcBorders>
            <w:shd w:val="clear" w:color="auto" w:fill="auto"/>
            <w:noWrap/>
            <w:vAlign w:val="bottom"/>
            <w:hideMark/>
          </w:tcPr>
          <w:p w14:paraId="3024BE52"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67.7%</w:t>
            </w:r>
          </w:p>
        </w:tc>
        <w:tc>
          <w:tcPr>
            <w:tcW w:w="400" w:type="dxa"/>
            <w:tcBorders>
              <w:top w:val="nil"/>
              <w:left w:val="nil"/>
              <w:bottom w:val="nil"/>
              <w:right w:val="nil"/>
            </w:tcBorders>
            <w:shd w:val="clear" w:color="auto" w:fill="auto"/>
            <w:noWrap/>
            <w:vAlign w:val="bottom"/>
            <w:hideMark/>
          </w:tcPr>
          <w:p w14:paraId="0CA61327"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A397DF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-1.4%</w:t>
            </w:r>
          </w:p>
        </w:tc>
        <w:tc>
          <w:tcPr>
            <w:tcW w:w="1221" w:type="dxa"/>
            <w:tcBorders>
              <w:top w:val="nil"/>
              <w:left w:val="nil"/>
              <w:bottom w:val="nil"/>
              <w:right w:val="nil"/>
            </w:tcBorders>
            <w:shd w:val="clear" w:color="auto" w:fill="auto"/>
            <w:noWrap/>
            <w:vAlign w:val="bottom"/>
            <w:hideMark/>
          </w:tcPr>
          <w:p w14:paraId="6AA2021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-3.4%</w:t>
            </w:r>
          </w:p>
        </w:tc>
      </w:tr>
      <w:tr w:rsidR="00B44194" w:rsidRPr="00B44194" w14:paraId="615FF1E5"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26DFAF71"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3</w:t>
            </w:r>
          </w:p>
        </w:tc>
        <w:tc>
          <w:tcPr>
            <w:tcW w:w="1019" w:type="dxa"/>
            <w:tcBorders>
              <w:top w:val="nil"/>
              <w:left w:val="nil"/>
              <w:bottom w:val="nil"/>
              <w:right w:val="nil"/>
            </w:tcBorders>
            <w:shd w:val="clear" w:color="auto" w:fill="auto"/>
            <w:noWrap/>
            <w:vAlign w:val="bottom"/>
            <w:hideMark/>
          </w:tcPr>
          <w:p w14:paraId="6E5A531F"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38.6%</w:t>
            </w:r>
          </w:p>
        </w:tc>
        <w:tc>
          <w:tcPr>
            <w:tcW w:w="1221" w:type="dxa"/>
            <w:tcBorders>
              <w:top w:val="nil"/>
              <w:left w:val="nil"/>
              <w:bottom w:val="nil"/>
              <w:right w:val="nil"/>
            </w:tcBorders>
            <w:shd w:val="clear" w:color="auto" w:fill="auto"/>
            <w:noWrap/>
            <w:vAlign w:val="bottom"/>
            <w:hideMark/>
          </w:tcPr>
          <w:p w14:paraId="1A33BAA2"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37.0%</w:t>
            </w:r>
          </w:p>
        </w:tc>
        <w:tc>
          <w:tcPr>
            <w:tcW w:w="400" w:type="dxa"/>
            <w:tcBorders>
              <w:top w:val="nil"/>
              <w:left w:val="nil"/>
              <w:bottom w:val="nil"/>
              <w:right w:val="nil"/>
            </w:tcBorders>
            <w:shd w:val="clear" w:color="auto" w:fill="auto"/>
            <w:noWrap/>
            <w:vAlign w:val="bottom"/>
            <w:hideMark/>
          </w:tcPr>
          <w:p w14:paraId="4D8BA1C2"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0C95F3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37.8%</w:t>
            </w:r>
          </w:p>
        </w:tc>
        <w:tc>
          <w:tcPr>
            <w:tcW w:w="1221" w:type="dxa"/>
            <w:tcBorders>
              <w:top w:val="nil"/>
              <w:left w:val="nil"/>
              <w:bottom w:val="nil"/>
              <w:right w:val="nil"/>
            </w:tcBorders>
            <w:shd w:val="clear" w:color="auto" w:fill="auto"/>
            <w:noWrap/>
            <w:vAlign w:val="bottom"/>
            <w:hideMark/>
          </w:tcPr>
          <w:p w14:paraId="48560B8E"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32.3%</w:t>
            </w:r>
          </w:p>
        </w:tc>
        <w:tc>
          <w:tcPr>
            <w:tcW w:w="400" w:type="dxa"/>
            <w:tcBorders>
              <w:top w:val="nil"/>
              <w:left w:val="nil"/>
              <w:bottom w:val="nil"/>
              <w:right w:val="nil"/>
            </w:tcBorders>
            <w:shd w:val="clear" w:color="auto" w:fill="auto"/>
            <w:noWrap/>
            <w:vAlign w:val="bottom"/>
            <w:hideMark/>
          </w:tcPr>
          <w:p w14:paraId="2806333C"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10E8524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-0.8%</w:t>
            </w:r>
          </w:p>
        </w:tc>
        <w:tc>
          <w:tcPr>
            <w:tcW w:w="1221" w:type="dxa"/>
            <w:tcBorders>
              <w:top w:val="nil"/>
              <w:left w:val="nil"/>
              <w:bottom w:val="nil"/>
              <w:right w:val="nil"/>
            </w:tcBorders>
            <w:shd w:val="clear" w:color="auto" w:fill="auto"/>
            <w:noWrap/>
            <w:vAlign w:val="bottom"/>
            <w:hideMark/>
          </w:tcPr>
          <w:p w14:paraId="3BA91A3A"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-4.7%</w:t>
            </w:r>
          </w:p>
        </w:tc>
      </w:tr>
      <w:tr w:rsidR="00B44194" w:rsidRPr="00B44194" w14:paraId="2787B5E8"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38CFBB54"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4</w:t>
            </w:r>
          </w:p>
        </w:tc>
        <w:tc>
          <w:tcPr>
            <w:tcW w:w="1019" w:type="dxa"/>
            <w:tcBorders>
              <w:top w:val="nil"/>
              <w:left w:val="nil"/>
              <w:bottom w:val="nil"/>
              <w:right w:val="nil"/>
            </w:tcBorders>
            <w:shd w:val="clear" w:color="auto" w:fill="auto"/>
            <w:noWrap/>
            <w:vAlign w:val="bottom"/>
            <w:hideMark/>
          </w:tcPr>
          <w:p w14:paraId="145256E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23.1%</w:t>
            </w:r>
          </w:p>
        </w:tc>
        <w:tc>
          <w:tcPr>
            <w:tcW w:w="1221" w:type="dxa"/>
            <w:tcBorders>
              <w:top w:val="nil"/>
              <w:left w:val="nil"/>
              <w:bottom w:val="nil"/>
              <w:right w:val="nil"/>
            </w:tcBorders>
            <w:shd w:val="clear" w:color="auto" w:fill="auto"/>
            <w:noWrap/>
            <w:vAlign w:val="bottom"/>
            <w:hideMark/>
          </w:tcPr>
          <w:p w14:paraId="35DC2658"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28.7%</w:t>
            </w:r>
          </w:p>
        </w:tc>
        <w:tc>
          <w:tcPr>
            <w:tcW w:w="400" w:type="dxa"/>
            <w:tcBorders>
              <w:top w:val="nil"/>
              <w:left w:val="nil"/>
              <w:bottom w:val="nil"/>
              <w:right w:val="nil"/>
            </w:tcBorders>
            <w:shd w:val="clear" w:color="auto" w:fill="auto"/>
            <w:noWrap/>
            <w:vAlign w:val="bottom"/>
            <w:hideMark/>
          </w:tcPr>
          <w:p w14:paraId="59B7DCAD"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D99C97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21.6%</w:t>
            </w:r>
          </w:p>
        </w:tc>
        <w:tc>
          <w:tcPr>
            <w:tcW w:w="1221" w:type="dxa"/>
            <w:tcBorders>
              <w:top w:val="nil"/>
              <w:left w:val="nil"/>
              <w:bottom w:val="nil"/>
              <w:right w:val="nil"/>
            </w:tcBorders>
            <w:shd w:val="clear" w:color="auto" w:fill="auto"/>
            <w:noWrap/>
            <w:vAlign w:val="bottom"/>
            <w:hideMark/>
          </w:tcPr>
          <w:p w14:paraId="0FD2B44C"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19.4%</w:t>
            </w:r>
          </w:p>
        </w:tc>
        <w:tc>
          <w:tcPr>
            <w:tcW w:w="400" w:type="dxa"/>
            <w:tcBorders>
              <w:top w:val="nil"/>
              <w:left w:val="nil"/>
              <w:bottom w:val="nil"/>
              <w:right w:val="nil"/>
            </w:tcBorders>
            <w:shd w:val="clear" w:color="auto" w:fill="auto"/>
            <w:noWrap/>
            <w:vAlign w:val="bottom"/>
            <w:hideMark/>
          </w:tcPr>
          <w:p w14:paraId="215B87FA"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4F7C366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-1.5%</w:t>
            </w:r>
          </w:p>
        </w:tc>
        <w:tc>
          <w:tcPr>
            <w:tcW w:w="1221" w:type="dxa"/>
            <w:tcBorders>
              <w:top w:val="nil"/>
              <w:left w:val="nil"/>
              <w:bottom w:val="nil"/>
              <w:right w:val="nil"/>
            </w:tcBorders>
            <w:shd w:val="clear" w:color="auto" w:fill="auto"/>
            <w:noWrap/>
            <w:vAlign w:val="bottom"/>
            <w:hideMark/>
          </w:tcPr>
          <w:p w14:paraId="6B40945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-9.3%</w:t>
            </w:r>
          </w:p>
        </w:tc>
      </w:tr>
      <w:tr w:rsidR="00B44194" w:rsidRPr="00B44194" w14:paraId="5536E92F"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1C5A5921"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5</w:t>
            </w:r>
          </w:p>
        </w:tc>
        <w:tc>
          <w:tcPr>
            <w:tcW w:w="1019" w:type="dxa"/>
            <w:tcBorders>
              <w:top w:val="nil"/>
              <w:left w:val="nil"/>
              <w:bottom w:val="nil"/>
              <w:right w:val="nil"/>
            </w:tcBorders>
            <w:shd w:val="clear" w:color="auto" w:fill="auto"/>
            <w:noWrap/>
            <w:vAlign w:val="bottom"/>
            <w:hideMark/>
          </w:tcPr>
          <w:p w14:paraId="511A044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12.8%</w:t>
            </w:r>
          </w:p>
        </w:tc>
        <w:tc>
          <w:tcPr>
            <w:tcW w:w="1221" w:type="dxa"/>
            <w:tcBorders>
              <w:top w:val="nil"/>
              <w:left w:val="nil"/>
              <w:bottom w:val="nil"/>
              <w:right w:val="nil"/>
            </w:tcBorders>
            <w:shd w:val="clear" w:color="auto" w:fill="auto"/>
            <w:noWrap/>
            <w:vAlign w:val="bottom"/>
            <w:hideMark/>
          </w:tcPr>
          <w:p w14:paraId="6E2307F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29.3%</w:t>
            </w:r>
          </w:p>
        </w:tc>
        <w:tc>
          <w:tcPr>
            <w:tcW w:w="400" w:type="dxa"/>
            <w:tcBorders>
              <w:top w:val="nil"/>
              <w:left w:val="nil"/>
              <w:bottom w:val="nil"/>
              <w:right w:val="nil"/>
            </w:tcBorders>
            <w:shd w:val="clear" w:color="auto" w:fill="auto"/>
            <w:noWrap/>
            <w:vAlign w:val="bottom"/>
            <w:hideMark/>
          </w:tcPr>
          <w:p w14:paraId="50F53EFC"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B7E227C"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12.8%</w:t>
            </w:r>
          </w:p>
        </w:tc>
        <w:tc>
          <w:tcPr>
            <w:tcW w:w="1221" w:type="dxa"/>
            <w:tcBorders>
              <w:top w:val="nil"/>
              <w:left w:val="nil"/>
              <w:bottom w:val="nil"/>
              <w:right w:val="nil"/>
            </w:tcBorders>
            <w:shd w:val="clear" w:color="auto" w:fill="auto"/>
            <w:noWrap/>
            <w:vAlign w:val="bottom"/>
            <w:hideMark/>
          </w:tcPr>
          <w:p w14:paraId="60FDE03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17.7%</w:t>
            </w:r>
          </w:p>
        </w:tc>
        <w:tc>
          <w:tcPr>
            <w:tcW w:w="400" w:type="dxa"/>
            <w:tcBorders>
              <w:top w:val="nil"/>
              <w:left w:val="nil"/>
              <w:bottom w:val="nil"/>
              <w:right w:val="nil"/>
            </w:tcBorders>
            <w:shd w:val="clear" w:color="auto" w:fill="auto"/>
            <w:noWrap/>
            <w:vAlign w:val="bottom"/>
            <w:hideMark/>
          </w:tcPr>
          <w:p w14:paraId="068E7612"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225441D8"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0.0%</w:t>
            </w:r>
          </w:p>
        </w:tc>
        <w:tc>
          <w:tcPr>
            <w:tcW w:w="1221" w:type="dxa"/>
            <w:tcBorders>
              <w:top w:val="nil"/>
              <w:left w:val="nil"/>
              <w:bottom w:val="nil"/>
              <w:right w:val="nil"/>
            </w:tcBorders>
            <w:shd w:val="clear" w:color="auto" w:fill="auto"/>
            <w:noWrap/>
            <w:vAlign w:val="bottom"/>
            <w:hideMark/>
          </w:tcPr>
          <w:p w14:paraId="156EC2E1"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-11.6%</w:t>
            </w:r>
          </w:p>
        </w:tc>
      </w:tr>
      <w:tr w:rsidR="00B44194" w:rsidRPr="00B44194" w14:paraId="614A5A9C"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369C99CD"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6</w:t>
            </w:r>
          </w:p>
        </w:tc>
        <w:tc>
          <w:tcPr>
            <w:tcW w:w="1019" w:type="dxa"/>
            <w:tcBorders>
              <w:top w:val="nil"/>
              <w:left w:val="nil"/>
              <w:bottom w:val="nil"/>
              <w:right w:val="nil"/>
            </w:tcBorders>
            <w:shd w:val="clear" w:color="auto" w:fill="auto"/>
            <w:noWrap/>
            <w:vAlign w:val="bottom"/>
            <w:hideMark/>
          </w:tcPr>
          <w:p w14:paraId="30C50C4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9.1%</w:t>
            </w:r>
          </w:p>
        </w:tc>
        <w:tc>
          <w:tcPr>
            <w:tcW w:w="1221" w:type="dxa"/>
            <w:tcBorders>
              <w:top w:val="nil"/>
              <w:left w:val="nil"/>
              <w:bottom w:val="nil"/>
              <w:right w:val="nil"/>
            </w:tcBorders>
            <w:shd w:val="clear" w:color="auto" w:fill="auto"/>
            <w:noWrap/>
            <w:vAlign w:val="bottom"/>
            <w:hideMark/>
          </w:tcPr>
          <w:p w14:paraId="1274486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40.9%</w:t>
            </w:r>
          </w:p>
        </w:tc>
        <w:tc>
          <w:tcPr>
            <w:tcW w:w="400" w:type="dxa"/>
            <w:tcBorders>
              <w:top w:val="nil"/>
              <w:left w:val="nil"/>
              <w:bottom w:val="nil"/>
              <w:right w:val="nil"/>
            </w:tcBorders>
            <w:shd w:val="clear" w:color="auto" w:fill="auto"/>
            <w:noWrap/>
            <w:vAlign w:val="bottom"/>
            <w:hideMark/>
          </w:tcPr>
          <w:p w14:paraId="120B2829"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11066F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8.1%</w:t>
            </w:r>
          </w:p>
        </w:tc>
        <w:tc>
          <w:tcPr>
            <w:tcW w:w="1221" w:type="dxa"/>
            <w:tcBorders>
              <w:top w:val="nil"/>
              <w:left w:val="nil"/>
              <w:bottom w:val="nil"/>
              <w:right w:val="nil"/>
            </w:tcBorders>
            <w:shd w:val="clear" w:color="auto" w:fill="auto"/>
            <w:noWrap/>
            <w:vAlign w:val="bottom"/>
            <w:hideMark/>
          </w:tcPr>
          <w:p w14:paraId="7D4AE2C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10.6%</w:t>
            </w:r>
          </w:p>
        </w:tc>
        <w:tc>
          <w:tcPr>
            <w:tcW w:w="400" w:type="dxa"/>
            <w:tcBorders>
              <w:top w:val="nil"/>
              <w:left w:val="nil"/>
              <w:bottom w:val="nil"/>
              <w:right w:val="nil"/>
            </w:tcBorders>
            <w:shd w:val="clear" w:color="auto" w:fill="auto"/>
            <w:noWrap/>
            <w:vAlign w:val="bottom"/>
            <w:hideMark/>
          </w:tcPr>
          <w:p w14:paraId="3CEBC0D8"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3B51E76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-1.0%</w:t>
            </w:r>
          </w:p>
        </w:tc>
        <w:tc>
          <w:tcPr>
            <w:tcW w:w="1221" w:type="dxa"/>
            <w:tcBorders>
              <w:top w:val="nil"/>
              <w:left w:val="nil"/>
              <w:bottom w:val="nil"/>
              <w:right w:val="nil"/>
            </w:tcBorders>
            <w:shd w:val="clear" w:color="auto" w:fill="auto"/>
            <w:noWrap/>
            <w:vAlign w:val="bottom"/>
            <w:hideMark/>
          </w:tcPr>
          <w:p w14:paraId="50261D99"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-30.4%</w:t>
            </w:r>
          </w:p>
        </w:tc>
      </w:tr>
      <w:tr w:rsidR="00B44194" w:rsidRPr="00B44194" w14:paraId="6784614C" w14:textId="77777777" w:rsidTr="001E0D2B">
        <w:trPr>
          <w:trHeight w:val="300"/>
          <w:jc w:val="center"/>
        </w:trPr>
        <w:tc>
          <w:tcPr>
            <w:tcW w:w="400" w:type="dxa"/>
            <w:tcBorders>
              <w:top w:val="nil"/>
              <w:left w:val="nil"/>
              <w:right w:val="nil"/>
            </w:tcBorders>
            <w:shd w:val="clear" w:color="auto" w:fill="auto"/>
            <w:noWrap/>
            <w:vAlign w:val="bottom"/>
            <w:hideMark/>
          </w:tcPr>
          <w:p w14:paraId="7C82FF51"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right w:val="nil"/>
            </w:tcBorders>
            <w:shd w:val="clear" w:color="auto" w:fill="auto"/>
            <w:noWrap/>
            <w:vAlign w:val="bottom"/>
            <w:hideMark/>
          </w:tcPr>
          <w:p w14:paraId="4889AECD" w14:textId="77777777" w:rsidR="00B44194" w:rsidRPr="00B44194" w:rsidRDefault="00B44194" w:rsidP="00B441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6503C95C"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5D50B4EC"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7C39AE27" w14:textId="77777777" w:rsidR="00B44194" w:rsidRPr="00B44194" w:rsidRDefault="00B44194" w:rsidP="00B441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4BDB0800"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2CCECF54"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14F48F80" w14:textId="77777777" w:rsidR="00B44194" w:rsidRPr="00B44194" w:rsidRDefault="00B44194" w:rsidP="00B441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0531EE01"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r>
      <w:tr w:rsidR="00B44194" w:rsidRPr="00B44194" w14:paraId="2B29E19B" w14:textId="77777777" w:rsidTr="001E0D2B">
        <w:trPr>
          <w:trHeight w:val="285"/>
          <w:jc w:val="center"/>
        </w:trPr>
        <w:tc>
          <w:tcPr>
            <w:tcW w:w="400" w:type="dxa"/>
            <w:tcBorders>
              <w:top w:val="nil"/>
              <w:left w:val="nil"/>
              <w:bottom w:val="single" w:sz="4" w:space="0" w:color="auto"/>
              <w:right w:val="nil"/>
            </w:tcBorders>
            <w:shd w:val="clear" w:color="auto" w:fill="auto"/>
            <w:noWrap/>
            <w:vAlign w:val="bottom"/>
            <w:hideMark/>
          </w:tcPr>
          <w:p w14:paraId="5C957EA5" w14:textId="77777777" w:rsidR="00B44194" w:rsidRPr="00B44194" w:rsidRDefault="00B44194" w:rsidP="00B44194">
            <w:pPr>
              <w:spacing w:after="0" w:line="240" w:lineRule="auto"/>
              <w:rPr>
                <w:rFonts w:eastAsia="Times New Roman" w:cs="Calibri"/>
                <w:i/>
                <w:iCs/>
              </w:rPr>
            </w:pPr>
            <w:r w:rsidRPr="00B44194">
              <w:rPr>
                <w:rFonts w:eastAsia="Times New Roman" w:cs="Calibri"/>
                <w:i/>
                <w:iCs/>
              </w:rPr>
              <w:t>K</w:t>
            </w:r>
          </w:p>
        </w:tc>
        <w:tc>
          <w:tcPr>
            <w:tcW w:w="1019" w:type="dxa"/>
            <w:tcBorders>
              <w:top w:val="nil"/>
              <w:left w:val="nil"/>
              <w:bottom w:val="single" w:sz="4" w:space="0" w:color="auto"/>
              <w:right w:val="nil"/>
            </w:tcBorders>
            <w:shd w:val="clear" w:color="auto" w:fill="auto"/>
            <w:noWrap/>
            <w:vAlign w:val="bottom"/>
            <w:hideMark/>
          </w:tcPr>
          <w:p w14:paraId="6E28583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0.220</w:t>
            </w:r>
          </w:p>
        </w:tc>
        <w:tc>
          <w:tcPr>
            <w:tcW w:w="1221" w:type="dxa"/>
            <w:tcBorders>
              <w:top w:val="nil"/>
              <w:left w:val="nil"/>
              <w:bottom w:val="single" w:sz="4" w:space="0" w:color="auto"/>
              <w:right w:val="nil"/>
            </w:tcBorders>
            <w:shd w:val="clear" w:color="auto" w:fill="auto"/>
            <w:noWrap/>
            <w:vAlign w:val="bottom"/>
            <w:hideMark/>
          </w:tcPr>
          <w:p w14:paraId="1CCCC20C"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0.274</w:t>
            </w:r>
          </w:p>
        </w:tc>
        <w:tc>
          <w:tcPr>
            <w:tcW w:w="400" w:type="dxa"/>
            <w:tcBorders>
              <w:top w:val="nil"/>
              <w:left w:val="nil"/>
              <w:bottom w:val="single" w:sz="4" w:space="0" w:color="auto"/>
              <w:right w:val="nil"/>
            </w:tcBorders>
            <w:shd w:val="clear" w:color="auto" w:fill="auto"/>
            <w:noWrap/>
            <w:vAlign w:val="bottom"/>
            <w:hideMark/>
          </w:tcPr>
          <w:p w14:paraId="763D0346"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1DB3881F"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0.203</w:t>
            </w:r>
          </w:p>
        </w:tc>
        <w:tc>
          <w:tcPr>
            <w:tcW w:w="1221" w:type="dxa"/>
            <w:tcBorders>
              <w:top w:val="nil"/>
              <w:left w:val="nil"/>
              <w:bottom w:val="single" w:sz="4" w:space="0" w:color="auto"/>
              <w:right w:val="nil"/>
            </w:tcBorders>
            <w:shd w:val="clear" w:color="auto" w:fill="auto"/>
            <w:noWrap/>
            <w:vAlign w:val="bottom"/>
            <w:hideMark/>
          </w:tcPr>
          <w:p w14:paraId="0B79D22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0.203</w:t>
            </w:r>
          </w:p>
        </w:tc>
        <w:tc>
          <w:tcPr>
            <w:tcW w:w="400" w:type="dxa"/>
            <w:tcBorders>
              <w:top w:val="nil"/>
              <w:left w:val="nil"/>
              <w:bottom w:val="single" w:sz="4" w:space="0" w:color="auto"/>
              <w:right w:val="nil"/>
            </w:tcBorders>
            <w:shd w:val="clear" w:color="auto" w:fill="auto"/>
            <w:noWrap/>
            <w:vAlign w:val="bottom"/>
            <w:hideMark/>
          </w:tcPr>
          <w:p w14:paraId="5B7EC654"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298B60E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-0.017</w:t>
            </w:r>
          </w:p>
        </w:tc>
        <w:tc>
          <w:tcPr>
            <w:tcW w:w="1221" w:type="dxa"/>
            <w:tcBorders>
              <w:top w:val="nil"/>
              <w:left w:val="nil"/>
              <w:bottom w:val="single" w:sz="4" w:space="0" w:color="auto"/>
              <w:right w:val="nil"/>
            </w:tcBorders>
            <w:shd w:val="clear" w:color="auto" w:fill="auto"/>
            <w:noWrap/>
            <w:vAlign w:val="bottom"/>
            <w:hideMark/>
          </w:tcPr>
          <w:p w14:paraId="6311565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-0.071</w:t>
            </w:r>
          </w:p>
        </w:tc>
      </w:tr>
      <w:tr w:rsidR="00B44194" w:rsidRPr="00B44194" w14:paraId="24A35B35" w14:textId="77777777" w:rsidTr="001E0D2B">
        <w:trPr>
          <w:trHeight w:val="285"/>
          <w:jc w:val="center"/>
        </w:trPr>
        <w:tc>
          <w:tcPr>
            <w:tcW w:w="7920" w:type="dxa"/>
            <w:gridSpan w:val="9"/>
            <w:tcBorders>
              <w:top w:val="single" w:sz="4" w:space="0" w:color="auto"/>
              <w:left w:val="nil"/>
              <w:bottom w:val="single" w:sz="4" w:space="0" w:color="auto"/>
              <w:right w:val="nil"/>
            </w:tcBorders>
            <w:shd w:val="clear" w:color="auto" w:fill="auto"/>
            <w:noWrap/>
            <w:vAlign w:val="bottom"/>
          </w:tcPr>
          <w:p w14:paraId="10799DB1" w14:textId="5CAF2DDB" w:rsidR="00B44194" w:rsidRPr="00B44194" w:rsidRDefault="00B44194" w:rsidP="00B44194">
            <w:pPr>
              <w:spacing w:after="0" w:line="240" w:lineRule="auto"/>
              <w:rPr>
                <w:rFonts w:eastAsia="Times New Roman" w:cs="Calibri"/>
              </w:rPr>
            </w:pPr>
            <w:r w:rsidRPr="00B44194">
              <w:rPr>
                <w:rFonts w:eastAsia="Times New Roman" w:cs="Calibri"/>
                <w:i/>
                <w:iCs/>
                <w:sz w:val="20"/>
                <w:szCs w:val="20"/>
              </w:rPr>
              <w:t>Full sample</w:t>
            </w:r>
            <w:r w:rsidRPr="00B44194">
              <w:rPr>
                <w:rFonts w:eastAsia="Times New Roman" w:cs="Calibri"/>
                <w:sz w:val="20"/>
                <w:szCs w:val="20"/>
              </w:rPr>
              <w:t xml:space="preserve"> statistics are based on all observations.  </w:t>
            </w:r>
            <w:r w:rsidRPr="00B44194">
              <w:rPr>
                <w:rFonts w:eastAsia="Times New Roman" w:cs="Calibri"/>
                <w:i/>
                <w:iCs/>
                <w:sz w:val="20"/>
                <w:szCs w:val="20"/>
              </w:rPr>
              <w:t>Cross-validated</w:t>
            </w:r>
            <w:r w:rsidRPr="00B44194">
              <w:rPr>
                <w:rFonts w:eastAsia="Times New Roman" w:cs="Calibri"/>
                <w:sz w:val="20"/>
                <w:szCs w:val="20"/>
              </w:rPr>
              <w:t xml:space="preserve"> are averages from five-fold cross-validation.  </w:t>
            </w:r>
            <w:r w:rsidRPr="00B44194">
              <w:rPr>
                <w:rFonts w:eastAsia="Times New Roman" w:cs="Calibri"/>
                <w:i/>
                <w:iCs/>
                <w:sz w:val="20"/>
                <w:szCs w:val="20"/>
              </w:rPr>
              <w:t>Difference</w:t>
            </w:r>
            <w:r w:rsidRPr="00B44194">
              <w:rPr>
                <w:rFonts w:eastAsia="Times New Roman" w:cs="Calibri"/>
                <w:sz w:val="20"/>
                <w:szCs w:val="20"/>
              </w:rPr>
              <w:t xml:space="preserve"> columns display cross-validated minus full-sample values.</w:t>
            </w:r>
            <w:r>
              <w:rPr>
                <w:rFonts w:eastAsia="Times New Roman" w:cs="Calibri"/>
                <w:sz w:val="20"/>
                <w:szCs w:val="20"/>
              </w:rPr>
              <w:t xml:space="preserve">  Negative differences indicate cross-validated predictions are less accurate than full-sample. R. = Ensemble rating.  </w:t>
            </w:r>
            <w:r>
              <w:rPr>
                <w:rFonts w:eastAsia="Times New Roman" w:cs="Calibri"/>
                <w:i/>
                <w:iCs/>
                <w:sz w:val="20"/>
                <w:szCs w:val="20"/>
              </w:rPr>
              <w:t>K</w:t>
            </w:r>
            <w:r>
              <w:rPr>
                <w:rFonts w:eastAsia="Times New Roman" w:cs="Calibri"/>
                <w:sz w:val="20"/>
                <w:szCs w:val="20"/>
              </w:rPr>
              <w:t xml:space="preserve"> = Cohen’s </w:t>
            </w:r>
            <w:r w:rsidRPr="001E0D2B">
              <w:rPr>
                <w:rFonts w:eastAsia="Times New Roman" w:cs="Calibri"/>
                <w:i/>
                <w:iCs/>
                <w:sz w:val="20"/>
                <w:szCs w:val="20"/>
              </w:rPr>
              <w:t>kappa</w:t>
            </w:r>
            <w:r>
              <w:rPr>
                <w:rFonts w:eastAsia="Times New Roman" w:cs="Calibri"/>
                <w:sz w:val="20"/>
                <w:szCs w:val="20"/>
              </w:rPr>
              <w:t>.</w:t>
            </w:r>
          </w:p>
        </w:tc>
      </w:tr>
    </w:tbl>
    <w:p w14:paraId="6382BCDB" w14:textId="77777777" w:rsidR="00190B1E" w:rsidRDefault="00190B1E" w:rsidP="001F5F80"/>
    <w:p w14:paraId="3948601A" w14:textId="2CEE89B9" w:rsidR="00F73FDE" w:rsidRDefault="001E0D2B" w:rsidP="001F5F80">
      <w:r>
        <w:t>M</w:t>
      </w:r>
      <w:r w:rsidR="00F73FDE">
        <w:t>ost of the models suffered from low recall rates for students with high ensemble ratings</w:t>
      </w:r>
      <w:r w:rsidR="009C3CD1">
        <w:t>, meaning that students with actual ratings of 5 or 6 were less likely to be accurately predicted than students with lower ratings.</w:t>
      </w:r>
      <w:r>
        <w:t xml:space="preserve">  For example, </w:t>
      </w:r>
      <w:r w:rsidR="00044332">
        <w:t>in</w:t>
      </w:r>
      <w:r>
        <w:t xml:space="preserve"> the ordered </w:t>
      </w:r>
      <w:proofErr w:type="spellStart"/>
      <w:r>
        <w:t>probit</w:t>
      </w:r>
      <w:proofErr w:type="spellEnd"/>
      <w:r>
        <w:t xml:space="preserve"> model with polynomial predictors, </w:t>
      </w:r>
      <w:r w:rsidR="00326FE4">
        <w:t>only about 9% of students who were actually assigned a rating of 6 were accurately predicted.</w:t>
      </w:r>
    </w:p>
    <w:p w14:paraId="595991B1" w14:textId="72E2371A" w:rsidR="00326FE4" w:rsidRDefault="00326FE4" w:rsidP="001F5F80">
      <w:r>
        <w:t xml:space="preserve">The multinomial logistic models tended to be the least affected by this issue.  However, they also </w:t>
      </w:r>
      <w:r w:rsidR="00732EEE">
        <w:t>were</w:t>
      </w:r>
      <w:r>
        <w:t xml:space="preserve"> the most likely to suffer from overfitting.  For example, while the multinomial logistic/instrument interaction model accurately predicted ratings for about 4</w:t>
      </w:r>
      <w:r w:rsidR="00F379CF">
        <w:t>1</w:t>
      </w:r>
      <w:r>
        <w:t>% of students with a rating of 6 in the full sample, this rate decline</w:t>
      </w:r>
      <w:r w:rsidR="00F379CF">
        <w:t>d</w:t>
      </w:r>
      <w:r>
        <w:t xml:space="preserve"> to less than 11%, on average, </w:t>
      </w:r>
      <w:r w:rsidR="00853455">
        <w:t xml:space="preserve">in the cross-validation samples – a rate similar to the ordered </w:t>
      </w:r>
      <w:proofErr w:type="spellStart"/>
      <w:r w:rsidR="00853455">
        <w:t>probit</w:t>
      </w:r>
      <w:proofErr w:type="spellEnd"/>
      <w:r w:rsidR="00853455">
        <w:t xml:space="preserve">/polynomial model.  </w:t>
      </w:r>
      <w:r w:rsidR="00B16480">
        <w:t>Large accuracy declines like this are often indicative of overfitting.</w:t>
      </w:r>
    </w:p>
    <w:p w14:paraId="758E8745" w14:textId="2447D998" w:rsidR="004767D1" w:rsidRDefault="00D53A94" w:rsidP="001F5F80">
      <w:r>
        <w:t xml:space="preserve">Finally, the overall </w:t>
      </w:r>
      <w:r>
        <w:rPr>
          <w:i/>
          <w:iCs/>
        </w:rPr>
        <w:t>kappa</w:t>
      </w:r>
      <w:r>
        <w:t xml:space="preserve"> statistic was somewhat low for all models</w:t>
      </w:r>
      <w:r w:rsidR="007C0C23">
        <w:t xml:space="preserve"> (around 0.2 in most cases)</w:t>
      </w:r>
      <w:r>
        <w:t>, indicating that, with respect to exact matches, the prediction models were only somewhat better than random assignment.</w:t>
      </w:r>
    </w:p>
    <w:p w14:paraId="7169755B" w14:textId="2C6933CD" w:rsidR="00D53A94" w:rsidRDefault="00D53A94" w:rsidP="00D53A94">
      <w:pPr>
        <w:pStyle w:val="Heading2"/>
      </w:pPr>
      <w:r>
        <w:t>Within-1 Matching</w:t>
      </w:r>
    </w:p>
    <w:p w14:paraId="5AF51544" w14:textId="31E41384" w:rsidR="00D53A94" w:rsidRDefault="001C7C28" w:rsidP="001F5F80">
      <w:r>
        <w:t xml:space="preserve">Results are more promising when considering the proportion of predictions that are within one point of actual ratings.  Table </w:t>
      </w:r>
      <w:r w:rsidR="00A04745">
        <w:t>4</w:t>
      </w:r>
      <w:r>
        <w:t xml:space="preserve"> presents recall and </w:t>
      </w:r>
      <w:r w:rsidRPr="001C7C28">
        <w:rPr>
          <w:i/>
          <w:iCs/>
        </w:rPr>
        <w:t>kappa</w:t>
      </w:r>
      <w:r>
        <w:t xml:space="preserve"> statistics for the two models in Table </w:t>
      </w:r>
      <w:r w:rsidR="00A04745">
        <w:t>3</w:t>
      </w:r>
      <w:r>
        <w:t xml:space="preserve">, but </w:t>
      </w:r>
      <w:r w:rsidR="00017E45">
        <w:t>with results modified to use the proportion of students whose predicted scores were within one point of actual scores.</w:t>
      </w:r>
    </w:p>
    <w:tbl>
      <w:tblPr>
        <w:tblW w:w="7920" w:type="dxa"/>
        <w:jc w:val="center"/>
        <w:tblLook w:val="04A0" w:firstRow="1" w:lastRow="0" w:firstColumn="1" w:lastColumn="0" w:noHBand="0" w:noVBand="1"/>
      </w:tblPr>
      <w:tblGrid>
        <w:gridCol w:w="400"/>
        <w:gridCol w:w="1019"/>
        <w:gridCol w:w="1221"/>
        <w:gridCol w:w="400"/>
        <w:gridCol w:w="1019"/>
        <w:gridCol w:w="1221"/>
        <w:gridCol w:w="400"/>
        <w:gridCol w:w="1019"/>
        <w:gridCol w:w="1221"/>
      </w:tblGrid>
      <w:tr w:rsidR="00D53A94" w:rsidRPr="00D53A94" w14:paraId="6AF9646B" w14:textId="77777777" w:rsidTr="001C7C28">
        <w:trPr>
          <w:trHeight w:val="300"/>
          <w:jc w:val="center"/>
        </w:trPr>
        <w:tc>
          <w:tcPr>
            <w:tcW w:w="7920" w:type="dxa"/>
            <w:gridSpan w:val="9"/>
            <w:tcBorders>
              <w:top w:val="nil"/>
              <w:left w:val="nil"/>
              <w:bottom w:val="single" w:sz="4" w:space="0" w:color="auto"/>
              <w:right w:val="nil"/>
            </w:tcBorders>
            <w:shd w:val="clear" w:color="auto" w:fill="auto"/>
            <w:noWrap/>
            <w:vAlign w:val="bottom"/>
          </w:tcPr>
          <w:p w14:paraId="4208E9AD" w14:textId="43493B83" w:rsidR="00D53A94" w:rsidRPr="00D53A94" w:rsidRDefault="00D53A94" w:rsidP="00D53A94">
            <w:pPr>
              <w:spacing w:after="0" w:line="240" w:lineRule="auto"/>
              <w:rPr>
                <w:rFonts w:eastAsia="Times New Roman" w:cs="Calibri"/>
              </w:rPr>
            </w:pPr>
            <w:r>
              <w:rPr>
                <w:rFonts w:eastAsia="Times New Roman" w:cs="Calibri"/>
                <w:i/>
                <w:iCs/>
              </w:rPr>
              <w:t xml:space="preserve">Table </w:t>
            </w:r>
            <w:r w:rsidR="00A04745">
              <w:rPr>
                <w:rFonts w:eastAsia="Times New Roman" w:cs="Calibri"/>
                <w:i/>
                <w:iCs/>
              </w:rPr>
              <w:t>4</w:t>
            </w:r>
            <w:r>
              <w:rPr>
                <w:rFonts w:eastAsia="Times New Roman" w:cs="Calibri"/>
              </w:rPr>
              <w:t xml:space="preserve">.  Recall rates and </w:t>
            </w:r>
            <w:r w:rsidRPr="00B44194">
              <w:rPr>
                <w:rFonts w:eastAsia="Times New Roman" w:cs="Calibri"/>
                <w:i/>
                <w:iCs/>
              </w:rPr>
              <w:t>kappa</w:t>
            </w:r>
            <w:r>
              <w:rPr>
                <w:rFonts w:eastAsia="Times New Roman" w:cs="Calibri"/>
              </w:rPr>
              <w:t xml:space="preserve"> statistics for Ordered </w:t>
            </w:r>
            <w:proofErr w:type="spellStart"/>
            <w:r>
              <w:rPr>
                <w:rFonts w:eastAsia="Times New Roman" w:cs="Calibri"/>
              </w:rPr>
              <w:t>Probit</w:t>
            </w:r>
            <w:proofErr w:type="spellEnd"/>
            <w:r>
              <w:rPr>
                <w:rFonts w:eastAsia="Times New Roman" w:cs="Calibri"/>
              </w:rPr>
              <w:t xml:space="preserve">/Polynomial model and Multinomial Logit/Instrument Interaction model predictions, with predicted ratings within </w:t>
            </w:r>
            <w:r w:rsidR="00850BC4">
              <w:rPr>
                <w:rFonts w:eastAsia="Times New Roman" w:cs="Calibri"/>
              </w:rPr>
              <w:t>one</w:t>
            </w:r>
            <w:r>
              <w:rPr>
                <w:rFonts w:eastAsia="Times New Roman" w:cs="Calibri"/>
              </w:rPr>
              <w:t xml:space="preserve"> point given full weight</w:t>
            </w:r>
            <w:r w:rsidR="00850BC4">
              <w:rPr>
                <w:rFonts w:eastAsia="Times New Roman" w:cs="Calibri"/>
              </w:rPr>
              <w:t>.</w:t>
            </w:r>
          </w:p>
        </w:tc>
      </w:tr>
      <w:tr w:rsidR="00D53A94" w:rsidRPr="00D53A94" w14:paraId="749CC266" w14:textId="77777777" w:rsidTr="001C7C28">
        <w:trPr>
          <w:trHeight w:val="300"/>
          <w:jc w:val="center"/>
        </w:trPr>
        <w:tc>
          <w:tcPr>
            <w:tcW w:w="400" w:type="dxa"/>
            <w:tcBorders>
              <w:top w:val="single" w:sz="4" w:space="0" w:color="auto"/>
              <w:left w:val="nil"/>
              <w:bottom w:val="nil"/>
              <w:right w:val="nil"/>
            </w:tcBorders>
            <w:shd w:val="clear" w:color="auto" w:fill="auto"/>
            <w:noWrap/>
            <w:vAlign w:val="bottom"/>
            <w:hideMark/>
          </w:tcPr>
          <w:p w14:paraId="58D1D9C0" w14:textId="77777777" w:rsidR="00D53A94" w:rsidRPr="00D53A94" w:rsidRDefault="00D53A94" w:rsidP="00D53A94">
            <w:pPr>
              <w:spacing w:after="0" w:line="240" w:lineRule="auto"/>
              <w:rPr>
                <w:rFonts w:ascii="Times New Roman" w:eastAsia="Times New Roman" w:hAnsi="Times New Roman" w:cs="Times New Roman"/>
                <w:sz w:val="24"/>
                <w:szCs w:val="24"/>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059B84E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Full sample</w:t>
            </w:r>
          </w:p>
        </w:tc>
        <w:tc>
          <w:tcPr>
            <w:tcW w:w="400" w:type="dxa"/>
            <w:tcBorders>
              <w:top w:val="single" w:sz="4" w:space="0" w:color="auto"/>
              <w:left w:val="nil"/>
              <w:bottom w:val="nil"/>
              <w:right w:val="nil"/>
            </w:tcBorders>
            <w:shd w:val="clear" w:color="auto" w:fill="auto"/>
            <w:noWrap/>
            <w:vAlign w:val="bottom"/>
            <w:hideMark/>
          </w:tcPr>
          <w:p w14:paraId="3A473A56" w14:textId="77777777" w:rsidR="00D53A94" w:rsidRPr="00D53A94" w:rsidRDefault="00D53A94" w:rsidP="00D53A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5995BE99"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Cross-validated</w:t>
            </w:r>
          </w:p>
        </w:tc>
        <w:tc>
          <w:tcPr>
            <w:tcW w:w="400" w:type="dxa"/>
            <w:tcBorders>
              <w:top w:val="single" w:sz="4" w:space="0" w:color="auto"/>
              <w:left w:val="nil"/>
              <w:bottom w:val="nil"/>
              <w:right w:val="nil"/>
            </w:tcBorders>
            <w:shd w:val="clear" w:color="auto" w:fill="auto"/>
            <w:noWrap/>
            <w:vAlign w:val="bottom"/>
            <w:hideMark/>
          </w:tcPr>
          <w:p w14:paraId="60BDC6C0" w14:textId="77777777" w:rsidR="00D53A94" w:rsidRPr="00D53A94" w:rsidRDefault="00D53A94" w:rsidP="00D53A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6B7EA56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Difference</w:t>
            </w:r>
          </w:p>
        </w:tc>
      </w:tr>
      <w:tr w:rsidR="00D53A94" w:rsidRPr="00D53A94" w14:paraId="71904BA5" w14:textId="77777777" w:rsidTr="001C7C28">
        <w:trPr>
          <w:trHeight w:val="300"/>
          <w:jc w:val="center"/>
        </w:trPr>
        <w:tc>
          <w:tcPr>
            <w:tcW w:w="400" w:type="dxa"/>
            <w:tcBorders>
              <w:top w:val="nil"/>
              <w:left w:val="nil"/>
              <w:bottom w:val="single" w:sz="4" w:space="0" w:color="auto"/>
              <w:right w:val="nil"/>
            </w:tcBorders>
            <w:shd w:val="clear" w:color="auto" w:fill="auto"/>
            <w:noWrap/>
            <w:vAlign w:val="bottom"/>
            <w:hideMark/>
          </w:tcPr>
          <w:p w14:paraId="3CDABCAA" w14:textId="77777777" w:rsidR="00D53A94" w:rsidRPr="00D53A94" w:rsidRDefault="00D53A94" w:rsidP="00D53A94">
            <w:pPr>
              <w:spacing w:after="0" w:line="240" w:lineRule="auto"/>
              <w:rPr>
                <w:rFonts w:eastAsia="Times New Roman" w:cs="Calibri"/>
              </w:rPr>
            </w:pPr>
            <w:r w:rsidRPr="00D53A94">
              <w:rPr>
                <w:rFonts w:eastAsia="Times New Roman" w:cs="Calibri"/>
              </w:rPr>
              <w:lastRenderedPageBreak/>
              <w:t>R.</w:t>
            </w:r>
          </w:p>
        </w:tc>
        <w:tc>
          <w:tcPr>
            <w:tcW w:w="1019" w:type="dxa"/>
            <w:tcBorders>
              <w:top w:val="nil"/>
              <w:left w:val="nil"/>
              <w:bottom w:val="single" w:sz="4" w:space="0" w:color="auto"/>
              <w:right w:val="nil"/>
            </w:tcBorders>
            <w:shd w:val="clear" w:color="auto" w:fill="auto"/>
            <w:noWrap/>
            <w:vAlign w:val="bottom"/>
            <w:hideMark/>
          </w:tcPr>
          <w:p w14:paraId="2E84981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2FCC0F30"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426F73F0"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48BF8D50"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779D08B5"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5E63EF01"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3AD4DEE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1377AF6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MLOG/Int</w:t>
            </w:r>
          </w:p>
        </w:tc>
      </w:tr>
      <w:tr w:rsidR="00D53A94" w:rsidRPr="00D53A94" w14:paraId="7F8BF5A7"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47B2DB3F"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1</w:t>
            </w:r>
          </w:p>
        </w:tc>
        <w:tc>
          <w:tcPr>
            <w:tcW w:w="1019" w:type="dxa"/>
            <w:tcBorders>
              <w:top w:val="nil"/>
              <w:left w:val="nil"/>
              <w:bottom w:val="nil"/>
              <w:right w:val="nil"/>
            </w:tcBorders>
            <w:shd w:val="clear" w:color="auto" w:fill="auto"/>
            <w:noWrap/>
            <w:vAlign w:val="bottom"/>
            <w:hideMark/>
          </w:tcPr>
          <w:p w14:paraId="3391E5B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94.8%</w:t>
            </w:r>
          </w:p>
        </w:tc>
        <w:tc>
          <w:tcPr>
            <w:tcW w:w="1221" w:type="dxa"/>
            <w:tcBorders>
              <w:top w:val="nil"/>
              <w:left w:val="nil"/>
              <w:bottom w:val="nil"/>
              <w:right w:val="nil"/>
            </w:tcBorders>
            <w:shd w:val="clear" w:color="auto" w:fill="auto"/>
            <w:noWrap/>
            <w:vAlign w:val="bottom"/>
            <w:hideMark/>
          </w:tcPr>
          <w:p w14:paraId="7F26718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92.8%</w:t>
            </w:r>
          </w:p>
        </w:tc>
        <w:tc>
          <w:tcPr>
            <w:tcW w:w="400" w:type="dxa"/>
            <w:tcBorders>
              <w:top w:val="nil"/>
              <w:left w:val="nil"/>
              <w:bottom w:val="nil"/>
              <w:right w:val="nil"/>
            </w:tcBorders>
            <w:shd w:val="clear" w:color="auto" w:fill="auto"/>
            <w:noWrap/>
            <w:vAlign w:val="bottom"/>
            <w:hideMark/>
          </w:tcPr>
          <w:p w14:paraId="00DF006C"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61FECC1"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94.6%</w:t>
            </w:r>
          </w:p>
        </w:tc>
        <w:tc>
          <w:tcPr>
            <w:tcW w:w="1221" w:type="dxa"/>
            <w:tcBorders>
              <w:top w:val="nil"/>
              <w:left w:val="nil"/>
              <w:bottom w:val="nil"/>
              <w:right w:val="nil"/>
            </w:tcBorders>
            <w:shd w:val="clear" w:color="auto" w:fill="auto"/>
            <w:noWrap/>
            <w:vAlign w:val="bottom"/>
            <w:hideMark/>
          </w:tcPr>
          <w:p w14:paraId="11CA607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92.9%</w:t>
            </w:r>
          </w:p>
        </w:tc>
        <w:tc>
          <w:tcPr>
            <w:tcW w:w="400" w:type="dxa"/>
            <w:tcBorders>
              <w:top w:val="nil"/>
              <w:left w:val="nil"/>
              <w:bottom w:val="nil"/>
              <w:right w:val="nil"/>
            </w:tcBorders>
            <w:shd w:val="clear" w:color="auto" w:fill="auto"/>
            <w:noWrap/>
            <w:vAlign w:val="bottom"/>
            <w:hideMark/>
          </w:tcPr>
          <w:p w14:paraId="1BE3649F"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D97E27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-0.2%</w:t>
            </w:r>
          </w:p>
        </w:tc>
        <w:tc>
          <w:tcPr>
            <w:tcW w:w="1221" w:type="dxa"/>
            <w:tcBorders>
              <w:top w:val="nil"/>
              <w:left w:val="nil"/>
              <w:bottom w:val="nil"/>
              <w:right w:val="nil"/>
            </w:tcBorders>
            <w:shd w:val="clear" w:color="auto" w:fill="auto"/>
            <w:noWrap/>
            <w:vAlign w:val="bottom"/>
            <w:hideMark/>
          </w:tcPr>
          <w:p w14:paraId="46D8A05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w:t>
            </w:r>
          </w:p>
        </w:tc>
      </w:tr>
      <w:tr w:rsidR="00D53A94" w:rsidRPr="00D53A94" w14:paraId="21D7BD10"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375C15E2"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2</w:t>
            </w:r>
          </w:p>
        </w:tc>
        <w:tc>
          <w:tcPr>
            <w:tcW w:w="1019" w:type="dxa"/>
            <w:tcBorders>
              <w:top w:val="nil"/>
              <w:left w:val="nil"/>
              <w:bottom w:val="nil"/>
              <w:right w:val="nil"/>
            </w:tcBorders>
            <w:shd w:val="clear" w:color="auto" w:fill="auto"/>
            <w:noWrap/>
            <w:vAlign w:val="bottom"/>
            <w:hideMark/>
          </w:tcPr>
          <w:p w14:paraId="62C04FA6"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99.1%</w:t>
            </w:r>
          </w:p>
        </w:tc>
        <w:tc>
          <w:tcPr>
            <w:tcW w:w="1221" w:type="dxa"/>
            <w:tcBorders>
              <w:top w:val="nil"/>
              <w:left w:val="nil"/>
              <w:bottom w:val="nil"/>
              <w:right w:val="nil"/>
            </w:tcBorders>
            <w:shd w:val="clear" w:color="auto" w:fill="auto"/>
            <w:noWrap/>
            <w:vAlign w:val="bottom"/>
            <w:hideMark/>
          </w:tcPr>
          <w:p w14:paraId="06BC7743"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97.6%</w:t>
            </w:r>
          </w:p>
        </w:tc>
        <w:tc>
          <w:tcPr>
            <w:tcW w:w="400" w:type="dxa"/>
            <w:tcBorders>
              <w:top w:val="nil"/>
              <w:left w:val="nil"/>
              <w:bottom w:val="nil"/>
              <w:right w:val="nil"/>
            </w:tcBorders>
            <w:shd w:val="clear" w:color="auto" w:fill="auto"/>
            <w:noWrap/>
            <w:vAlign w:val="bottom"/>
            <w:hideMark/>
          </w:tcPr>
          <w:p w14:paraId="073804A8"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B17672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99.1%</w:t>
            </w:r>
          </w:p>
        </w:tc>
        <w:tc>
          <w:tcPr>
            <w:tcW w:w="1221" w:type="dxa"/>
            <w:tcBorders>
              <w:top w:val="nil"/>
              <w:left w:val="nil"/>
              <w:bottom w:val="nil"/>
              <w:right w:val="nil"/>
            </w:tcBorders>
            <w:shd w:val="clear" w:color="auto" w:fill="auto"/>
            <w:noWrap/>
            <w:vAlign w:val="bottom"/>
            <w:hideMark/>
          </w:tcPr>
          <w:p w14:paraId="1BDD90B3"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96.8%</w:t>
            </w:r>
          </w:p>
        </w:tc>
        <w:tc>
          <w:tcPr>
            <w:tcW w:w="400" w:type="dxa"/>
            <w:tcBorders>
              <w:top w:val="nil"/>
              <w:left w:val="nil"/>
              <w:bottom w:val="nil"/>
              <w:right w:val="nil"/>
            </w:tcBorders>
            <w:shd w:val="clear" w:color="auto" w:fill="auto"/>
            <w:noWrap/>
            <w:vAlign w:val="bottom"/>
            <w:hideMark/>
          </w:tcPr>
          <w:p w14:paraId="1E04DFB9"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3C0774A1"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w:t>
            </w:r>
          </w:p>
        </w:tc>
        <w:tc>
          <w:tcPr>
            <w:tcW w:w="1221" w:type="dxa"/>
            <w:tcBorders>
              <w:top w:val="nil"/>
              <w:left w:val="nil"/>
              <w:bottom w:val="nil"/>
              <w:right w:val="nil"/>
            </w:tcBorders>
            <w:shd w:val="clear" w:color="auto" w:fill="auto"/>
            <w:noWrap/>
            <w:vAlign w:val="bottom"/>
            <w:hideMark/>
          </w:tcPr>
          <w:p w14:paraId="051215B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-0.8%</w:t>
            </w:r>
          </w:p>
        </w:tc>
      </w:tr>
      <w:tr w:rsidR="00D53A94" w:rsidRPr="00D53A94" w14:paraId="136396EE"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6C7CCF66"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3</w:t>
            </w:r>
          </w:p>
        </w:tc>
        <w:tc>
          <w:tcPr>
            <w:tcW w:w="1019" w:type="dxa"/>
            <w:tcBorders>
              <w:top w:val="nil"/>
              <w:left w:val="nil"/>
              <w:bottom w:val="nil"/>
              <w:right w:val="nil"/>
            </w:tcBorders>
            <w:shd w:val="clear" w:color="auto" w:fill="auto"/>
            <w:noWrap/>
            <w:vAlign w:val="bottom"/>
            <w:hideMark/>
          </w:tcPr>
          <w:p w14:paraId="0B2D6BE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97.2%</w:t>
            </w:r>
          </w:p>
        </w:tc>
        <w:tc>
          <w:tcPr>
            <w:tcW w:w="1221" w:type="dxa"/>
            <w:tcBorders>
              <w:top w:val="nil"/>
              <w:left w:val="nil"/>
              <w:bottom w:val="nil"/>
              <w:right w:val="nil"/>
            </w:tcBorders>
            <w:shd w:val="clear" w:color="auto" w:fill="auto"/>
            <w:noWrap/>
            <w:vAlign w:val="bottom"/>
            <w:hideMark/>
          </w:tcPr>
          <w:p w14:paraId="68921DE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93.7%</w:t>
            </w:r>
          </w:p>
        </w:tc>
        <w:tc>
          <w:tcPr>
            <w:tcW w:w="400" w:type="dxa"/>
            <w:tcBorders>
              <w:top w:val="nil"/>
              <w:left w:val="nil"/>
              <w:bottom w:val="nil"/>
              <w:right w:val="nil"/>
            </w:tcBorders>
            <w:shd w:val="clear" w:color="auto" w:fill="auto"/>
            <w:noWrap/>
            <w:vAlign w:val="bottom"/>
            <w:hideMark/>
          </w:tcPr>
          <w:p w14:paraId="48928A66"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38D4569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97.2%</w:t>
            </w:r>
          </w:p>
        </w:tc>
        <w:tc>
          <w:tcPr>
            <w:tcW w:w="1221" w:type="dxa"/>
            <w:tcBorders>
              <w:top w:val="nil"/>
              <w:left w:val="nil"/>
              <w:bottom w:val="nil"/>
              <w:right w:val="nil"/>
            </w:tcBorders>
            <w:shd w:val="clear" w:color="auto" w:fill="auto"/>
            <w:noWrap/>
            <w:vAlign w:val="bottom"/>
            <w:hideMark/>
          </w:tcPr>
          <w:p w14:paraId="450A3858"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91.1%</w:t>
            </w:r>
          </w:p>
        </w:tc>
        <w:tc>
          <w:tcPr>
            <w:tcW w:w="400" w:type="dxa"/>
            <w:tcBorders>
              <w:top w:val="nil"/>
              <w:left w:val="nil"/>
              <w:bottom w:val="nil"/>
              <w:right w:val="nil"/>
            </w:tcBorders>
            <w:shd w:val="clear" w:color="auto" w:fill="auto"/>
            <w:noWrap/>
            <w:vAlign w:val="bottom"/>
            <w:hideMark/>
          </w:tcPr>
          <w:p w14:paraId="342053DF"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73E6BE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0.1%</w:t>
            </w:r>
          </w:p>
        </w:tc>
        <w:tc>
          <w:tcPr>
            <w:tcW w:w="1221" w:type="dxa"/>
            <w:tcBorders>
              <w:top w:val="nil"/>
              <w:left w:val="nil"/>
              <w:bottom w:val="nil"/>
              <w:right w:val="nil"/>
            </w:tcBorders>
            <w:shd w:val="clear" w:color="auto" w:fill="auto"/>
            <w:noWrap/>
            <w:vAlign w:val="bottom"/>
            <w:hideMark/>
          </w:tcPr>
          <w:p w14:paraId="10BF3BBE"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-2.6%</w:t>
            </w:r>
          </w:p>
        </w:tc>
      </w:tr>
      <w:tr w:rsidR="00D53A94" w:rsidRPr="00D53A94" w14:paraId="4822C701"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6EA1F70F"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4</w:t>
            </w:r>
          </w:p>
        </w:tc>
        <w:tc>
          <w:tcPr>
            <w:tcW w:w="1019" w:type="dxa"/>
            <w:tcBorders>
              <w:top w:val="nil"/>
              <w:left w:val="nil"/>
              <w:bottom w:val="nil"/>
              <w:right w:val="nil"/>
            </w:tcBorders>
            <w:shd w:val="clear" w:color="auto" w:fill="auto"/>
            <w:noWrap/>
            <w:vAlign w:val="bottom"/>
            <w:hideMark/>
          </w:tcPr>
          <w:p w14:paraId="568FE90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77.2%</w:t>
            </w:r>
          </w:p>
        </w:tc>
        <w:tc>
          <w:tcPr>
            <w:tcW w:w="1221" w:type="dxa"/>
            <w:tcBorders>
              <w:top w:val="nil"/>
              <w:left w:val="nil"/>
              <w:bottom w:val="nil"/>
              <w:right w:val="nil"/>
            </w:tcBorders>
            <w:shd w:val="clear" w:color="auto" w:fill="auto"/>
            <w:noWrap/>
            <w:vAlign w:val="bottom"/>
            <w:hideMark/>
          </w:tcPr>
          <w:p w14:paraId="69EC28B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74.9%</w:t>
            </w:r>
          </w:p>
        </w:tc>
        <w:tc>
          <w:tcPr>
            <w:tcW w:w="400" w:type="dxa"/>
            <w:tcBorders>
              <w:top w:val="nil"/>
              <w:left w:val="nil"/>
              <w:bottom w:val="nil"/>
              <w:right w:val="nil"/>
            </w:tcBorders>
            <w:shd w:val="clear" w:color="auto" w:fill="auto"/>
            <w:noWrap/>
            <w:vAlign w:val="bottom"/>
            <w:hideMark/>
          </w:tcPr>
          <w:p w14:paraId="23E370B1"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766F936"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77.0%</w:t>
            </w:r>
          </w:p>
        </w:tc>
        <w:tc>
          <w:tcPr>
            <w:tcW w:w="1221" w:type="dxa"/>
            <w:tcBorders>
              <w:top w:val="nil"/>
              <w:left w:val="nil"/>
              <w:bottom w:val="nil"/>
              <w:right w:val="nil"/>
            </w:tcBorders>
            <w:shd w:val="clear" w:color="auto" w:fill="auto"/>
            <w:noWrap/>
            <w:vAlign w:val="bottom"/>
            <w:hideMark/>
          </w:tcPr>
          <w:p w14:paraId="74736E52"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71.6%</w:t>
            </w:r>
          </w:p>
        </w:tc>
        <w:tc>
          <w:tcPr>
            <w:tcW w:w="400" w:type="dxa"/>
            <w:tcBorders>
              <w:top w:val="nil"/>
              <w:left w:val="nil"/>
              <w:bottom w:val="nil"/>
              <w:right w:val="nil"/>
            </w:tcBorders>
            <w:shd w:val="clear" w:color="auto" w:fill="auto"/>
            <w:noWrap/>
            <w:vAlign w:val="bottom"/>
            <w:hideMark/>
          </w:tcPr>
          <w:p w14:paraId="0B5C3A9A"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C40CE5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-0.2%</w:t>
            </w:r>
          </w:p>
        </w:tc>
        <w:tc>
          <w:tcPr>
            <w:tcW w:w="1221" w:type="dxa"/>
            <w:tcBorders>
              <w:top w:val="nil"/>
              <w:left w:val="nil"/>
              <w:bottom w:val="nil"/>
              <w:right w:val="nil"/>
            </w:tcBorders>
            <w:shd w:val="clear" w:color="auto" w:fill="auto"/>
            <w:noWrap/>
            <w:vAlign w:val="bottom"/>
            <w:hideMark/>
          </w:tcPr>
          <w:p w14:paraId="0D38690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-3.3%</w:t>
            </w:r>
          </w:p>
        </w:tc>
      </w:tr>
      <w:tr w:rsidR="00D53A94" w:rsidRPr="00D53A94" w14:paraId="4CE64068"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79393C70"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5</w:t>
            </w:r>
          </w:p>
        </w:tc>
        <w:tc>
          <w:tcPr>
            <w:tcW w:w="1019" w:type="dxa"/>
            <w:tcBorders>
              <w:top w:val="nil"/>
              <w:left w:val="nil"/>
              <w:bottom w:val="nil"/>
              <w:right w:val="nil"/>
            </w:tcBorders>
            <w:shd w:val="clear" w:color="auto" w:fill="auto"/>
            <w:noWrap/>
            <w:vAlign w:val="bottom"/>
            <w:hideMark/>
          </w:tcPr>
          <w:p w14:paraId="23D0950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48.1%</w:t>
            </w:r>
          </w:p>
        </w:tc>
        <w:tc>
          <w:tcPr>
            <w:tcW w:w="1221" w:type="dxa"/>
            <w:tcBorders>
              <w:top w:val="nil"/>
              <w:left w:val="nil"/>
              <w:bottom w:val="nil"/>
              <w:right w:val="nil"/>
            </w:tcBorders>
            <w:shd w:val="clear" w:color="auto" w:fill="auto"/>
            <w:noWrap/>
            <w:vAlign w:val="bottom"/>
            <w:hideMark/>
          </w:tcPr>
          <w:p w14:paraId="13F28052"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57.9%</w:t>
            </w:r>
          </w:p>
        </w:tc>
        <w:tc>
          <w:tcPr>
            <w:tcW w:w="400" w:type="dxa"/>
            <w:tcBorders>
              <w:top w:val="nil"/>
              <w:left w:val="nil"/>
              <w:bottom w:val="nil"/>
              <w:right w:val="nil"/>
            </w:tcBorders>
            <w:shd w:val="clear" w:color="auto" w:fill="auto"/>
            <w:noWrap/>
            <w:vAlign w:val="bottom"/>
            <w:hideMark/>
          </w:tcPr>
          <w:p w14:paraId="59317B8A"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A5D4E59"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47.6%</w:t>
            </w:r>
          </w:p>
        </w:tc>
        <w:tc>
          <w:tcPr>
            <w:tcW w:w="1221" w:type="dxa"/>
            <w:tcBorders>
              <w:top w:val="nil"/>
              <w:left w:val="nil"/>
              <w:bottom w:val="nil"/>
              <w:right w:val="nil"/>
            </w:tcBorders>
            <w:shd w:val="clear" w:color="auto" w:fill="auto"/>
            <w:noWrap/>
            <w:vAlign w:val="bottom"/>
            <w:hideMark/>
          </w:tcPr>
          <w:p w14:paraId="489397C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52.5%</w:t>
            </w:r>
          </w:p>
        </w:tc>
        <w:tc>
          <w:tcPr>
            <w:tcW w:w="400" w:type="dxa"/>
            <w:tcBorders>
              <w:top w:val="nil"/>
              <w:left w:val="nil"/>
              <w:bottom w:val="nil"/>
              <w:right w:val="nil"/>
            </w:tcBorders>
            <w:shd w:val="clear" w:color="auto" w:fill="auto"/>
            <w:noWrap/>
            <w:vAlign w:val="bottom"/>
            <w:hideMark/>
          </w:tcPr>
          <w:p w14:paraId="61329943"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D2E95B9"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-0.5%</w:t>
            </w:r>
          </w:p>
        </w:tc>
        <w:tc>
          <w:tcPr>
            <w:tcW w:w="1221" w:type="dxa"/>
            <w:tcBorders>
              <w:top w:val="nil"/>
              <w:left w:val="nil"/>
              <w:bottom w:val="nil"/>
              <w:right w:val="nil"/>
            </w:tcBorders>
            <w:shd w:val="clear" w:color="auto" w:fill="auto"/>
            <w:noWrap/>
            <w:vAlign w:val="bottom"/>
            <w:hideMark/>
          </w:tcPr>
          <w:p w14:paraId="2F32DA1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-5.4%</w:t>
            </w:r>
          </w:p>
        </w:tc>
      </w:tr>
      <w:tr w:rsidR="00D53A94" w:rsidRPr="00D53A94" w14:paraId="5122B343"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3841C6A0"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6</w:t>
            </w:r>
          </w:p>
        </w:tc>
        <w:tc>
          <w:tcPr>
            <w:tcW w:w="1019" w:type="dxa"/>
            <w:tcBorders>
              <w:top w:val="nil"/>
              <w:left w:val="nil"/>
              <w:bottom w:val="nil"/>
              <w:right w:val="nil"/>
            </w:tcBorders>
            <w:shd w:val="clear" w:color="auto" w:fill="auto"/>
            <w:noWrap/>
            <w:vAlign w:val="bottom"/>
            <w:hideMark/>
          </w:tcPr>
          <w:p w14:paraId="4E6DB0B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27.3%</w:t>
            </w:r>
          </w:p>
        </w:tc>
        <w:tc>
          <w:tcPr>
            <w:tcW w:w="1221" w:type="dxa"/>
            <w:tcBorders>
              <w:top w:val="nil"/>
              <w:left w:val="nil"/>
              <w:bottom w:val="nil"/>
              <w:right w:val="nil"/>
            </w:tcBorders>
            <w:shd w:val="clear" w:color="auto" w:fill="auto"/>
            <w:noWrap/>
            <w:vAlign w:val="bottom"/>
            <w:hideMark/>
          </w:tcPr>
          <w:p w14:paraId="6121D025"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59.1%</w:t>
            </w:r>
          </w:p>
        </w:tc>
        <w:tc>
          <w:tcPr>
            <w:tcW w:w="400" w:type="dxa"/>
            <w:tcBorders>
              <w:top w:val="nil"/>
              <w:left w:val="nil"/>
              <w:bottom w:val="nil"/>
              <w:right w:val="nil"/>
            </w:tcBorders>
            <w:shd w:val="clear" w:color="auto" w:fill="auto"/>
            <w:noWrap/>
            <w:vAlign w:val="bottom"/>
            <w:hideMark/>
          </w:tcPr>
          <w:p w14:paraId="693B0FF4"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19DFEEC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25.8%</w:t>
            </w:r>
          </w:p>
        </w:tc>
        <w:tc>
          <w:tcPr>
            <w:tcW w:w="1221" w:type="dxa"/>
            <w:tcBorders>
              <w:top w:val="nil"/>
              <w:left w:val="nil"/>
              <w:bottom w:val="nil"/>
              <w:right w:val="nil"/>
            </w:tcBorders>
            <w:shd w:val="clear" w:color="auto" w:fill="auto"/>
            <w:noWrap/>
            <w:vAlign w:val="bottom"/>
            <w:hideMark/>
          </w:tcPr>
          <w:p w14:paraId="3ED88B7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48.7%</w:t>
            </w:r>
          </w:p>
        </w:tc>
        <w:tc>
          <w:tcPr>
            <w:tcW w:w="400" w:type="dxa"/>
            <w:tcBorders>
              <w:top w:val="nil"/>
              <w:left w:val="nil"/>
              <w:bottom w:val="nil"/>
              <w:right w:val="nil"/>
            </w:tcBorders>
            <w:shd w:val="clear" w:color="auto" w:fill="auto"/>
            <w:noWrap/>
            <w:vAlign w:val="bottom"/>
            <w:hideMark/>
          </w:tcPr>
          <w:p w14:paraId="146BCE32"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6D205D8"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-1.5%</w:t>
            </w:r>
          </w:p>
        </w:tc>
        <w:tc>
          <w:tcPr>
            <w:tcW w:w="1221" w:type="dxa"/>
            <w:tcBorders>
              <w:top w:val="nil"/>
              <w:left w:val="nil"/>
              <w:bottom w:val="nil"/>
              <w:right w:val="nil"/>
            </w:tcBorders>
            <w:shd w:val="clear" w:color="auto" w:fill="auto"/>
            <w:noWrap/>
            <w:vAlign w:val="bottom"/>
            <w:hideMark/>
          </w:tcPr>
          <w:p w14:paraId="4236F35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-10.4%</w:t>
            </w:r>
          </w:p>
        </w:tc>
      </w:tr>
      <w:tr w:rsidR="00D53A94" w:rsidRPr="00D53A94" w14:paraId="284809B8" w14:textId="77777777" w:rsidTr="001C7C28">
        <w:trPr>
          <w:trHeight w:val="300"/>
          <w:jc w:val="center"/>
        </w:trPr>
        <w:tc>
          <w:tcPr>
            <w:tcW w:w="400" w:type="dxa"/>
            <w:tcBorders>
              <w:top w:val="nil"/>
              <w:left w:val="nil"/>
              <w:right w:val="nil"/>
            </w:tcBorders>
            <w:shd w:val="clear" w:color="auto" w:fill="auto"/>
            <w:noWrap/>
            <w:vAlign w:val="bottom"/>
            <w:hideMark/>
          </w:tcPr>
          <w:p w14:paraId="3B43FCF0"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right w:val="nil"/>
            </w:tcBorders>
            <w:shd w:val="clear" w:color="auto" w:fill="auto"/>
            <w:noWrap/>
            <w:vAlign w:val="bottom"/>
            <w:hideMark/>
          </w:tcPr>
          <w:p w14:paraId="3A4B56BC" w14:textId="77777777" w:rsidR="00D53A94" w:rsidRPr="00D53A94" w:rsidRDefault="00D53A94" w:rsidP="00D53A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774B3213"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1ACD038F"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460E33C8" w14:textId="77777777" w:rsidR="00D53A94" w:rsidRPr="00D53A94" w:rsidRDefault="00D53A94" w:rsidP="00D53A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29E5474A"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5BECAE3C"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21E51129" w14:textId="77777777" w:rsidR="00D53A94" w:rsidRPr="00D53A94" w:rsidRDefault="00D53A94" w:rsidP="00D53A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6BD011CE"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r>
      <w:tr w:rsidR="00D53A94" w:rsidRPr="00D53A94" w14:paraId="638CEB9E" w14:textId="77777777" w:rsidTr="001C7C28">
        <w:trPr>
          <w:trHeight w:val="300"/>
          <w:jc w:val="center"/>
        </w:trPr>
        <w:tc>
          <w:tcPr>
            <w:tcW w:w="400" w:type="dxa"/>
            <w:tcBorders>
              <w:top w:val="nil"/>
              <w:left w:val="nil"/>
              <w:bottom w:val="single" w:sz="4" w:space="0" w:color="auto"/>
              <w:right w:val="nil"/>
            </w:tcBorders>
            <w:shd w:val="clear" w:color="auto" w:fill="auto"/>
            <w:noWrap/>
            <w:vAlign w:val="bottom"/>
            <w:hideMark/>
          </w:tcPr>
          <w:p w14:paraId="6EA99150" w14:textId="77777777" w:rsidR="00D53A94" w:rsidRPr="00D53A94" w:rsidRDefault="00D53A94" w:rsidP="00D53A94">
            <w:pPr>
              <w:spacing w:after="0" w:line="240" w:lineRule="auto"/>
              <w:rPr>
                <w:rFonts w:eastAsia="Times New Roman" w:cs="Calibri"/>
                <w:i/>
                <w:iCs/>
              </w:rPr>
            </w:pPr>
            <w:r w:rsidRPr="00D53A94">
              <w:rPr>
                <w:rFonts w:eastAsia="Times New Roman" w:cs="Calibri"/>
                <w:i/>
                <w:iCs/>
              </w:rPr>
              <w:t>K</w:t>
            </w:r>
          </w:p>
        </w:tc>
        <w:tc>
          <w:tcPr>
            <w:tcW w:w="1019" w:type="dxa"/>
            <w:tcBorders>
              <w:top w:val="nil"/>
              <w:left w:val="nil"/>
              <w:bottom w:val="single" w:sz="4" w:space="0" w:color="auto"/>
              <w:right w:val="nil"/>
            </w:tcBorders>
            <w:shd w:val="clear" w:color="auto" w:fill="auto"/>
            <w:noWrap/>
            <w:vAlign w:val="bottom"/>
            <w:hideMark/>
          </w:tcPr>
          <w:p w14:paraId="7A38901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0.677</w:t>
            </w:r>
          </w:p>
        </w:tc>
        <w:tc>
          <w:tcPr>
            <w:tcW w:w="1221" w:type="dxa"/>
            <w:tcBorders>
              <w:top w:val="nil"/>
              <w:left w:val="nil"/>
              <w:bottom w:val="single" w:sz="4" w:space="0" w:color="auto"/>
              <w:right w:val="nil"/>
            </w:tcBorders>
            <w:shd w:val="clear" w:color="auto" w:fill="auto"/>
            <w:noWrap/>
            <w:vAlign w:val="bottom"/>
            <w:hideMark/>
          </w:tcPr>
          <w:p w14:paraId="66FD91A8"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0.666</w:t>
            </w:r>
          </w:p>
        </w:tc>
        <w:tc>
          <w:tcPr>
            <w:tcW w:w="400" w:type="dxa"/>
            <w:tcBorders>
              <w:top w:val="nil"/>
              <w:left w:val="nil"/>
              <w:bottom w:val="single" w:sz="4" w:space="0" w:color="auto"/>
              <w:right w:val="nil"/>
            </w:tcBorders>
            <w:shd w:val="clear" w:color="auto" w:fill="auto"/>
            <w:noWrap/>
            <w:vAlign w:val="bottom"/>
            <w:hideMark/>
          </w:tcPr>
          <w:p w14:paraId="28C9D43E"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61E00BD0"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0.673</w:t>
            </w:r>
          </w:p>
        </w:tc>
        <w:tc>
          <w:tcPr>
            <w:tcW w:w="1221" w:type="dxa"/>
            <w:tcBorders>
              <w:top w:val="nil"/>
              <w:left w:val="nil"/>
              <w:bottom w:val="single" w:sz="4" w:space="0" w:color="auto"/>
              <w:right w:val="nil"/>
            </w:tcBorders>
            <w:shd w:val="clear" w:color="auto" w:fill="auto"/>
            <w:noWrap/>
            <w:vAlign w:val="bottom"/>
            <w:hideMark/>
          </w:tcPr>
          <w:p w14:paraId="6B321AB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0.605</w:t>
            </w:r>
          </w:p>
        </w:tc>
        <w:tc>
          <w:tcPr>
            <w:tcW w:w="400" w:type="dxa"/>
            <w:tcBorders>
              <w:top w:val="nil"/>
              <w:left w:val="nil"/>
              <w:bottom w:val="single" w:sz="4" w:space="0" w:color="auto"/>
              <w:right w:val="nil"/>
            </w:tcBorders>
            <w:shd w:val="clear" w:color="auto" w:fill="auto"/>
            <w:noWrap/>
            <w:vAlign w:val="bottom"/>
            <w:hideMark/>
          </w:tcPr>
          <w:p w14:paraId="7C384E8C"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172A502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-0.004</w:t>
            </w:r>
          </w:p>
        </w:tc>
        <w:tc>
          <w:tcPr>
            <w:tcW w:w="1221" w:type="dxa"/>
            <w:tcBorders>
              <w:top w:val="nil"/>
              <w:left w:val="nil"/>
              <w:bottom w:val="single" w:sz="4" w:space="0" w:color="auto"/>
              <w:right w:val="nil"/>
            </w:tcBorders>
            <w:shd w:val="clear" w:color="auto" w:fill="auto"/>
            <w:noWrap/>
            <w:vAlign w:val="bottom"/>
            <w:hideMark/>
          </w:tcPr>
          <w:p w14:paraId="4D52261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-0.060</w:t>
            </w:r>
          </w:p>
        </w:tc>
      </w:tr>
      <w:tr w:rsidR="00850BC4" w:rsidRPr="00D53A94" w14:paraId="77FE0F0A" w14:textId="77777777" w:rsidTr="001C7C28">
        <w:trPr>
          <w:trHeight w:val="300"/>
          <w:jc w:val="center"/>
        </w:trPr>
        <w:tc>
          <w:tcPr>
            <w:tcW w:w="7920" w:type="dxa"/>
            <w:gridSpan w:val="9"/>
            <w:tcBorders>
              <w:top w:val="single" w:sz="4" w:space="0" w:color="auto"/>
              <w:left w:val="nil"/>
              <w:bottom w:val="single" w:sz="4" w:space="0" w:color="auto"/>
              <w:right w:val="nil"/>
            </w:tcBorders>
            <w:shd w:val="clear" w:color="auto" w:fill="auto"/>
            <w:noWrap/>
            <w:vAlign w:val="bottom"/>
          </w:tcPr>
          <w:p w14:paraId="7B7C2EB2" w14:textId="40B116BD" w:rsidR="00850BC4" w:rsidRDefault="00850BC4" w:rsidP="00850BC4">
            <w:pPr>
              <w:spacing w:after="0" w:line="240" w:lineRule="auto"/>
              <w:rPr>
                <w:rFonts w:eastAsia="Times New Roman" w:cs="Calibri"/>
                <w:sz w:val="20"/>
                <w:szCs w:val="20"/>
              </w:rPr>
            </w:pPr>
            <w:r w:rsidRPr="00850BC4">
              <w:rPr>
                <w:rFonts w:eastAsia="Times New Roman" w:cs="Calibri"/>
                <w:sz w:val="20"/>
                <w:szCs w:val="20"/>
              </w:rPr>
              <w:t>See</w:t>
            </w:r>
            <w:r>
              <w:rPr>
                <w:rFonts w:eastAsia="Times New Roman" w:cs="Calibri"/>
                <w:sz w:val="20"/>
                <w:szCs w:val="20"/>
              </w:rPr>
              <w:t xml:space="preserve"> notes for Table </w:t>
            </w:r>
            <w:r w:rsidR="008864F1">
              <w:rPr>
                <w:rFonts w:eastAsia="Times New Roman" w:cs="Calibri"/>
                <w:sz w:val="20"/>
                <w:szCs w:val="20"/>
              </w:rPr>
              <w:t>3</w:t>
            </w:r>
            <w:r>
              <w:rPr>
                <w:rFonts w:eastAsia="Times New Roman" w:cs="Calibri"/>
                <w:sz w:val="20"/>
                <w:szCs w:val="20"/>
              </w:rPr>
              <w:t>.</w:t>
            </w:r>
          </w:p>
          <w:p w14:paraId="08C49112" w14:textId="1A0E3979" w:rsidR="00850BC4" w:rsidRPr="00D53A94" w:rsidRDefault="00850BC4" w:rsidP="00850BC4">
            <w:pPr>
              <w:spacing w:after="0" w:line="240" w:lineRule="auto"/>
              <w:rPr>
                <w:rFonts w:eastAsia="Times New Roman" w:cs="Calibri"/>
              </w:rPr>
            </w:pPr>
            <w:r>
              <w:rPr>
                <w:rFonts w:eastAsia="Times New Roman" w:cs="Calibri"/>
                <w:sz w:val="20"/>
                <w:szCs w:val="20"/>
              </w:rPr>
              <w:t>Predicted ratings are considered “correct” if they are within one point of actual ratings.</w:t>
            </w:r>
          </w:p>
        </w:tc>
      </w:tr>
    </w:tbl>
    <w:p w14:paraId="2282F8B8" w14:textId="77777777" w:rsidR="00D53A94" w:rsidRPr="00D53A94" w:rsidRDefault="00D53A94" w:rsidP="001F5F80"/>
    <w:p w14:paraId="286DCA0F" w14:textId="022D956F" w:rsidR="004767D1" w:rsidRPr="00AA7B95" w:rsidRDefault="00AA7B95" w:rsidP="001F5F80">
      <w:r>
        <w:t>For both models, recall rates exceed</w:t>
      </w:r>
      <w:r w:rsidR="00B071CC">
        <w:t>ed</w:t>
      </w:r>
      <w:r>
        <w:t xml:space="preserve"> 90% for ratings of 3 or below, and overall </w:t>
      </w:r>
      <w:r>
        <w:rPr>
          <w:i/>
          <w:iCs/>
        </w:rPr>
        <w:t>kappa</w:t>
      </w:r>
      <w:r>
        <w:t xml:space="preserve"> values </w:t>
      </w:r>
      <w:r w:rsidR="00B071CC">
        <w:t>we</w:t>
      </w:r>
      <w:r>
        <w:t>re substantially higher, indicating that the models perform</w:t>
      </w:r>
      <w:r w:rsidR="00B071CC">
        <w:t>ed</w:t>
      </w:r>
      <w:r>
        <w:t xml:space="preserve"> far better than would be expected if predicted scores were randomly assigned.</w:t>
      </w:r>
      <w:r w:rsidR="002726F0">
        <w:t xml:space="preserve">  While recall rates </w:t>
      </w:r>
      <w:r w:rsidR="00B071CC">
        <w:t>we</w:t>
      </w:r>
      <w:r w:rsidR="002726F0">
        <w:t>re still lower for higher-rated students and the MLOG model still appear</w:t>
      </w:r>
      <w:r w:rsidR="00B071CC">
        <w:t>ed</w:t>
      </w:r>
      <w:r w:rsidR="002726F0">
        <w:t xml:space="preserve"> to be overfit, the results suggest that ratings can be closely approximated for most students.</w:t>
      </w:r>
    </w:p>
    <w:p w14:paraId="11EBD17C" w14:textId="10B3A5F5" w:rsidR="001D3D7B" w:rsidRDefault="001D3D7B" w:rsidP="001D3D7B">
      <w:pPr>
        <w:pStyle w:val="Heading1"/>
      </w:pPr>
      <w:r>
        <w:t>Key Issues</w:t>
      </w:r>
    </w:p>
    <w:p w14:paraId="7C43484F" w14:textId="7E21A7D0" w:rsidR="001D3D7B" w:rsidRDefault="00F01930" w:rsidP="001F5F80">
      <w:r>
        <w:t xml:space="preserve">Analyses conducted for this study </w:t>
      </w:r>
      <w:r w:rsidR="001D3D7B">
        <w:t>reveal</w:t>
      </w:r>
      <w:r w:rsidR="00592245">
        <w:t>ed</w:t>
      </w:r>
      <w:r w:rsidR="001D3D7B">
        <w:t xml:space="preserve"> </w:t>
      </w:r>
      <w:r w:rsidR="00787303">
        <w:t>a number of statistical and substantive</w:t>
      </w:r>
      <w:r w:rsidR="001D3D7B">
        <w:t xml:space="preserve"> issues that should be addressed before using statistical prediction models to inform high-stakes decision making.</w:t>
      </w:r>
    </w:p>
    <w:p w14:paraId="24A8FC7F" w14:textId="13C41512" w:rsidR="00F01930" w:rsidRDefault="00F01930" w:rsidP="00DE44CB">
      <w:pPr>
        <w:pStyle w:val="Heading2"/>
      </w:pPr>
      <w:r>
        <w:t>Cohort effects</w:t>
      </w:r>
    </w:p>
    <w:p w14:paraId="6469018B" w14:textId="19679928" w:rsidR="009A4949" w:rsidRDefault="007F405B" w:rsidP="009A4949">
      <w:r>
        <w:t>Ensemble ratings were generally higher for the Fall 2016 and Fall 2017 cohorts, even after restricting scores for these cohorts to a maximum of 6, as described in the Data section.  These “cohort effects” persisted even after controlling for the predictor variables.  In other words, it appears that, on average, students in cohorts prior to 2018 received higher ensemble ratings than 2018 students with the same principal instrument, audition ratings, and scholarship ratings.</w:t>
      </w:r>
    </w:p>
    <w:tbl>
      <w:tblPr>
        <w:tblW w:w="3760" w:type="dxa"/>
        <w:jc w:val="center"/>
        <w:tblLook w:val="04A0" w:firstRow="1" w:lastRow="0" w:firstColumn="1" w:lastColumn="0" w:noHBand="0" w:noVBand="1"/>
      </w:tblPr>
      <w:tblGrid>
        <w:gridCol w:w="1120"/>
        <w:gridCol w:w="1120"/>
        <w:gridCol w:w="400"/>
        <w:gridCol w:w="1120"/>
      </w:tblGrid>
      <w:tr w:rsidR="009A4949" w:rsidRPr="009A4949" w14:paraId="4C0FD2EC" w14:textId="77777777" w:rsidTr="007F405B">
        <w:trPr>
          <w:trHeight w:val="285"/>
          <w:jc w:val="center"/>
        </w:trPr>
        <w:tc>
          <w:tcPr>
            <w:tcW w:w="3760" w:type="dxa"/>
            <w:gridSpan w:val="4"/>
            <w:tcBorders>
              <w:top w:val="nil"/>
              <w:left w:val="nil"/>
              <w:bottom w:val="single" w:sz="4" w:space="0" w:color="auto"/>
              <w:right w:val="nil"/>
            </w:tcBorders>
            <w:shd w:val="clear" w:color="auto" w:fill="auto"/>
            <w:noWrap/>
            <w:vAlign w:val="bottom"/>
          </w:tcPr>
          <w:p w14:paraId="2BEA06B3" w14:textId="08CF7CA2" w:rsidR="009A4949" w:rsidRPr="009A4949" w:rsidRDefault="009A4949" w:rsidP="009A4949">
            <w:pPr>
              <w:spacing w:after="0" w:line="240" w:lineRule="auto"/>
              <w:rPr>
                <w:rFonts w:eastAsia="Times New Roman" w:cs="Calibri"/>
              </w:rPr>
            </w:pPr>
            <w:r>
              <w:rPr>
                <w:rFonts w:eastAsia="Times New Roman" w:cs="Calibri"/>
              </w:rPr>
              <w:t xml:space="preserve">Table </w:t>
            </w:r>
            <w:r w:rsidR="005A5A2C">
              <w:rPr>
                <w:rFonts w:eastAsia="Times New Roman" w:cs="Calibri"/>
              </w:rPr>
              <w:t>5</w:t>
            </w:r>
            <w:r>
              <w:rPr>
                <w:rFonts w:eastAsia="Times New Roman" w:cs="Calibri"/>
              </w:rPr>
              <w:t>.  Estimated cohort effects on ensemble ratings, relative to Fall 2018 cohort.</w:t>
            </w:r>
          </w:p>
        </w:tc>
      </w:tr>
      <w:tr w:rsidR="009A4949" w:rsidRPr="009A4949" w14:paraId="5776FDC9" w14:textId="77777777" w:rsidTr="007F405B">
        <w:trPr>
          <w:trHeight w:val="285"/>
          <w:jc w:val="center"/>
        </w:trPr>
        <w:tc>
          <w:tcPr>
            <w:tcW w:w="1120" w:type="dxa"/>
            <w:tcBorders>
              <w:top w:val="single" w:sz="4" w:space="0" w:color="auto"/>
              <w:left w:val="nil"/>
              <w:bottom w:val="nil"/>
              <w:right w:val="nil"/>
            </w:tcBorders>
            <w:shd w:val="clear" w:color="auto" w:fill="auto"/>
            <w:noWrap/>
            <w:vAlign w:val="bottom"/>
            <w:hideMark/>
          </w:tcPr>
          <w:p w14:paraId="3C7B38BD" w14:textId="77777777" w:rsidR="009A4949" w:rsidRPr="009A4949" w:rsidRDefault="009A4949" w:rsidP="009A4949">
            <w:pPr>
              <w:spacing w:after="0" w:line="240" w:lineRule="auto"/>
              <w:rPr>
                <w:rFonts w:ascii="Times New Roman" w:eastAsia="Times New Roman" w:hAnsi="Times New Roman" w:cs="Times New Roman"/>
                <w:sz w:val="24"/>
                <w:szCs w:val="24"/>
              </w:rPr>
            </w:pPr>
          </w:p>
        </w:tc>
        <w:tc>
          <w:tcPr>
            <w:tcW w:w="1120" w:type="dxa"/>
            <w:tcBorders>
              <w:top w:val="single" w:sz="4" w:space="0" w:color="auto"/>
              <w:left w:val="nil"/>
              <w:bottom w:val="nil"/>
              <w:right w:val="nil"/>
            </w:tcBorders>
            <w:shd w:val="clear" w:color="auto" w:fill="auto"/>
            <w:noWrap/>
            <w:vAlign w:val="bottom"/>
            <w:hideMark/>
          </w:tcPr>
          <w:p w14:paraId="5E3C712B"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T-tests</w:t>
            </w:r>
          </w:p>
        </w:tc>
        <w:tc>
          <w:tcPr>
            <w:tcW w:w="400" w:type="dxa"/>
            <w:tcBorders>
              <w:top w:val="single" w:sz="4" w:space="0" w:color="auto"/>
              <w:left w:val="nil"/>
              <w:bottom w:val="nil"/>
              <w:right w:val="nil"/>
            </w:tcBorders>
            <w:shd w:val="clear" w:color="auto" w:fill="auto"/>
            <w:noWrap/>
            <w:vAlign w:val="bottom"/>
            <w:hideMark/>
          </w:tcPr>
          <w:p w14:paraId="4FCE558A" w14:textId="77777777" w:rsidR="009A4949" w:rsidRPr="009A4949" w:rsidRDefault="009A4949" w:rsidP="009A4949">
            <w:pPr>
              <w:spacing w:after="0" w:line="240" w:lineRule="auto"/>
              <w:jc w:val="center"/>
              <w:rPr>
                <w:rFonts w:eastAsia="Times New Roman" w:cs="Calibri"/>
              </w:rPr>
            </w:pPr>
          </w:p>
        </w:tc>
        <w:tc>
          <w:tcPr>
            <w:tcW w:w="1120" w:type="dxa"/>
            <w:tcBorders>
              <w:top w:val="single" w:sz="4" w:space="0" w:color="auto"/>
              <w:left w:val="nil"/>
              <w:bottom w:val="nil"/>
              <w:right w:val="nil"/>
            </w:tcBorders>
            <w:shd w:val="clear" w:color="auto" w:fill="auto"/>
            <w:noWrap/>
            <w:vAlign w:val="bottom"/>
            <w:hideMark/>
          </w:tcPr>
          <w:p w14:paraId="39B45D95"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Model</w:t>
            </w:r>
          </w:p>
        </w:tc>
      </w:tr>
      <w:tr w:rsidR="009A4949" w:rsidRPr="009A4949" w14:paraId="44C68116" w14:textId="77777777" w:rsidTr="007F405B">
        <w:trPr>
          <w:trHeight w:val="285"/>
          <w:jc w:val="center"/>
        </w:trPr>
        <w:tc>
          <w:tcPr>
            <w:tcW w:w="1120" w:type="dxa"/>
            <w:tcBorders>
              <w:top w:val="nil"/>
              <w:left w:val="nil"/>
              <w:right w:val="nil"/>
            </w:tcBorders>
            <w:shd w:val="clear" w:color="auto" w:fill="auto"/>
            <w:noWrap/>
            <w:vAlign w:val="bottom"/>
            <w:hideMark/>
          </w:tcPr>
          <w:p w14:paraId="0AF2EE00"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Fall 2016</w:t>
            </w:r>
          </w:p>
        </w:tc>
        <w:tc>
          <w:tcPr>
            <w:tcW w:w="1120" w:type="dxa"/>
            <w:tcBorders>
              <w:top w:val="nil"/>
              <w:left w:val="nil"/>
              <w:right w:val="nil"/>
            </w:tcBorders>
            <w:shd w:val="clear" w:color="auto" w:fill="auto"/>
            <w:noWrap/>
            <w:vAlign w:val="bottom"/>
            <w:hideMark/>
          </w:tcPr>
          <w:p w14:paraId="24A131A5"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0.250*</w:t>
            </w:r>
          </w:p>
        </w:tc>
        <w:tc>
          <w:tcPr>
            <w:tcW w:w="400" w:type="dxa"/>
            <w:tcBorders>
              <w:top w:val="nil"/>
              <w:left w:val="nil"/>
              <w:right w:val="nil"/>
            </w:tcBorders>
            <w:shd w:val="clear" w:color="auto" w:fill="auto"/>
            <w:noWrap/>
            <w:vAlign w:val="bottom"/>
            <w:hideMark/>
          </w:tcPr>
          <w:p w14:paraId="56FA50E5" w14:textId="77777777" w:rsidR="009A4949" w:rsidRPr="009A4949" w:rsidRDefault="009A4949" w:rsidP="009A4949">
            <w:pPr>
              <w:spacing w:after="0" w:line="240" w:lineRule="auto"/>
              <w:jc w:val="center"/>
              <w:rPr>
                <w:rFonts w:eastAsia="Times New Roman" w:cs="Calibri"/>
              </w:rPr>
            </w:pPr>
          </w:p>
        </w:tc>
        <w:tc>
          <w:tcPr>
            <w:tcW w:w="1120" w:type="dxa"/>
            <w:tcBorders>
              <w:top w:val="nil"/>
              <w:left w:val="nil"/>
              <w:right w:val="nil"/>
            </w:tcBorders>
            <w:shd w:val="clear" w:color="auto" w:fill="auto"/>
            <w:noWrap/>
            <w:vAlign w:val="bottom"/>
            <w:hideMark/>
          </w:tcPr>
          <w:p w14:paraId="5BFE45BE"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0.146*</w:t>
            </w:r>
          </w:p>
        </w:tc>
      </w:tr>
      <w:tr w:rsidR="009A4949" w:rsidRPr="009A4949" w14:paraId="035CA21E" w14:textId="77777777" w:rsidTr="007F405B">
        <w:trPr>
          <w:trHeight w:val="285"/>
          <w:jc w:val="center"/>
        </w:trPr>
        <w:tc>
          <w:tcPr>
            <w:tcW w:w="1120" w:type="dxa"/>
            <w:tcBorders>
              <w:top w:val="nil"/>
              <w:left w:val="nil"/>
              <w:bottom w:val="single" w:sz="4" w:space="0" w:color="auto"/>
              <w:right w:val="nil"/>
            </w:tcBorders>
            <w:shd w:val="clear" w:color="auto" w:fill="auto"/>
            <w:noWrap/>
            <w:vAlign w:val="bottom"/>
            <w:hideMark/>
          </w:tcPr>
          <w:p w14:paraId="0E52F486"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Fall 2017</w:t>
            </w:r>
          </w:p>
        </w:tc>
        <w:tc>
          <w:tcPr>
            <w:tcW w:w="1120" w:type="dxa"/>
            <w:tcBorders>
              <w:top w:val="nil"/>
              <w:left w:val="nil"/>
              <w:bottom w:val="single" w:sz="4" w:space="0" w:color="auto"/>
              <w:right w:val="nil"/>
            </w:tcBorders>
            <w:shd w:val="clear" w:color="auto" w:fill="auto"/>
            <w:noWrap/>
            <w:vAlign w:val="bottom"/>
            <w:hideMark/>
          </w:tcPr>
          <w:p w14:paraId="1F7B6FC1"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0.159*</w:t>
            </w:r>
          </w:p>
        </w:tc>
        <w:tc>
          <w:tcPr>
            <w:tcW w:w="400" w:type="dxa"/>
            <w:tcBorders>
              <w:top w:val="nil"/>
              <w:left w:val="nil"/>
              <w:bottom w:val="single" w:sz="4" w:space="0" w:color="auto"/>
              <w:right w:val="nil"/>
            </w:tcBorders>
            <w:shd w:val="clear" w:color="auto" w:fill="auto"/>
            <w:noWrap/>
            <w:vAlign w:val="bottom"/>
            <w:hideMark/>
          </w:tcPr>
          <w:p w14:paraId="5D7B05FE" w14:textId="77777777" w:rsidR="009A4949" w:rsidRPr="009A4949" w:rsidRDefault="009A4949" w:rsidP="009A4949">
            <w:pPr>
              <w:spacing w:after="0" w:line="240" w:lineRule="auto"/>
              <w:jc w:val="center"/>
              <w:rPr>
                <w:rFonts w:eastAsia="Times New Roman" w:cs="Calibri"/>
              </w:rPr>
            </w:pPr>
          </w:p>
        </w:tc>
        <w:tc>
          <w:tcPr>
            <w:tcW w:w="1120" w:type="dxa"/>
            <w:tcBorders>
              <w:top w:val="nil"/>
              <w:left w:val="nil"/>
              <w:bottom w:val="single" w:sz="4" w:space="0" w:color="auto"/>
              <w:right w:val="nil"/>
            </w:tcBorders>
            <w:shd w:val="clear" w:color="auto" w:fill="auto"/>
            <w:noWrap/>
            <w:vAlign w:val="bottom"/>
            <w:hideMark/>
          </w:tcPr>
          <w:p w14:paraId="53A1DB08"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0.216*</w:t>
            </w:r>
          </w:p>
        </w:tc>
      </w:tr>
      <w:tr w:rsidR="009A4949" w:rsidRPr="009A4949" w14:paraId="30088632" w14:textId="77777777" w:rsidTr="007F405B">
        <w:trPr>
          <w:trHeight w:val="285"/>
          <w:jc w:val="center"/>
        </w:trPr>
        <w:tc>
          <w:tcPr>
            <w:tcW w:w="3760" w:type="dxa"/>
            <w:gridSpan w:val="4"/>
            <w:tcBorders>
              <w:top w:val="single" w:sz="4" w:space="0" w:color="auto"/>
              <w:left w:val="nil"/>
              <w:bottom w:val="single" w:sz="4" w:space="0" w:color="auto"/>
              <w:right w:val="nil"/>
            </w:tcBorders>
            <w:shd w:val="clear" w:color="auto" w:fill="auto"/>
            <w:noWrap/>
            <w:vAlign w:val="bottom"/>
          </w:tcPr>
          <w:p w14:paraId="00BDA438" w14:textId="77777777" w:rsidR="009A4949" w:rsidRDefault="009A4949" w:rsidP="009A4949">
            <w:pPr>
              <w:spacing w:after="0" w:line="240" w:lineRule="auto"/>
              <w:rPr>
                <w:rFonts w:eastAsia="Times New Roman" w:cs="Calibri"/>
                <w:sz w:val="20"/>
                <w:szCs w:val="20"/>
              </w:rPr>
            </w:pPr>
            <w:r>
              <w:rPr>
                <w:rFonts w:eastAsia="Times New Roman" w:cs="Calibri"/>
                <w:sz w:val="20"/>
                <w:szCs w:val="20"/>
              </w:rPr>
              <w:t>* - Statistically significant at the 0.05 level.</w:t>
            </w:r>
          </w:p>
          <w:p w14:paraId="5F4D3574" w14:textId="458BE85A" w:rsidR="009A4949" w:rsidRPr="009A4949" w:rsidRDefault="009A4949" w:rsidP="009A4949">
            <w:pPr>
              <w:spacing w:after="0" w:line="240" w:lineRule="auto"/>
              <w:rPr>
                <w:rFonts w:eastAsia="Times New Roman" w:cs="Calibri"/>
                <w:sz w:val="20"/>
                <w:szCs w:val="20"/>
              </w:rPr>
            </w:pPr>
            <w:r>
              <w:rPr>
                <w:rFonts w:eastAsia="Times New Roman" w:cs="Calibri"/>
                <w:sz w:val="20"/>
                <w:szCs w:val="20"/>
              </w:rPr>
              <w:t>“Model” column displays effects after controlling for main effects of predictor variables.</w:t>
            </w:r>
          </w:p>
        </w:tc>
      </w:tr>
    </w:tbl>
    <w:p w14:paraId="22693E10" w14:textId="366B5F82" w:rsidR="00F01930" w:rsidRDefault="00F01930" w:rsidP="00F01930"/>
    <w:p w14:paraId="503BDF1C" w14:textId="7D05CAA4" w:rsidR="007F405B" w:rsidRDefault="007F405B" w:rsidP="00F01930">
      <w:r>
        <w:t>The presence of cohort effects is potentially problematic for prediction.  Although such effects can be estimated for existing data, they cannot be estimated for future cohorts.</w:t>
      </w:r>
    </w:p>
    <w:p w14:paraId="256E08D1" w14:textId="420EE86B" w:rsidR="007F405B" w:rsidRDefault="00A12769" w:rsidP="00F01930">
      <w:r>
        <w:lastRenderedPageBreak/>
        <w:t xml:space="preserve">The ideal solution would be to eliminate cohort effects to the extent possible, perhaps via </w:t>
      </w:r>
      <w:proofErr w:type="spellStart"/>
      <w:r>
        <w:t>auditioner</w:t>
      </w:r>
      <w:proofErr w:type="spellEnd"/>
      <w:r>
        <w:t xml:space="preserve"> training or development/improvement of a rating rubric.  Statistically, it is possible to predict future values using cohort effects set to zero, set to an average effect, or using other options.  Each of these options is likely to introduce some degree of bias, but this may not strongly impact prediction quality if </w:t>
      </w:r>
      <w:r w:rsidR="00F10627">
        <w:t>the bias</w:t>
      </w:r>
      <w:r>
        <w:t xml:space="preserve"> is small.</w:t>
      </w:r>
    </w:p>
    <w:p w14:paraId="3D698CC3" w14:textId="562F02F4" w:rsidR="00A12769" w:rsidRDefault="00DC6D1C" w:rsidP="00DE44CB">
      <w:pPr>
        <w:pStyle w:val="Heading2"/>
      </w:pPr>
      <w:r>
        <w:t>Measurement</w:t>
      </w:r>
      <w:r w:rsidR="00DE2BA3">
        <w:t xml:space="preserve"> issues</w:t>
      </w:r>
    </w:p>
    <w:p w14:paraId="5634FC02" w14:textId="6AA44BD0" w:rsidR="00DE2BA3" w:rsidRDefault="007C57F0" w:rsidP="00DE2BA3">
      <w:r>
        <w:t>The analysis dataset includes four ensemble “sub-scores” for each student, from which their overall score was computed.  Although not used in the prediction models, these ratings can be used to examine issues related to measurement</w:t>
      </w:r>
      <w:r w:rsidR="00C07D73">
        <w:t>, including reliability and validity.</w:t>
      </w:r>
    </w:p>
    <w:p w14:paraId="49943018" w14:textId="2F1A6A47" w:rsidR="007C57F0" w:rsidRDefault="007C57F0" w:rsidP="00DE2BA3">
      <w:r>
        <w:t>Based on a preliminary principal component analysis (results available on request), it appears that ensemble ratings may be measuring a different construct from the ratings used in the prediction models.  This suggest</w:t>
      </w:r>
      <w:r w:rsidR="003C0197">
        <w:t>s</w:t>
      </w:r>
      <w:r>
        <w:t xml:space="preserve"> that the construct validity of </w:t>
      </w:r>
      <w:r w:rsidR="00C42BF3">
        <w:t xml:space="preserve">the </w:t>
      </w:r>
      <w:r>
        <w:t>prediction models may be limited.</w:t>
      </w:r>
    </w:p>
    <w:p w14:paraId="5B4F2713" w14:textId="3121F473" w:rsidR="007C57F0" w:rsidRDefault="007C57F0" w:rsidP="00DE2BA3">
      <w:r>
        <w:t xml:space="preserve">A wide </w:t>
      </w:r>
      <w:r w:rsidR="001F2840">
        <w:t>range</w:t>
      </w:r>
      <w:r>
        <w:t xml:space="preserve"> of factors may explain this finding.  For example, the distribution of student abilities may change between the initial audition and ensemble audition, with some students improving more than others.  As another example, </w:t>
      </w:r>
      <w:proofErr w:type="spellStart"/>
      <w:r w:rsidR="0062355C">
        <w:t>auditioners</w:t>
      </w:r>
      <w:proofErr w:type="spellEnd"/>
      <w:r w:rsidR="0062355C">
        <w:t xml:space="preserve"> may assign ratings using different criteria during the initial audition compared to the ensemble audition, especially if they are looking for different types of skills.</w:t>
      </w:r>
    </w:p>
    <w:p w14:paraId="4724AC50" w14:textId="774AF9E6" w:rsidR="00144453" w:rsidRDefault="00144453" w:rsidP="00DE2BA3">
      <w:r>
        <w:t>Where reliability is concerned, while the four ensemble sub-scores appear to have high reliability (r &gt; 0.9), the results suggest that ensemble Reading scores may be measuring a different construct from the other three.  Based on the provided data, excluding the Reading score from overall ensemble ratings would actually increase the reliability of the average of the remaining three (although only slightly).</w:t>
      </w:r>
    </w:p>
    <w:p w14:paraId="597C8CA7" w14:textId="3E390088" w:rsidR="0062355C" w:rsidRDefault="0062355C" w:rsidP="00DE2BA3">
      <w:r>
        <w:t xml:space="preserve">The extent to which such validity issues might bias predictions is not immediately clear.  In the ideal case, sufficient additional </w:t>
      </w:r>
      <w:r w:rsidR="005F37A2">
        <w:t>predictors</w:t>
      </w:r>
      <w:r>
        <w:t xml:space="preserve"> would be added to the models, or </w:t>
      </w:r>
      <w:proofErr w:type="spellStart"/>
      <w:r>
        <w:t>auditioner</w:t>
      </w:r>
      <w:proofErr w:type="spellEnd"/>
      <w:r>
        <w:t>/auditionee behaviors would change, so that the bias would be minimal.  In the worst case, ignoring the possible “mismatch” between predictor and outcome constructs may systematically disadvantage some students in favor of others for reasons unrelated to their actual skill.</w:t>
      </w:r>
    </w:p>
    <w:p w14:paraId="25B9DA44" w14:textId="6E688A36" w:rsidR="005276B7" w:rsidRDefault="00DD3491" w:rsidP="00DE44CB">
      <w:pPr>
        <w:pStyle w:val="Heading2"/>
      </w:pPr>
      <w:r>
        <w:t>Prediction error</w:t>
      </w:r>
    </w:p>
    <w:p w14:paraId="3B8B3DF1" w14:textId="48F485BB" w:rsidR="00DD3491" w:rsidRDefault="001807A8" w:rsidP="00DD3491">
      <w:r>
        <w:t xml:space="preserve">As with most classification-based prediction models, the results presented above assign students a predicted score based on their “most likely” category.  </w:t>
      </w:r>
      <w:r w:rsidR="00407640">
        <w:t xml:space="preserve">These </w:t>
      </w:r>
      <w:r>
        <w:t>results do not provide information regarding the estimated likelihood of an individual student belonging to a different category; however, if predictions are to be used in high-stakes decisions, it is strongly recommended to take this information into account.</w:t>
      </w:r>
    </w:p>
    <w:p w14:paraId="6B23CF38" w14:textId="5862F2B6" w:rsidR="00DC6D1C" w:rsidRDefault="0038422B" w:rsidP="00DD3491">
      <w:r>
        <w:t xml:space="preserve">Measures of prediction uncertainty can be derived for most prediction models (including all of the models presented above), but in some cases, additional analyses may be required to accurately produce these measures.  For example, initial analyses indicate that prediction uncertainty may be higher for some instruments than others, which is not accounted for </w:t>
      </w:r>
      <w:r w:rsidR="00E51209">
        <w:t>in the model types above</w:t>
      </w:r>
      <w:r>
        <w:t>.</w:t>
      </w:r>
      <w:r w:rsidR="00E51209">
        <w:t xml:space="preserve">  Extended techniques, such as multi-level random-effects or heteroskedastic ordered </w:t>
      </w:r>
      <w:proofErr w:type="spellStart"/>
      <w:r w:rsidR="00E51209">
        <w:t>probit</w:t>
      </w:r>
      <w:proofErr w:type="spellEnd"/>
      <w:r w:rsidR="00E51209">
        <w:t xml:space="preserve"> modeling, may be required to accurately estimate prediction uncertainty.</w:t>
      </w:r>
    </w:p>
    <w:p w14:paraId="14709C92" w14:textId="6ED4883D" w:rsidR="0038422B" w:rsidRDefault="0038422B" w:rsidP="00DE44CB">
      <w:pPr>
        <w:pStyle w:val="Heading2"/>
      </w:pPr>
      <w:r>
        <w:lastRenderedPageBreak/>
        <w:t>Changes in participant behavior</w:t>
      </w:r>
    </w:p>
    <w:p w14:paraId="6A7B7163" w14:textId="0AFDB83F" w:rsidR="0038422B" w:rsidRDefault="005029B5" w:rsidP="0038422B">
      <w:r>
        <w:t xml:space="preserve">Major policy changes often impact the behavior of participants, including </w:t>
      </w:r>
      <w:proofErr w:type="spellStart"/>
      <w:r>
        <w:t>auditioners</w:t>
      </w:r>
      <w:proofErr w:type="spellEnd"/>
      <w:r>
        <w:t xml:space="preserve"> and auditionees.  The latter may prepare differently for auditions if they know that the audition’s goals have changed, and the former may similarly adjust how the</w:t>
      </w:r>
      <w:r w:rsidR="00EB311F">
        <w:t>y</w:t>
      </w:r>
      <w:r>
        <w:t xml:space="preserve"> assign audition ratings</w:t>
      </w:r>
      <w:r w:rsidR="008D34B3">
        <w:t xml:space="preserve"> if auditions are to be used for new purposes</w:t>
      </w:r>
      <w:r>
        <w:t>.  Such changes may alter the relationships between predictor variables and “correct” ensemble ratings in ways that cannot be anticipated using purely quantitative methods.</w:t>
      </w:r>
    </w:p>
    <w:p w14:paraId="1E241969" w14:textId="10268B9C" w:rsidR="005029B5" w:rsidRPr="0038422B" w:rsidRDefault="005029B5" w:rsidP="0038422B">
      <w:r>
        <w:t xml:space="preserve">As a result, models based on data acquired before the policy change may predict poorly for students after the policy change.  </w:t>
      </w:r>
      <w:r w:rsidR="000305D0">
        <w:t xml:space="preserve">Analysts should be prepared to investigate these effects closely (at a minimum, by comparing pre-change and post-change results) and to regularly </w:t>
      </w:r>
      <w:r w:rsidR="008930F2">
        <w:t>review</w:t>
      </w:r>
      <w:r w:rsidR="000305D0">
        <w:t xml:space="preserve"> modeling and variable selection algorithms.  Additionally, this underlines the importance of refraining from using predicted scores as the primary basis for high-stakes decisions until they can be shown to be robust.</w:t>
      </w:r>
    </w:p>
    <w:p w14:paraId="2527C315" w14:textId="7F08D079" w:rsidR="001807A8" w:rsidRDefault="003124B4" w:rsidP="00DE44CB">
      <w:pPr>
        <w:pStyle w:val="Heading2"/>
      </w:pPr>
      <w:r>
        <w:t>Additional data</w:t>
      </w:r>
    </w:p>
    <w:p w14:paraId="1032B04A" w14:textId="71B1C07D" w:rsidR="003124B4" w:rsidRDefault="003124B4" w:rsidP="00DD3491">
      <w:r>
        <w:t xml:space="preserve">Additional data </w:t>
      </w:r>
      <w:r w:rsidR="007D79A8">
        <w:t xml:space="preserve">will </w:t>
      </w:r>
      <w:r>
        <w:t>almost certainly increase the overall quality of predictions.  Data in the following categories may be especially useful:</w:t>
      </w:r>
    </w:p>
    <w:p w14:paraId="52795B59" w14:textId="61464FD6" w:rsidR="003124B4" w:rsidRDefault="003124B4" w:rsidP="004B3292">
      <w:pPr>
        <w:pStyle w:val="NoSpacing"/>
        <w:spacing w:after="120"/>
        <w:ind w:firstLine="0"/>
      </w:pPr>
      <w:r w:rsidRPr="003124B4">
        <w:rPr>
          <w:i/>
          <w:iCs/>
        </w:rPr>
        <w:t>Rater identities</w:t>
      </w:r>
      <w:r>
        <w:t xml:space="preserve">.  Some </w:t>
      </w:r>
      <w:proofErr w:type="spellStart"/>
      <w:r>
        <w:t>auditioners</w:t>
      </w:r>
      <w:proofErr w:type="spellEnd"/>
      <w:r>
        <w:t xml:space="preserve"> are likely to be more lenient or harsh than others in assigning ratings.  Including </w:t>
      </w:r>
      <w:proofErr w:type="spellStart"/>
      <w:r w:rsidR="004B3292">
        <w:t>auditioner</w:t>
      </w:r>
      <w:proofErr w:type="spellEnd"/>
      <w:r w:rsidR="004B3292">
        <w:t xml:space="preserve"> identity information in the dataset would enable models to adjust for these effects.</w:t>
      </w:r>
    </w:p>
    <w:p w14:paraId="6171BB21" w14:textId="4B3267B8" w:rsidR="004B3292" w:rsidRDefault="004B3292" w:rsidP="003124B4">
      <w:pPr>
        <w:pStyle w:val="NoSpacing"/>
        <w:ind w:firstLine="0"/>
      </w:pPr>
      <w:r>
        <w:rPr>
          <w:i/>
          <w:iCs/>
        </w:rPr>
        <w:t>Student background information</w:t>
      </w:r>
      <w:r>
        <w:t xml:space="preserve">.  </w:t>
      </w:r>
      <w:r w:rsidR="00DC658B">
        <w:t>Student background data may be relevant to ensemble ratings but not captured fully by audition and scholarship ratings.  Examples might include the length of time the student has studied the instrument, measures of the student’s proficiency in music theory (e.g., grades or AP Music Theory scores), and the number and types of previous ensembles in which the student has participated.</w:t>
      </w:r>
    </w:p>
    <w:p w14:paraId="57B5602B" w14:textId="77777777" w:rsidR="00737B1B" w:rsidRDefault="00737B1B">
      <w:pPr>
        <w:rPr>
          <w:rFonts w:eastAsiaTheme="majorEastAsia" w:cstheme="majorBidi"/>
          <w:color w:val="2F5496" w:themeColor="accent1" w:themeShade="BF"/>
          <w:sz w:val="32"/>
          <w:szCs w:val="32"/>
        </w:rPr>
      </w:pPr>
      <w:r>
        <w:br w:type="page"/>
      </w:r>
    </w:p>
    <w:p w14:paraId="607346B9" w14:textId="20A43C98" w:rsidR="00FB5E53" w:rsidRDefault="006947F7" w:rsidP="006947F7">
      <w:pPr>
        <w:pStyle w:val="Heading1"/>
      </w:pPr>
      <w:r>
        <w:lastRenderedPageBreak/>
        <w:t>Appendix</w:t>
      </w:r>
    </w:p>
    <w:p w14:paraId="25D21822" w14:textId="7C1EFDC4" w:rsidR="006947F7" w:rsidRDefault="00404B71" w:rsidP="00404B71">
      <w:pPr>
        <w:pStyle w:val="Heading2"/>
      </w:pPr>
      <w:r>
        <w:t>Technical Notes</w:t>
      </w:r>
    </w:p>
    <w:p w14:paraId="4BFA4063" w14:textId="6BDBB3D8" w:rsidR="00404B71" w:rsidRDefault="00404B71" w:rsidP="00404B71">
      <w:pPr>
        <w:pStyle w:val="Heading3"/>
      </w:pPr>
      <w:r>
        <w:t>Models</w:t>
      </w:r>
    </w:p>
    <w:p w14:paraId="668F5FF9" w14:textId="6B670D5E" w:rsidR="00404B71" w:rsidRDefault="00E70601" w:rsidP="00404B71">
      <w:pPr>
        <w:rPr>
          <w:rFonts w:eastAsiaTheme="minorEastAsia"/>
        </w:rPr>
      </w:pPr>
      <w:r>
        <w:t>This section provides formal descriptions of the model types used in this study.</w:t>
      </w:r>
      <w:r w:rsidR="00EE6053">
        <w:t xml:space="preserve">  For each of the models below,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E6053">
        <w:rPr>
          <w:rFonts w:eastAsiaTheme="minorEastAsia"/>
        </w:rPr>
        <w:t xml:space="preserve"> denotes the overall ensemble rating for student </w:t>
      </w:r>
      <w:proofErr w:type="spellStart"/>
      <w:r w:rsidR="00EE6053">
        <w:rPr>
          <w:rFonts w:eastAsiaTheme="minorEastAsia"/>
          <w:i/>
          <w:iCs/>
        </w:rPr>
        <w:t>i</w:t>
      </w:r>
      <w:proofErr w:type="spellEnd"/>
      <w:r w:rsidR="00EE6053">
        <w:rPr>
          <w:rFonts w:eastAsiaTheme="minorEastAsia"/>
          <w:i/>
          <w:iCs/>
        </w:rPr>
        <w:t xml:space="preserve"> </w:t>
      </w:r>
      <w:r w:rsidR="00EE6053">
        <w:rPr>
          <w:rFonts w:eastAsiaTheme="minorEastAsia"/>
        </w:rPr>
        <w:t xml:space="preserve">(an integer ranging from 1 to 6),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E6053">
        <w:rPr>
          <w:rFonts w:eastAsiaTheme="minorEastAsia"/>
        </w:rPr>
        <w:t xml:space="preserve"> is a vector of predictor variables,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00EE6053">
        <w:rPr>
          <w:rFonts w:eastAsiaTheme="minorEastAsia"/>
        </w:rPr>
        <w:t xml:space="preserve"> is a student-specific error term, and </w:t>
      </w:r>
      <m:oMath>
        <m:r>
          <w:rPr>
            <w:rFonts w:ascii="Cambria Math" w:eastAsiaTheme="minorEastAsia" w:hAnsi="Cambria Math"/>
          </w:rPr>
          <m:t>β</m:t>
        </m:r>
      </m:oMath>
      <w:r w:rsidR="00EE6053">
        <w:rPr>
          <w:rFonts w:eastAsiaTheme="minorEastAsia"/>
        </w:rPr>
        <w:t xml:space="preserve"> is a vector of model parameters.</w:t>
      </w:r>
    </w:p>
    <w:p w14:paraId="6B78C768" w14:textId="7EBCC73F" w:rsidR="00EE6053" w:rsidRDefault="00EE6053" w:rsidP="00274A45">
      <w:pPr>
        <w:pStyle w:val="Heading4"/>
        <w:rPr>
          <w:rFonts w:eastAsiaTheme="minorEastAsia"/>
        </w:rPr>
      </w:pPr>
      <w:r>
        <w:rPr>
          <w:rFonts w:eastAsiaTheme="minorEastAsia"/>
        </w:rPr>
        <w:t>OLS regression</w:t>
      </w:r>
    </w:p>
    <w:p w14:paraId="2B34C994" w14:textId="7944CC42" w:rsidR="00EE6053" w:rsidRDefault="00EE6053" w:rsidP="00404B71">
      <w:pPr>
        <w:rPr>
          <w:rFonts w:eastAsiaTheme="minorEastAsia"/>
        </w:rPr>
      </w:pPr>
      <w:r>
        <w:rPr>
          <w:rFonts w:eastAsiaTheme="minorEastAsia"/>
        </w:rPr>
        <w:t>The OLS model can be 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A4381F" w14:paraId="471751DA" w14:textId="77777777" w:rsidTr="00A4381F">
        <w:tc>
          <w:tcPr>
            <w:tcW w:w="8815" w:type="dxa"/>
          </w:tcPr>
          <w:p w14:paraId="6B7B1691" w14:textId="74A12D51" w:rsidR="00A4381F" w:rsidRDefault="00A4381F" w:rsidP="00A4381F">
            <w:pPr>
              <w:spacing w:after="12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535" w:type="dxa"/>
          </w:tcPr>
          <w:p w14:paraId="6C1D9CDA" w14:textId="452D8B1B" w:rsidR="00A4381F" w:rsidRDefault="00A4381F" w:rsidP="00A4381F">
            <w:pPr>
              <w:spacing w:after="120"/>
              <w:rPr>
                <w:rFonts w:eastAsiaTheme="minorEastAsia"/>
              </w:rPr>
            </w:pPr>
            <w:r>
              <w:rPr>
                <w:rFonts w:eastAsiaTheme="minorEastAsia"/>
              </w:rPr>
              <w:t>(1)</w:t>
            </w:r>
          </w:p>
        </w:tc>
      </w:tr>
      <w:tr w:rsidR="00A4381F" w14:paraId="33308EEF" w14:textId="77777777" w:rsidTr="00A4381F">
        <w:tc>
          <w:tcPr>
            <w:tcW w:w="8815" w:type="dxa"/>
          </w:tcPr>
          <w:p w14:paraId="70DB47D9" w14:textId="6A54066C" w:rsidR="00A4381F" w:rsidRPr="00A4381F" w:rsidRDefault="00A4381F" w:rsidP="00A4381F">
            <w:pPr>
              <w:spacing w:after="1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eastAsiaTheme="minorEastAsia" w:hAnsi="Cambria Math"/>
                  </w:rPr>
                  <m:t>,</m:t>
                </m:r>
              </m:oMath>
            </m:oMathPara>
          </w:p>
        </w:tc>
        <w:tc>
          <w:tcPr>
            <w:tcW w:w="535" w:type="dxa"/>
          </w:tcPr>
          <w:p w14:paraId="2760447F" w14:textId="1A068AB1" w:rsidR="00A4381F" w:rsidRDefault="00A4381F" w:rsidP="00A4381F">
            <w:pPr>
              <w:spacing w:after="120"/>
              <w:rPr>
                <w:rFonts w:eastAsiaTheme="minorEastAsia"/>
              </w:rPr>
            </w:pPr>
            <w:r>
              <w:rPr>
                <w:rFonts w:eastAsiaTheme="minorEastAsia"/>
              </w:rPr>
              <w:t>(2)</w:t>
            </w:r>
          </w:p>
        </w:tc>
      </w:tr>
    </w:tbl>
    <w:p w14:paraId="7BC09693" w14:textId="43DA5EB7" w:rsidR="000257A1" w:rsidRDefault="00EE6053" w:rsidP="00404B71">
      <w:pPr>
        <w:rPr>
          <w:rFonts w:eastAsiaTheme="minorEastAsia"/>
        </w:rPr>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is a continuous </w:t>
      </w:r>
      <w:r w:rsidR="0040004A">
        <w:rPr>
          <w:rFonts w:eastAsiaTheme="minorEastAsia"/>
        </w:rPr>
        <w:t>version</w:t>
      </w:r>
      <w:r>
        <w:rPr>
          <w:rFonts w:eastAsiaTheme="minorEastAsia"/>
        </w:rPr>
        <w:t xml:space="preserve"> of the ensemble rating, </w:t>
      </w:r>
      <m:oMath>
        <m:r>
          <m:rPr>
            <m:sty m:val="p"/>
          </m:rPr>
          <w:rPr>
            <w:rFonts w:ascii="Cambria Math" w:eastAsiaTheme="minorEastAsia" w:hAnsi="Cambria Math"/>
          </w:rPr>
          <m:t>round</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the rounding function,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Pr>
          <w:rFonts w:eastAsiaTheme="minorEastAsia"/>
        </w:rPr>
        <w:t xml:space="preserve"> is drawn from a normal distribution with mean 0, independently and identically distributed (</w:t>
      </w:r>
      <w:proofErr w:type="spellStart"/>
      <w:r>
        <w:rPr>
          <w:rFonts w:eastAsiaTheme="minorEastAsia"/>
        </w:rPr>
        <w:t>i.i.d</w:t>
      </w:r>
      <w:proofErr w:type="spellEnd"/>
      <w:r>
        <w:rPr>
          <w:rFonts w:eastAsiaTheme="minorEastAsia"/>
        </w:rPr>
        <w:t xml:space="preserve">.) across students.  In the OLS model, </w:t>
      </w:r>
      <m:oMath>
        <m:r>
          <w:rPr>
            <w:rFonts w:ascii="Cambria Math" w:eastAsiaTheme="minorEastAsia" w:hAnsi="Cambria Math"/>
          </w:rPr>
          <m:t>β</m:t>
        </m:r>
      </m:oMath>
      <w:r>
        <w:rPr>
          <w:rFonts w:eastAsiaTheme="minorEastAsia"/>
        </w:rPr>
        <w:t xml:space="preserve"> is estimated by minimizing the sum of squared residuals between the observed values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and estimated values of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w:t>
      </w:r>
    </w:p>
    <w:p w14:paraId="39208FAA" w14:textId="26EBC338" w:rsidR="00A4381F" w:rsidRDefault="00A4381F" w:rsidP="00274A45">
      <w:pPr>
        <w:pStyle w:val="Heading4"/>
        <w:rPr>
          <w:rFonts w:eastAsiaTheme="minorEastAsia"/>
        </w:rPr>
      </w:pPr>
      <w:r>
        <w:rPr>
          <w:rFonts w:eastAsiaTheme="minorEastAsia"/>
        </w:rPr>
        <w:t xml:space="preserve">Ordered </w:t>
      </w:r>
      <w:proofErr w:type="spellStart"/>
      <w:r>
        <w:rPr>
          <w:rFonts w:eastAsiaTheme="minorEastAsia"/>
        </w:rPr>
        <w:t>probit</w:t>
      </w:r>
      <w:proofErr w:type="spellEnd"/>
      <w:r>
        <w:rPr>
          <w:rFonts w:eastAsiaTheme="minorEastAsia"/>
        </w:rPr>
        <w:t xml:space="preserve"> regression</w:t>
      </w:r>
    </w:p>
    <w:p w14:paraId="3DAD0CB7" w14:textId="46D6B8CA" w:rsidR="00A4381F" w:rsidRDefault="00A4381F" w:rsidP="00404B71">
      <w:pPr>
        <w:rPr>
          <w:rFonts w:eastAsiaTheme="minorEastAsia"/>
        </w:rPr>
      </w:pPr>
      <w:r>
        <w:t xml:space="preserve">The ordered </w:t>
      </w:r>
      <w:proofErr w:type="spellStart"/>
      <w:r>
        <w:t>probit</w:t>
      </w:r>
      <w:proofErr w:type="spellEnd"/>
      <w:r>
        <w:t xml:space="preserve"> </w:t>
      </w:r>
      <w:r w:rsidR="006F09D8">
        <w:t>model can be written:</w:t>
      </w:r>
    </w:p>
    <w:p w14:paraId="13509BCB" w14:textId="717FC53B" w:rsidR="006F09D8" w:rsidRPr="006F09D8" w:rsidRDefault="006F09D8" w:rsidP="00404B71">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e>
              </m:d>
            </m:e>
          </m:func>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p w14:paraId="4DBE5BBF" w14:textId="2A1A16C2" w:rsidR="006F09D8" w:rsidRPr="006F09D8" w:rsidRDefault="006F09D8" w:rsidP="00404B71">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oMath>
      </m:oMathPara>
    </w:p>
    <w:p w14:paraId="60910904" w14:textId="24BC2307" w:rsidR="00F72D11" w:rsidRDefault="006F09D8" w:rsidP="00404B71">
      <w:pPr>
        <w:rPr>
          <w:rFonts w:eastAsiaTheme="minorEastAsia"/>
        </w:rPr>
      </w:pPr>
      <w:r>
        <w:t xml:space="preserve">where </w:t>
      </w:r>
      <m:oMath>
        <m:r>
          <w:rPr>
            <w:rFonts w:ascii="Cambria Math" w:hAnsi="Cambria Math"/>
          </w:rPr>
          <m:t>k∈</m:t>
        </m:r>
        <m:d>
          <m:dPr>
            <m:begChr m:val="{"/>
            <m:endChr m:val="}"/>
            <m:ctrlPr>
              <w:rPr>
                <w:rFonts w:ascii="Cambria Math" w:hAnsi="Cambria Math"/>
                <w:i/>
              </w:rPr>
            </m:ctrlPr>
          </m:dPr>
          <m:e>
            <m:r>
              <w:rPr>
                <w:rFonts w:ascii="Cambria Math" w:hAnsi="Cambria Math"/>
              </w:rPr>
              <m:t>1,…,6</m:t>
            </m:r>
          </m:e>
        </m:d>
      </m:oMath>
      <w:r>
        <w:rPr>
          <w:rFonts w:eastAsiaTheme="minorEastAsia"/>
        </w:rPr>
        <w:t xml:space="preserve"> is an ensemble rating,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rPr>
        <w:t xml:space="preserve"> is a rating-specific cutoff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r>
          <w:rPr>
            <w:rFonts w:ascii="Cambria Math" w:eastAsiaTheme="minorEastAsia" w:hAnsi="Cambria Math"/>
          </w:rPr>
          <m:t>=∞</m:t>
        </m:r>
      </m:oMath>
      <w:r w:rsidR="00BA1349">
        <w:rPr>
          <w:rFonts w:eastAsiaTheme="minorEastAsia"/>
        </w:rPr>
        <w:t xml:space="preserve">), and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m:t>
            </m:r>
          </m:e>
        </m:d>
      </m:oMath>
      <w:r w:rsidR="00BA1349">
        <w:rPr>
          <w:rFonts w:eastAsiaTheme="minorEastAsia"/>
        </w:rPr>
        <w:t xml:space="preserve"> is the standard normal cumulative distribution function </w:t>
      </w:r>
      <w:proofErr w:type="gramStart"/>
      <w:r w:rsidR="00BA1349">
        <w:rPr>
          <w:rFonts w:eastAsiaTheme="minorEastAsia"/>
        </w:rPr>
        <w:t>(CDF).</w:t>
      </w:r>
      <w:proofErr w:type="gramEnd"/>
      <w:r w:rsidR="00BA1349">
        <w:rPr>
          <w:rFonts w:eastAsiaTheme="minorEastAsia"/>
        </w:rPr>
        <w:t xml:space="preserve">  </w:t>
      </w:r>
      <w:r w:rsidR="004E1483">
        <w:rPr>
          <w:rFonts w:eastAsiaTheme="minorEastAsia"/>
        </w:rPr>
        <w:t xml:space="preserve">Equivalently, it can be conceptualized as consisting of a set of cutoff scores,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oMath>
      <w:r w:rsidR="004E1483">
        <w:rPr>
          <w:rFonts w:eastAsiaTheme="minorEastAsia"/>
        </w:rPr>
        <w:t xml:space="preserve">, that partition the real line, with students assigned to category </w:t>
      </w:r>
      <m:oMath>
        <m:r>
          <w:rPr>
            <w:rFonts w:ascii="Cambria Math" w:eastAsiaTheme="minorEastAsia" w:hAnsi="Cambria Math"/>
          </w:rPr>
          <m:t>k</m:t>
        </m:r>
      </m:oMath>
      <w:r w:rsidR="004E1483">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004E1483">
        <w:rPr>
          <w:rFonts w:eastAsiaTheme="minorEastAsia"/>
        </w:rPr>
        <w:t xml:space="preserve"> falls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4E148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oMath>
      <w:r w:rsidR="004E148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004E1483">
        <w:rPr>
          <w:rFonts w:eastAsiaTheme="minorEastAsia"/>
        </w:rPr>
        <w:t xml:space="preserve"> is a standard normal random variable.</w:t>
      </w:r>
      <w:r w:rsidR="00F72D11">
        <w:rPr>
          <w:rFonts w:eastAsiaTheme="minorEastAsia"/>
        </w:rPr>
        <w:t xml:space="preserve">  </w:t>
      </w:r>
      <m:oMath>
        <m:r>
          <w:rPr>
            <w:rFonts w:ascii="Cambria Math" w:eastAsiaTheme="minorEastAsia" w:hAnsi="Cambria Math"/>
          </w:rPr>
          <m:t>β</m:t>
        </m:r>
      </m:oMath>
      <w:r w:rsidR="00F72D11">
        <w:rPr>
          <w:rFonts w:eastAsiaTheme="minorEastAsia"/>
        </w:rPr>
        <w:t xml:space="preserve"> and the five values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F72D11">
        <w:rPr>
          <w:rFonts w:eastAsiaTheme="minorEastAsia"/>
        </w:rPr>
        <w:t xml:space="preserve"> are estimated using maximum likelihood.</w:t>
      </w:r>
    </w:p>
    <w:p w14:paraId="60988780" w14:textId="6B12798A" w:rsidR="00905723" w:rsidRDefault="00905723" w:rsidP="00274A45">
      <w:pPr>
        <w:pStyle w:val="Heading4"/>
        <w:rPr>
          <w:rFonts w:eastAsiaTheme="minorEastAsia"/>
        </w:rPr>
      </w:pPr>
      <w:r>
        <w:rPr>
          <w:rFonts w:eastAsiaTheme="minorEastAsia"/>
        </w:rPr>
        <w:t>Multinomial logistic regression</w:t>
      </w:r>
    </w:p>
    <w:p w14:paraId="3ECD952D" w14:textId="76899A07" w:rsidR="00905723" w:rsidRDefault="00E36A8C" w:rsidP="00404B71">
      <w:pPr>
        <w:rPr>
          <w:rFonts w:eastAsiaTheme="minorEastAsia"/>
        </w:rPr>
      </w:pPr>
      <w:r>
        <w:rPr>
          <w:rFonts w:eastAsiaTheme="minorEastAsia"/>
        </w:rPr>
        <w:t>The multinomial logistic model can be described as modeling, for each student, a separate latent variable for each possible rating:</w:t>
      </w:r>
    </w:p>
    <w:p w14:paraId="17E7020B" w14:textId="22B83F4E" w:rsidR="00E36A8C" w:rsidRPr="00E36A8C" w:rsidRDefault="00E36A8C" w:rsidP="00404B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i,1</m:t>
              </m:r>
            </m:sub>
          </m:sSub>
        </m:oMath>
      </m:oMathPara>
    </w:p>
    <w:p w14:paraId="5EAD5933" w14:textId="5871361B" w:rsidR="00E36A8C" w:rsidRPr="00E36A8C" w:rsidRDefault="00E36A8C" w:rsidP="00404B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2</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r>
                <w:rPr>
                  <w:rFonts w:ascii="Cambria Math" w:eastAsiaTheme="minorEastAsia" w:hAnsi="Cambria Math"/>
                </w:rPr>
                <m:t>,2</m:t>
              </m:r>
            </m:sub>
          </m:sSub>
        </m:oMath>
      </m:oMathPara>
    </w:p>
    <w:p w14:paraId="0A358094" w14:textId="41ECF450" w:rsidR="00E36A8C" w:rsidRPr="00E36A8C" w:rsidRDefault="00E36A8C" w:rsidP="00404B71">
      <w:pPr>
        <w:rPr>
          <w:rFonts w:eastAsiaTheme="minorEastAsia"/>
        </w:rPr>
      </w:pPr>
      <m:oMathPara>
        <m:oMath>
          <m:r>
            <w:rPr>
              <w:rFonts w:ascii="Cambria Math" w:eastAsiaTheme="minorEastAsia" w:hAnsi="Cambria Math"/>
            </w:rPr>
            <m:t>…</m:t>
          </m:r>
        </m:oMath>
      </m:oMathPara>
    </w:p>
    <w:p w14:paraId="4F59B4AE" w14:textId="0E00B9C7" w:rsidR="00E36A8C" w:rsidRPr="00E36A8C" w:rsidRDefault="00E36A8C" w:rsidP="00404B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r>
                <w:rPr>
                  <w:rFonts w:ascii="Cambria Math" w:eastAsiaTheme="minorEastAsia" w:hAnsi="Cambria Math"/>
                </w:rPr>
                <m:t>,6</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6</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r>
                <w:rPr>
                  <w:rFonts w:ascii="Cambria Math" w:eastAsiaTheme="minorEastAsia" w:hAnsi="Cambria Math"/>
                </w:rPr>
                <m:t>,6</m:t>
              </m:r>
            </m:sub>
          </m:sSub>
          <m:r>
            <w:rPr>
              <w:rFonts w:ascii="Cambria Math" w:eastAsiaTheme="minorEastAsia" w:hAnsi="Cambria Math"/>
            </w:rPr>
            <m:t>,</m:t>
          </m:r>
        </m:oMath>
      </m:oMathPara>
    </w:p>
    <w:p w14:paraId="0ED49FBC" w14:textId="12E0ED52" w:rsidR="00E36A8C" w:rsidRDefault="00E36A8C" w:rsidP="00404B71">
      <w:pPr>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i,k</m:t>
            </m:r>
          </m:sub>
        </m:sSub>
      </m:oMath>
      <w:r>
        <w:rPr>
          <w:rFonts w:eastAsiaTheme="minorEastAsia"/>
        </w:rPr>
        <w:t xml:space="preserve"> are drawn from a type I extreme-value distribution and </w:t>
      </w:r>
      <w:proofErr w:type="spellStart"/>
      <w:r>
        <w:rPr>
          <w:rFonts w:eastAsiaTheme="minorEastAsia"/>
        </w:rPr>
        <w:t>i.i.d</w:t>
      </w:r>
      <w:proofErr w:type="spellEnd"/>
      <w:r>
        <w:rPr>
          <w:rFonts w:eastAsiaTheme="minorEastAsia"/>
        </w:rPr>
        <w:t xml:space="preserve">. across both students and ratings.  The difference between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r>
              <w:rPr>
                <w:rFonts w:ascii="Cambria Math" w:eastAsiaTheme="minorEastAsia" w:hAnsi="Cambria Math"/>
              </w:rPr>
              <m:t>2</m:t>
            </m:r>
          </m:sub>
        </m:sSub>
      </m:oMath>
      <w:r>
        <w:rPr>
          <w:rFonts w:eastAsiaTheme="minorEastAsia"/>
        </w:rPr>
        <w:t xml:space="preserve"> is then</w:t>
      </w:r>
    </w:p>
    <w:p w14:paraId="59FD2B18" w14:textId="09742B03" w:rsidR="00E36A8C" w:rsidRPr="00E36A8C" w:rsidRDefault="00E36A8C" w:rsidP="00404B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2</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i,2</m:t>
                  </m:r>
                </m:sub>
              </m:sSub>
            </m:e>
          </m:d>
        </m:oMath>
      </m:oMathPara>
    </w:p>
    <w:p w14:paraId="48A2B502" w14:textId="6615B0C5" w:rsidR="00E36A8C" w:rsidRPr="00E36A8C" w:rsidRDefault="00E36A8C" w:rsidP="00404B71">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i,2</m:t>
              </m:r>
            </m:sub>
          </m:sSub>
        </m:oMath>
      </m:oMathPara>
    </w:p>
    <w:p w14:paraId="41778D94" w14:textId="71B69796" w:rsidR="00E36A8C" w:rsidRPr="003D174F" w:rsidRDefault="00E36A8C" w:rsidP="00E36A8C">
      <w:pPr>
        <w:rPr>
          <w:rFonts w:eastAsiaTheme="minorEastAsia"/>
        </w:rPr>
      </w:pPr>
      <m:oMathPara>
        <m:oMath>
          <m:r>
            <w:rPr>
              <w:rFonts w:ascii="Cambria Math" w:eastAsiaTheme="minorEastAsia" w:hAnsi="Cambria Math"/>
            </w:rPr>
            <w:lastRenderedPageBreak/>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r>
                <w:rPr>
                  <w:rFonts w:ascii="Cambria Math" w:eastAsiaTheme="minorEastAsia" w:hAnsi="Cambria Math"/>
                </w:rPr>
                <m:t>v2</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 1v2</m:t>
              </m:r>
            </m:sub>
          </m:sSub>
          <m:r>
            <w:rPr>
              <w:rFonts w:ascii="Cambria Math" w:eastAsiaTheme="minorEastAsia" w:hAnsi="Cambria Math"/>
            </w:rPr>
            <m:t>,</m:t>
          </m:r>
        </m:oMath>
      </m:oMathPara>
    </w:p>
    <w:p w14:paraId="7D5EC6AB" w14:textId="77777777" w:rsidR="003D174F" w:rsidRDefault="003D174F" w:rsidP="00E36A8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12</m:t>
            </m:r>
          </m:sub>
        </m:sSub>
      </m:oMath>
      <w:r>
        <w:rPr>
          <w:rFonts w:eastAsiaTheme="minorEastAsia"/>
        </w:rPr>
        <w:t xml:space="preserve"> takes a standard logistic distribution.  The quantity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i,1v2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12</m:t>
            </m:r>
          </m:sub>
        </m:sSub>
      </m:oMath>
      <w:r>
        <w:rPr>
          <w:rFonts w:eastAsiaTheme="minorEastAsia"/>
        </w:rPr>
        <w:t xml:space="preserve"> is then interpretable as a latent construct reflecting a student’s level of “belonging” to a rating category of 1 compared to 2; similar equations are applied for categories 3 through 6, and the student’s observed category is assumed to be the one for which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 kv2</m:t>
            </m:r>
          </m:sub>
        </m:sSub>
      </m:oMath>
      <w:r>
        <w:rPr>
          <w:rFonts w:eastAsiaTheme="minorEastAsia"/>
        </w:rPr>
        <w:t xml:space="preserve"> is highest.</w:t>
      </w:r>
    </w:p>
    <w:p w14:paraId="692B6967" w14:textId="6B64FAD8" w:rsidR="00E36A8C" w:rsidRPr="00E36A8C" w:rsidRDefault="003D174F" w:rsidP="00404B71">
      <w:pPr>
        <w:rPr>
          <w:rFonts w:eastAsiaTheme="minorEastAsia"/>
        </w:rPr>
      </w:pPr>
      <w:r>
        <w:rPr>
          <w:rFonts w:eastAsiaTheme="minorEastAsia"/>
        </w:rPr>
        <w:t xml:space="preserve">The student’s probability of assignment to category </w:t>
      </w:r>
      <m:oMath>
        <m:r>
          <w:rPr>
            <w:rFonts w:ascii="Cambria Math" w:eastAsiaTheme="minorEastAsia" w:hAnsi="Cambria Math"/>
          </w:rPr>
          <m:t>k≠2</m:t>
        </m:r>
      </m:oMath>
      <w:r>
        <w:rPr>
          <w:rFonts w:eastAsiaTheme="minorEastAsia"/>
        </w:rPr>
        <w:t xml:space="preserve"> is then </w:t>
      </w:r>
      <m:oMath>
        <m:r>
          <m:rPr>
            <m:sty m:val="p"/>
          </m:rP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kv2</m:t>
                </m:r>
              </m:sub>
            </m:sSub>
          </m:e>
        </m:d>
      </m:oMath>
      <w:r>
        <w:rPr>
          <w:rFonts w:eastAsiaTheme="minorEastAsia"/>
        </w:rPr>
        <w:t xml:space="preserve">, where </w:t>
      </w:r>
      <m:oMath>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the standard logistic function, and the probability of assignment to </w:t>
      </w:r>
      <m:oMath>
        <m:r>
          <w:rPr>
            <w:rFonts w:ascii="Cambria Math" w:eastAsiaTheme="minorEastAsia" w:hAnsi="Cambria Math"/>
          </w:rPr>
          <m:t>k=2</m:t>
        </m:r>
      </m:oMath>
      <w:r>
        <w:rPr>
          <w:rFonts w:eastAsiaTheme="minorEastAsia"/>
        </w:rPr>
        <w:t xml:space="preserve"> is one minus the sum of probabilities for the other categories.</w:t>
      </w:r>
      <w:r w:rsidR="00395739">
        <w:rPr>
          <w:rFonts w:eastAsiaTheme="minorEastAsia"/>
        </w:rPr>
        <w:t xml:space="preserve">  A rating of 2 was chosen as the reference category because it was the modal category for the sample.  </w:t>
      </w:r>
      <m:oMath>
        <m:r>
          <w:rPr>
            <w:rFonts w:ascii="Cambria Math" w:eastAsiaTheme="minorEastAsia" w:hAnsi="Cambria Math"/>
          </w:rPr>
          <m:t>β</m:t>
        </m:r>
      </m:oMath>
      <w:r w:rsidR="00395739">
        <w:rPr>
          <w:rFonts w:eastAsiaTheme="minorEastAsia"/>
        </w:rPr>
        <w:t xml:space="preserve"> values were estimated using maximum likelihood.</w:t>
      </w:r>
    </w:p>
    <w:p w14:paraId="34EACD1A" w14:textId="326C85BE" w:rsidR="00404B71" w:rsidRPr="00274A45" w:rsidRDefault="00274A45" w:rsidP="00404B71">
      <w:pPr>
        <w:pStyle w:val="Heading3"/>
      </w:pPr>
      <w:r>
        <w:t xml:space="preserve">Cohen’s </w:t>
      </w:r>
      <w:r>
        <w:rPr>
          <w:i/>
          <w:iCs/>
        </w:rPr>
        <w:t>kappa</w:t>
      </w:r>
    </w:p>
    <w:p w14:paraId="188561E8" w14:textId="076C98E1" w:rsidR="004D5248" w:rsidRPr="000E4787" w:rsidRDefault="00274A45" w:rsidP="004D5248">
      <w:r>
        <w:t>C</w:t>
      </w:r>
      <w:r w:rsidR="004D5248" w:rsidRPr="000E4787">
        <w:t>onsider two raters tasked with assigning each student a score of 0 or 1 on a test question.  Rater A gives 70% of students a score of 0 and the remaining 30% a score of 1, while Rater B simply flips a coin to determine each student’s score, resulting in 50% receiving 0 and 50% receiving 1.  Note that the raters’ scores are completely independent – they are not “related” in any meaningful way, since Rater B’s scores are entirely random.</w:t>
      </w:r>
    </w:p>
    <w:p w14:paraId="5009CD1C" w14:textId="49EA28A6" w:rsidR="004D5248" w:rsidRPr="000E4787" w:rsidRDefault="00274A45" w:rsidP="004D5248">
      <w:r>
        <w:t>O</w:t>
      </w:r>
      <w:r w:rsidR="004D5248" w:rsidRPr="000E4787">
        <w:t xml:space="preserve">n average, we would expect 35% of students to receive a score of 0 from </w:t>
      </w:r>
      <w:r w:rsidR="004D5248" w:rsidRPr="000E4787">
        <w:rPr>
          <w:i/>
          <w:iCs/>
        </w:rPr>
        <w:t>both</w:t>
      </w:r>
      <w:r w:rsidR="004D5248" w:rsidRPr="000E4787">
        <w:t xml:space="preserve"> raters, since on average half of Rater A’s 0-score students would also be given a 0 by Rater B’s coin flip.  Similarly, 15% of students would be expected to receive a score of 1 from both raters, resulting in an overall “agreement” percentage of 35 + 15 = 50%.</w:t>
      </w:r>
    </w:p>
    <w:p w14:paraId="230E7E1F" w14:textId="77777777" w:rsidR="004D5248" w:rsidRPr="000E4787" w:rsidRDefault="004D5248" w:rsidP="004D5248">
      <w:r w:rsidRPr="000E4787">
        <w:t xml:space="preserve">The </w:t>
      </w:r>
      <w:r w:rsidRPr="000E4787">
        <w:rPr>
          <w:i/>
          <w:iCs/>
        </w:rPr>
        <w:t>kappa</w:t>
      </w:r>
      <w:r w:rsidRPr="000E4787">
        <w:t xml:space="preserve"> statistic uses this “chance agreement” percentage as its starting point – called the </w:t>
      </w:r>
      <w:r w:rsidRPr="000E4787">
        <w:rPr>
          <w:i/>
          <w:iCs/>
        </w:rPr>
        <w:t xml:space="preserve">expected </w:t>
      </w:r>
      <w:r w:rsidRPr="000E4787">
        <w:t xml:space="preserve">agreement rate – and measures how much closer the </w:t>
      </w:r>
      <w:r w:rsidRPr="000E4787">
        <w:rPr>
          <w:i/>
          <w:iCs/>
        </w:rPr>
        <w:t>observed</w:t>
      </w:r>
      <w:r w:rsidRPr="000E4787">
        <w:t xml:space="preserve"> agreement rate is to 100% (perfect agreement) than the expected rate.  Formally, its formula is</w:t>
      </w:r>
    </w:p>
    <w:p w14:paraId="7E0921A8" w14:textId="77777777" w:rsidR="004D5248" w:rsidRPr="000E4787" w:rsidRDefault="004D5248" w:rsidP="004D5248">
      <m:oMathPara>
        <m:oMath>
          <m:r>
            <w:rPr>
              <w:rFonts w:ascii="Cambria Math" w:hAnsi="Cambria Math"/>
            </w:rPr>
            <m:t>κ</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OBS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EXP</m:t>
                  </m:r>
                </m:sub>
              </m:sSub>
            </m:num>
            <m:den>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EXP</m:t>
                  </m:r>
                </m:sub>
              </m:sSub>
            </m:den>
          </m:f>
          <m:r>
            <m:rPr>
              <m:sty m:val="p"/>
            </m:rPr>
            <w:rPr>
              <w:rFonts w:ascii="Cambria Math" w:eastAsiaTheme="minorEastAsia" w:hAnsi="Cambria Math"/>
            </w:rPr>
            <m:t>,</m:t>
          </m:r>
        </m:oMath>
      </m:oMathPara>
    </w:p>
    <w:p w14:paraId="3F5D254A" w14:textId="77777777" w:rsidR="004D5248" w:rsidRPr="000E4787" w:rsidRDefault="004D5248" w:rsidP="004D5248">
      <w:r w:rsidRPr="000E4787">
        <w:t xml:space="preserve">where </w:t>
      </w:r>
      <m:oMath>
        <m:sSub>
          <m:sSubPr>
            <m:ctrlPr>
              <w:rPr>
                <w:rFonts w:ascii="Cambria Math" w:hAnsi="Cambria Math"/>
                <w:i/>
              </w:rPr>
            </m:ctrlPr>
          </m:sSubPr>
          <m:e>
            <m:r>
              <w:rPr>
                <w:rFonts w:ascii="Cambria Math" w:hAnsi="Cambria Math"/>
              </w:rPr>
              <m:t>p</m:t>
            </m:r>
          </m:e>
          <m:sub>
            <m:r>
              <w:rPr>
                <w:rFonts w:ascii="Cambria Math" w:hAnsi="Cambria Math"/>
              </w:rPr>
              <m:t>OBS</m:t>
            </m:r>
          </m:sub>
        </m:sSub>
      </m:oMath>
      <w:r w:rsidRPr="000E4787">
        <w:t xml:space="preserve"> is the observed agreement proportion, and </w:t>
      </w:r>
      <m:oMath>
        <m:sSub>
          <m:sSubPr>
            <m:ctrlPr>
              <w:rPr>
                <w:rFonts w:ascii="Cambria Math" w:hAnsi="Cambria Math"/>
                <w:i/>
              </w:rPr>
            </m:ctrlPr>
          </m:sSubPr>
          <m:e>
            <m:r>
              <w:rPr>
                <w:rFonts w:ascii="Cambria Math" w:hAnsi="Cambria Math"/>
              </w:rPr>
              <m:t>p</m:t>
            </m:r>
          </m:e>
          <m:sub>
            <m:r>
              <w:rPr>
                <w:rFonts w:ascii="Cambria Math" w:hAnsi="Cambria Math"/>
              </w:rPr>
              <m:t>EXP</m:t>
            </m:r>
          </m:sub>
        </m:sSub>
      </m:oMath>
      <w:r w:rsidRPr="000E4787">
        <w:t xml:space="preserve"> is the expected </w:t>
      </w:r>
      <w:proofErr w:type="gramStart"/>
      <w:r w:rsidRPr="000E4787">
        <w:t>proportion.</w:t>
      </w:r>
      <w:proofErr w:type="gramEnd"/>
      <w:r w:rsidRPr="000E4787">
        <w:t xml:space="preserve">  Note that </w:t>
      </w:r>
      <w:r w:rsidRPr="000E4787">
        <w:rPr>
          <w:i/>
          <w:iCs/>
        </w:rPr>
        <w:t>kappa</w:t>
      </w:r>
      <w:r w:rsidRPr="000E4787">
        <w:t xml:space="preserve"> is 0 when the observed agreement is the same as the expected (</w:t>
      </w:r>
      <m:oMath>
        <m:sSub>
          <m:sSubPr>
            <m:ctrlPr>
              <w:rPr>
                <w:rFonts w:ascii="Cambria Math" w:hAnsi="Cambria Math"/>
                <w:i/>
              </w:rPr>
            </m:ctrlPr>
          </m:sSubPr>
          <m:e>
            <m:r>
              <w:rPr>
                <w:rFonts w:ascii="Cambria Math" w:hAnsi="Cambria Math"/>
              </w:rPr>
              <m:t>p</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EXP</m:t>
            </m:r>
          </m:sub>
        </m:sSub>
      </m:oMath>
      <w:r w:rsidRPr="000E4787">
        <w:t>), and 1 when the observed agreement is 100% (</w:t>
      </w:r>
      <m:oMath>
        <m:sSub>
          <m:sSubPr>
            <m:ctrlPr>
              <w:rPr>
                <w:rFonts w:ascii="Cambria Math" w:hAnsi="Cambria Math"/>
                <w:i/>
              </w:rPr>
            </m:ctrlPr>
          </m:sSubPr>
          <m:e>
            <m:r>
              <w:rPr>
                <w:rFonts w:ascii="Cambria Math" w:hAnsi="Cambria Math"/>
              </w:rPr>
              <m:t>p</m:t>
            </m:r>
          </m:e>
          <m:sub>
            <m:r>
              <w:rPr>
                <w:rFonts w:ascii="Cambria Math" w:hAnsi="Cambria Math"/>
              </w:rPr>
              <m:t>OBS</m:t>
            </m:r>
          </m:sub>
        </m:sSub>
        <m:r>
          <w:rPr>
            <w:rFonts w:ascii="Cambria Math" w:hAnsi="Cambria Math"/>
          </w:rPr>
          <m:t>=1</m:t>
        </m:r>
      </m:oMath>
      <w:r w:rsidRPr="000E4787">
        <w:t>).</w:t>
      </w:r>
    </w:p>
    <w:p w14:paraId="3BBB7236" w14:textId="0048FAEA" w:rsidR="00956783" w:rsidRPr="00274A45" w:rsidRDefault="00274A45" w:rsidP="00274A45">
      <w:pPr>
        <w:pStyle w:val="Heading3"/>
        <w:rPr>
          <w:i/>
          <w:iCs/>
        </w:rPr>
      </w:pPr>
      <w:r>
        <w:t xml:space="preserve">Weighted </w:t>
      </w:r>
      <w:r>
        <w:rPr>
          <w:i/>
          <w:iCs/>
        </w:rPr>
        <w:t>kappa</w:t>
      </w:r>
    </w:p>
    <w:p w14:paraId="21194B0D" w14:textId="77777777" w:rsidR="00956783" w:rsidRDefault="00956783" w:rsidP="00956783">
      <w:r>
        <w:t xml:space="preserve">The classical </w:t>
      </w:r>
      <w:r w:rsidRPr="000E4787">
        <w:t xml:space="preserve">Cohen’s </w:t>
      </w:r>
      <w:r w:rsidRPr="00295E73">
        <w:rPr>
          <w:i/>
          <w:iCs/>
        </w:rPr>
        <w:t>kappa</w:t>
      </w:r>
      <w:r w:rsidRPr="000E4787">
        <w:t xml:space="preserve"> statistic </w:t>
      </w:r>
      <w:r>
        <w:t>effectively awards “full credit” for exact matches between predicted and actual values and “zero credit” for students whose predicted and actual values differ.  This is usually desirable when categories are unordered and “distances” between categories are not meaningful.  For ordered categories, however, it may be helpful to account in some way for predictions that are close to actual values, but not exact matches.</w:t>
      </w:r>
    </w:p>
    <w:p w14:paraId="417B34A9" w14:textId="62019F0A" w:rsidR="00404B71" w:rsidRDefault="00956783" w:rsidP="00404B71">
      <w:r>
        <w:t xml:space="preserve">To achieve this, weights can be assigned to non-exact matches – for example, assigning a weight of 0.5 to non-exact predictions that are within one point of the actual value effectively treats these as a “half of a match” – to produce a </w:t>
      </w:r>
      <w:r>
        <w:rPr>
          <w:i/>
          <w:iCs/>
        </w:rPr>
        <w:t>weighted kappa</w:t>
      </w:r>
      <w:r>
        <w:t xml:space="preserve"> statistic.  Values of 0 and 1 have the same interpretation as for the classical </w:t>
      </w:r>
      <w:r>
        <w:rPr>
          <w:i/>
          <w:iCs/>
        </w:rPr>
        <w:t>kappa</w:t>
      </w:r>
      <w:r w:rsidR="00BE517A">
        <w:t>; the primary difference is that the “baseline” agreement rate is different.</w:t>
      </w:r>
    </w:p>
    <w:p w14:paraId="733F1CFF" w14:textId="4CE992C0" w:rsidR="00FB0051" w:rsidRDefault="00FB0051" w:rsidP="00404B71">
      <w:r>
        <w:t xml:space="preserve">The weights for these computations can be laid out in a matrix with the same dimensions as the confusion matrix.  The weight matrix can then be multiplied element-wise with the confusion </w:t>
      </w:r>
      <w:r>
        <w:lastRenderedPageBreak/>
        <w:t>matrix to produce a count of “accurate” predictions.  Exact matching is used when the diagonal elements are 1 and all other elements 0; when elements immediately above and below the diagonal are assigned a weight of 1, predicted values are counted as “accurate” when they are within one point of the actual value.</w:t>
      </w:r>
    </w:p>
    <w:tbl>
      <w:tblPr>
        <w:tblW w:w="5107" w:type="dxa"/>
        <w:jc w:val="center"/>
        <w:tblLook w:val="04A0" w:firstRow="1" w:lastRow="0" w:firstColumn="1" w:lastColumn="0" w:noHBand="0" w:noVBand="1"/>
      </w:tblPr>
      <w:tblGrid>
        <w:gridCol w:w="487"/>
        <w:gridCol w:w="420"/>
        <w:gridCol w:w="700"/>
        <w:gridCol w:w="700"/>
        <w:gridCol w:w="700"/>
        <w:gridCol w:w="700"/>
        <w:gridCol w:w="700"/>
        <w:gridCol w:w="700"/>
      </w:tblGrid>
      <w:tr w:rsidR="00C03409" w:rsidRPr="00C03409" w14:paraId="4E78107B" w14:textId="77777777" w:rsidTr="00FB0051">
        <w:trPr>
          <w:trHeight w:val="285"/>
          <w:jc w:val="center"/>
        </w:trPr>
        <w:tc>
          <w:tcPr>
            <w:tcW w:w="5107" w:type="dxa"/>
            <w:gridSpan w:val="8"/>
            <w:tcBorders>
              <w:top w:val="nil"/>
              <w:left w:val="nil"/>
              <w:bottom w:val="single" w:sz="4" w:space="0" w:color="auto"/>
              <w:right w:val="nil"/>
            </w:tcBorders>
            <w:shd w:val="clear" w:color="auto" w:fill="auto"/>
            <w:noWrap/>
            <w:vAlign w:val="bottom"/>
          </w:tcPr>
          <w:p w14:paraId="5C6CA162" w14:textId="706FB4F3" w:rsidR="00C03409" w:rsidRPr="00C03409" w:rsidRDefault="00C03409" w:rsidP="00C03409">
            <w:pPr>
              <w:spacing w:after="0" w:line="240" w:lineRule="auto"/>
              <w:rPr>
                <w:rFonts w:eastAsia="Times New Roman" w:cs="Calibri"/>
              </w:rPr>
            </w:pPr>
            <w:r w:rsidRPr="00C03409">
              <w:rPr>
                <w:rFonts w:eastAsia="Times New Roman" w:cs="Calibri"/>
                <w:i/>
                <w:iCs/>
              </w:rPr>
              <w:t>Table A</w:t>
            </w:r>
            <w:r w:rsidRPr="00C03409">
              <w:rPr>
                <w:rFonts w:eastAsia="Times New Roman" w:cs="Calibri"/>
              </w:rPr>
              <w:t>.</w:t>
            </w:r>
            <w:r>
              <w:rPr>
                <w:rFonts w:eastAsia="Times New Roman" w:cs="Calibri"/>
              </w:rPr>
              <w:t xml:space="preserve">  Weight matrices for weighted </w:t>
            </w:r>
            <w:r>
              <w:rPr>
                <w:rFonts w:eastAsia="Times New Roman" w:cs="Calibri"/>
                <w:i/>
                <w:iCs/>
              </w:rPr>
              <w:t>kappa</w:t>
            </w:r>
            <w:r>
              <w:rPr>
                <w:rFonts w:eastAsia="Times New Roman" w:cs="Calibri"/>
              </w:rPr>
              <w:t xml:space="preserve"> computations.</w:t>
            </w:r>
          </w:p>
        </w:tc>
      </w:tr>
      <w:tr w:rsidR="00C03409" w:rsidRPr="00C03409" w14:paraId="031D66D8" w14:textId="77777777" w:rsidTr="00FB0051">
        <w:trPr>
          <w:trHeight w:val="285"/>
          <w:jc w:val="center"/>
        </w:trPr>
        <w:tc>
          <w:tcPr>
            <w:tcW w:w="487" w:type="dxa"/>
            <w:tcBorders>
              <w:top w:val="single" w:sz="4" w:space="0" w:color="auto"/>
              <w:left w:val="nil"/>
              <w:bottom w:val="nil"/>
              <w:right w:val="nil"/>
            </w:tcBorders>
            <w:shd w:val="clear" w:color="auto" w:fill="auto"/>
            <w:noWrap/>
            <w:vAlign w:val="bottom"/>
            <w:hideMark/>
          </w:tcPr>
          <w:p w14:paraId="07FDB59A" w14:textId="77777777" w:rsidR="00C03409" w:rsidRPr="00C03409" w:rsidRDefault="00C03409" w:rsidP="00C03409">
            <w:pPr>
              <w:spacing w:after="0" w:line="240" w:lineRule="auto"/>
              <w:rPr>
                <w:rFonts w:ascii="Times New Roman" w:eastAsia="Times New Roman" w:hAnsi="Times New Roman" w:cs="Times New Roman"/>
                <w:sz w:val="24"/>
                <w:szCs w:val="24"/>
              </w:rPr>
            </w:pPr>
          </w:p>
        </w:tc>
        <w:tc>
          <w:tcPr>
            <w:tcW w:w="420" w:type="dxa"/>
            <w:tcBorders>
              <w:top w:val="single" w:sz="4" w:space="0" w:color="auto"/>
              <w:left w:val="nil"/>
              <w:bottom w:val="nil"/>
              <w:right w:val="nil"/>
            </w:tcBorders>
            <w:shd w:val="clear" w:color="auto" w:fill="auto"/>
            <w:noWrap/>
            <w:vAlign w:val="bottom"/>
            <w:hideMark/>
          </w:tcPr>
          <w:p w14:paraId="2B2C8640"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4200" w:type="dxa"/>
            <w:gridSpan w:val="6"/>
            <w:tcBorders>
              <w:top w:val="single" w:sz="4" w:space="0" w:color="auto"/>
              <w:left w:val="nil"/>
              <w:bottom w:val="single" w:sz="4" w:space="0" w:color="auto"/>
              <w:right w:val="nil"/>
            </w:tcBorders>
            <w:shd w:val="clear" w:color="auto" w:fill="auto"/>
            <w:noWrap/>
            <w:vAlign w:val="bottom"/>
            <w:hideMark/>
          </w:tcPr>
          <w:p w14:paraId="66270CA8"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Predicted</w:t>
            </w:r>
          </w:p>
        </w:tc>
      </w:tr>
      <w:tr w:rsidR="00C03409" w:rsidRPr="00C03409" w14:paraId="41059F8C" w14:textId="77777777" w:rsidTr="00FB0051">
        <w:trPr>
          <w:trHeight w:val="285"/>
          <w:jc w:val="center"/>
        </w:trPr>
        <w:tc>
          <w:tcPr>
            <w:tcW w:w="487" w:type="dxa"/>
            <w:tcBorders>
              <w:top w:val="nil"/>
              <w:left w:val="nil"/>
              <w:right w:val="nil"/>
            </w:tcBorders>
            <w:shd w:val="clear" w:color="auto" w:fill="auto"/>
            <w:noWrap/>
            <w:vAlign w:val="bottom"/>
            <w:hideMark/>
          </w:tcPr>
          <w:p w14:paraId="19FF2FD5" w14:textId="77777777" w:rsidR="00C03409" w:rsidRPr="00C03409" w:rsidRDefault="00C03409" w:rsidP="00C03409">
            <w:pPr>
              <w:spacing w:after="0" w:line="240" w:lineRule="auto"/>
              <w:jc w:val="center"/>
              <w:rPr>
                <w:rFonts w:eastAsia="Times New Roman" w:cs="Calibri"/>
                <w:b/>
                <w:bCs/>
              </w:rPr>
            </w:pPr>
          </w:p>
        </w:tc>
        <w:tc>
          <w:tcPr>
            <w:tcW w:w="420" w:type="dxa"/>
            <w:tcBorders>
              <w:top w:val="nil"/>
              <w:left w:val="nil"/>
              <w:bottom w:val="single" w:sz="4" w:space="0" w:color="auto"/>
              <w:right w:val="single" w:sz="4" w:space="0" w:color="auto"/>
            </w:tcBorders>
            <w:shd w:val="clear" w:color="auto" w:fill="auto"/>
            <w:noWrap/>
            <w:vAlign w:val="bottom"/>
            <w:hideMark/>
          </w:tcPr>
          <w:p w14:paraId="6DDABD2B" w14:textId="77777777" w:rsidR="00C03409" w:rsidRPr="00C03409" w:rsidRDefault="00C03409" w:rsidP="00C03409">
            <w:pPr>
              <w:spacing w:after="0" w:line="240" w:lineRule="auto"/>
              <w:rPr>
                <w:rFonts w:eastAsia="Times New Roman" w:cs="Calibri"/>
              </w:rPr>
            </w:pPr>
            <w:r w:rsidRPr="00C03409">
              <w:rPr>
                <w:rFonts w:eastAsia="Times New Roman" w:cs="Calibri"/>
              </w:rPr>
              <w:t> </w:t>
            </w:r>
          </w:p>
        </w:tc>
        <w:tc>
          <w:tcPr>
            <w:tcW w:w="700" w:type="dxa"/>
            <w:tcBorders>
              <w:top w:val="nil"/>
              <w:left w:val="nil"/>
              <w:bottom w:val="single" w:sz="4" w:space="0" w:color="auto"/>
              <w:right w:val="nil"/>
            </w:tcBorders>
            <w:shd w:val="clear" w:color="auto" w:fill="auto"/>
            <w:noWrap/>
            <w:vAlign w:val="bottom"/>
            <w:hideMark/>
          </w:tcPr>
          <w:p w14:paraId="7B9813B4"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1</w:t>
            </w:r>
          </w:p>
        </w:tc>
        <w:tc>
          <w:tcPr>
            <w:tcW w:w="700" w:type="dxa"/>
            <w:tcBorders>
              <w:top w:val="nil"/>
              <w:left w:val="nil"/>
              <w:bottom w:val="single" w:sz="4" w:space="0" w:color="auto"/>
              <w:right w:val="nil"/>
            </w:tcBorders>
            <w:shd w:val="clear" w:color="auto" w:fill="auto"/>
            <w:noWrap/>
            <w:vAlign w:val="bottom"/>
            <w:hideMark/>
          </w:tcPr>
          <w:p w14:paraId="1438CE9D"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2</w:t>
            </w:r>
          </w:p>
        </w:tc>
        <w:tc>
          <w:tcPr>
            <w:tcW w:w="700" w:type="dxa"/>
            <w:tcBorders>
              <w:top w:val="nil"/>
              <w:left w:val="nil"/>
              <w:bottom w:val="single" w:sz="4" w:space="0" w:color="auto"/>
              <w:right w:val="nil"/>
            </w:tcBorders>
            <w:shd w:val="clear" w:color="auto" w:fill="auto"/>
            <w:noWrap/>
            <w:vAlign w:val="bottom"/>
            <w:hideMark/>
          </w:tcPr>
          <w:p w14:paraId="625B1801"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3</w:t>
            </w:r>
          </w:p>
        </w:tc>
        <w:tc>
          <w:tcPr>
            <w:tcW w:w="700" w:type="dxa"/>
            <w:tcBorders>
              <w:top w:val="nil"/>
              <w:left w:val="nil"/>
              <w:bottom w:val="single" w:sz="4" w:space="0" w:color="auto"/>
              <w:right w:val="nil"/>
            </w:tcBorders>
            <w:shd w:val="clear" w:color="auto" w:fill="auto"/>
            <w:noWrap/>
            <w:vAlign w:val="bottom"/>
            <w:hideMark/>
          </w:tcPr>
          <w:p w14:paraId="5BB4B654"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4</w:t>
            </w:r>
          </w:p>
        </w:tc>
        <w:tc>
          <w:tcPr>
            <w:tcW w:w="700" w:type="dxa"/>
            <w:tcBorders>
              <w:top w:val="nil"/>
              <w:left w:val="nil"/>
              <w:bottom w:val="single" w:sz="4" w:space="0" w:color="auto"/>
              <w:right w:val="nil"/>
            </w:tcBorders>
            <w:shd w:val="clear" w:color="auto" w:fill="auto"/>
            <w:noWrap/>
            <w:vAlign w:val="bottom"/>
            <w:hideMark/>
          </w:tcPr>
          <w:p w14:paraId="3EC397CC"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5</w:t>
            </w:r>
          </w:p>
        </w:tc>
        <w:tc>
          <w:tcPr>
            <w:tcW w:w="700" w:type="dxa"/>
            <w:tcBorders>
              <w:top w:val="nil"/>
              <w:left w:val="nil"/>
              <w:bottom w:val="single" w:sz="4" w:space="0" w:color="auto"/>
              <w:right w:val="single" w:sz="4" w:space="0" w:color="auto"/>
            </w:tcBorders>
            <w:shd w:val="clear" w:color="auto" w:fill="auto"/>
            <w:noWrap/>
            <w:vAlign w:val="bottom"/>
            <w:hideMark/>
          </w:tcPr>
          <w:p w14:paraId="70A33A6F"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6</w:t>
            </w:r>
          </w:p>
        </w:tc>
      </w:tr>
      <w:tr w:rsidR="00C03409" w:rsidRPr="00C03409" w14:paraId="5B9E1186" w14:textId="77777777" w:rsidTr="00FB0051">
        <w:trPr>
          <w:trHeight w:val="285"/>
          <w:jc w:val="center"/>
        </w:trPr>
        <w:tc>
          <w:tcPr>
            <w:tcW w:w="487" w:type="dxa"/>
            <w:vMerge w:val="restart"/>
            <w:tcBorders>
              <w:top w:val="nil"/>
              <w:left w:val="nil"/>
              <w:right w:val="single" w:sz="4" w:space="0" w:color="auto"/>
            </w:tcBorders>
            <w:shd w:val="clear" w:color="auto" w:fill="auto"/>
            <w:noWrap/>
            <w:textDirection w:val="btLr"/>
            <w:vAlign w:val="center"/>
            <w:hideMark/>
          </w:tcPr>
          <w:p w14:paraId="0FC69501" w14:textId="77777777" w:rsidR="00C03409" w:rsidRPr="00C03409" w:rsidRDefault="00C03409" w:rsidP="008C7B1B">
            <w:pPr>
              <w:spacing w:after="0" w:line="240" w:lineRule="auto"/>
              <w:jc w:val="center"/>
              <w:rPr>
                <w:rFonts w:eastAsia="Times New Roman" w:cs="Calibri"/>
                <w:b/>
                <w:bCs/>
              </w:rPr>
            </w:pPr>
            <w:r w:rsidRPr="00C03409">
              <w:rPr>
                <w:rFonts w:eastAsia="Times New Roman" w:cs="Calibri"/>
                <w:b/>
                <w:bCs/>
              </w:rPr>
              <w:t>Actual</w:t>
            </w:r>
          </w:p>
        </w:tc>
        <w:tc>
          <w:tcPr>
            <w:tcW w:w="420" w:type="dxa"/>
            <w:tcBorders>
              <w:top w:val="nil"/>
              <w:left w:val="nil"/>
              <w:bottom w:val="nil"/>
              <w:right w:val="single" w:sz="4" w:space="0" w:color="auto"/>
            </w:tcBorders>
            <w:shd w:val="clear" w:color="auto" w:fill="auto"/>
            <w:noWrap/>
            <w:vAlign w:val="bottom"/>
            <w:hideMark/>
          </w:tcPr>
          <w:p w14:paraId="504F045B"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1</w:t>
            </w:r>
          </w:p>
        </w:tc>
        <w:tc>
          <w:tcPr>
            <w:tcW w:w="700" w:type="dxa"/>
            <w:tcBorders>
              <w:top w:val="nil"/>
              <w:left w:val="nil"/>
              <w:bottom w:val="nil"/>
              <w:right w:val="nil"/>
            </w:tcBorders>
            <w:shd w:val="clear" w:color="000000" w:fill="B4C6E7"/>
            <w:noWrap/>
            <w:vAlign w:val="bottom"/>
            <w:hideMark/>
          </w:tcPr>
          <w:p w14:paraId="0266EB5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415FC2CC"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11C0E38E"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2FE6881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39FFBB77"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22C7874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54863317" w14:textId="77777777" w:rsidTr="00FB0051">
        <w:trPr>
          <w:trHeight w:val="285"/>
          <w:jc w:val="center"/>
        </w:trPr>
        <w:tc>
          <w:tcPr>
            <w:tcW w:w="487" w:type="dxa"/>
            <w:vMerge/>
            <w:tcBorders>
              <w:top w:val="single" w:sz="4" w:space="0" w:color="000000"/>
              <w:left w:val="nil"/>
              <w:right w:val="single" w:sz="4" w:space="0" w:color="auto"/>
            </w:tcBorders>
            <w:vAlign w:val="center"/>
            <w:hideMark/>
          </w:tcPr>
          <w:p w14:paraId="5A13343E"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2DC82450"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2</w:t>
            </w:r>
          </w:p>
        </w:tc>
        <w:tc>
          <w:tcPr>
            <w:tcW w:w="700" w:type="dxa"/>
            <w:tcBorders>
              <w:top w:val="nil"/>
              <w:left w:val="nil"/>
              <w:bottom w:val="nil"/>
              <w:right w:val="nil"/>
            </w:tcBorders>
            <w:shd w:val="clear" w:color="auto" w:fill="auto"/>
            <w:noWrap/>
            <w:vAlign w:val="bottom"/>
            <w:hideMark/>
          </w:tcPr>
          <w:p w14:paraId="7225D937"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000000" w:fill="B4C6E7"/>
            <w:noWrap/>
            <w:vAlign w:val="bottom"/>
            <w:hideMark/>
          </w:tcPr>
          <w:p w14:paraId="310B101D"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1075E934"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16801A01"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4B724EFC"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7B4D035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79D59780" w14:textId="77777777" w:rsidTr="00FB0051">
        <w:trPr>
          <w:trHeight w:val="285"/>
          <w:jc w:val="center"/>
        </w:trPr>
        <w:tc>
          <w:tcPr>
            <w:tcW w:w="487" w:type="dxa"/>
            <w:vMerge/>
            <w:tcBorders>
              <w:top w:val="single" w:sz="4" w:space="0" w:color="000000"/>
              <w:left w:val="nil"/>
              <w:right w:val="single" w:sz="4" w:space="0" w:color="auto"/>
            </w:tcBorders>
            <w:vAlign w:val="center"/>
            <w:hideMark/>
          </w:tcPr>
          <w:p w14:paraId="3B62D764"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59EDEF98"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3</w:t>
            </w:r>
          </w:p>
        </w:tc>
        <w:tc>
          <w:tcPr>
            <w:tcW w:w="700" w:type="dxa"/>
            <w:tcBorders>
              <w:top w:val="nil"/>
              <w:left w:val="nil"/>
              <w:bottom w:val="nil"/>
              <w:right w:val="nil"/>
            </w:tcBorders>
            <w:shd w:val="clear" w:color="auto" w:fill="auto"/>
            <w:noWrap/>
            <w:vAlign w:val="bottom"/>
            <w:hideMark/>
          </w:tcPr>
          <w:p w14:paraId="180D7303"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5701F6EE"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000000" w:fill="B4C6E7"/>
            <w:noWrap/>
            <w:vAlign w:val="bottom"/>
            <w:hideMark/>
          </w:tcPr>
          <w:p w14:paraId="016AF53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7F4CD50D"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419650C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3EA5CDD1"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50C7753B" w14:textId="77777777" w:rsidTr="00FB0051">
        <w:trPr>
          <w:trHeight w:val="285"/>
          <w:jc w:val="center"/>
        </w:trPr>
        <w:tc>
          <w:tcPr>
            <w:tcW w:w="487" w:type="dxa"/>
            <w:vMerge/>
            <w:tcBorders>
              <w:top w:val="single" w:sz="4" w:space="0" w:color="000000"/>
              <w:left w:val="nil"/>
              <w:right w:val="single" w:sz="4" w:space="0" w:color="auto"/>
            </w:tcBorders>
            <w:vAlign w:val="center"/>
            <w:hideMark/>
          </w:tcPr>
          <w:p w14:paraId="1221FBC5"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3CC46831"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4</w:t>
            </w:r>
          </w:p>
        </w:tc>
        <w:tc>
          <w:tcPr>
            <w:tcW w:w="700" w:type="dxa"/>
            <w:tcBorders>
              <w:top w:val="nil"/>
              <w:left w:val="nil"/>
              <w:bottom w:val="nil"/>
              <w:right w:val="nil"/>
            </w:tcBorders>
            <w:shd w:val="clear" w:color="auto" w:fill="auto"/>
            <w:noWrap/>
            <w:vAlign w:val="bottom"/>
            <w:hideMark/>
          </w:tcPr>
          <w:p w14:paraId="55DDFF69"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409C304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42F57C3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000000" w:fill="B4C6E7"/>
            <w:noWrap/>
            <w:vAlign w:val="bottom"/>
            <w:hideMark/>
          </w:tcPr>
          <w:p w14:paraId="5EAB5B6A"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6EDEE10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776AA1A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0E4C012E" w14:textId="77777777" w:rsidTr="00FB0051">
        <w:trPr>
          <w:trHeight w:val="285"/>
          <w:jc w:val="center"/>
        </w:trPr>
        <w:tc>
          <w:tcPr>
            <w:tcW w:w="487" w:type="dxa"/>
            <w:vMerge/>
            <w:tcBorders>
              <w:top w:val="single" w:sz="4" w:space="0" w:color="000000"/>
              <w:left w:val="nil"/>
              <w:right w:val="single" w:sz="4" w:space="0" w:color="auto"/>
            </w:tcBorders>
            <w:vAlign w:val="center"/>
            <w:hideMark/>
          </w:tcPr>
          <w:p w14:paraId="0EE926E3"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21858CC3"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5</w:t>
            </w:r>
          </w:p>
        </w:tc>
        <w:tc>
          <w:tcPr>
            <w:tcW w:w="700" w:type="dxa"/>
            <w:tcBorders>
              <w:top w:val="nil"/>
              <w:left w:val="nil"/>
              <w:bottom w:val="nil"/>
              <w:right w:val="nil"/>
            </w:tcBorders>
            <w:shd w:val="clear" w:color="auto" w:fill="auto"/>
            <w:noWrap/>
            <w:vAlign w:val="bottom"/>
            <w:hideMark/>
          </w:tcPr>
          <w:p w14:paraId="1B75D475"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12644826"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2C30A3C3"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61072E07"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000000" w:fill="B4C6E7"/>
            <w:noWrap/>
            <w:vAlign w:val="bottom"/>
            <w:hideMark/>
          </w:tcPr>
          <w:p w14:paraId="6B7DB99A"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single" w:sz="4" w:space="0" w:color="auto"/>
            </w:tcBorders>
            <w:shd w:val="clear" w:color="auto" w:fill="auto"/>
            <w:noWrap/>
            <w:vAlign w:val="bottom"/>
            <w:hideMark/>
          </w:tcPr>
          <w:p w14:paraId="51463AD6"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4326F540" w14:textId="77777777" w:rsidTr="00FB0051">
        <w:trPr>
          <w:trHeight w:val="285"/>
          <w:jc w:val="center"/>
        </w:trPr>
        <w:tc>
          <w:tcPr>
            <w:tcW w:w="487" w:type="dxa"/>
            <w:vMerge/>
            <w:tcBorders>
              <w:top w:val="single" w:sz="4" w:space="0" w:color="000000"/>
              <w:left w:val="nil"/>
              <w:right w:val="single" w:sz="4" w:space="0" w:color="auto"/>
            </w:tcBorders>
            <w:vAlign w:val="center"/>
            <w:hideMark/>
          </w:tcPr>
          <w:p w14:paraId="14D60899"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single" w:sz="4" w:space="0" w:color="auto"/>
              <w:right w:val="single" w:sz="4" w:space="0" w:color="auto"/>
            </w:tcBorders>
            <w:shd w:val="clear" w:color="auto" w:fill="auto"/>
            <w:noWrap/>
            <w:vAlign w:val="bottom"/>
            <w:hideMark/>
          </w:tcPr>
          <w:p w14:paraId="7214829C"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6</w:t>
            </w:r>
          </w:p>
        </w:tc>
        <w:tc>
          <w:tcPr>
            <w:tcW w:w="700" w:type="dxa"/>
            <w:tcBorders>
              <w:top w:val="nil"/>
              <w:left w:val="nil"/>
              <w:bottom w:val="single" w:sz="4" w:space="0" w:color="auto"/>
              <w:right w:val="nil"/>
            </w:tcBorders>
            <w:shd w:val="clear" w:color="auto" w:fill="auto"/>
            <w:noWrap/>
            <w:vAlign w:val="bottom"/>
            <w:hideMark/>
          </w:tcPr>
          <w:p w14:paraId="17E3A13F"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12ADAA0F"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2B61AF75"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5D94E335"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33DD61F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single" w:sz="4" w:space="0" w:color="auto"/>
            </w:tcBorders>
            <w:shd w:val="clear" w:color="000000" w:fill="B4C6E7"/>
            <w:noWrap/>
            <w:vAlign w:val="bottom"/>
            <w:hideMark/>
          </w:tcPr>
          <w:p w14:paraId="4F030D6D"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r>
      <w:tr w:rsidR="00C03409" w:rsidRPr="00C03409" w14:paraId="46C1E8A9" w14:textId="77777777" w:rsidTr="00FB0051">
        <w:trPr>
          <w:trHeight w:val="285"/>
          <w:jc w:val="center"/>
        </w:trPr>
        <w:tc>
          <w:tcPr>
            <w:tcW w:w="487" w:type="dxa"/>
            <w:tcBorders>
              <w:left w:val="nil"/>
              <w:bottom w:val="nil"/>
              <w:right w:val="nil"/>
            </w:tcBorders>
            <w:shd w:val="clear" w:color="auto" w:fill="auto"/>
            <w:noWrap/>
            <w:vAlign w:val="bottom"/>
            <w:hideMark/>
          </w:tcPr>
          <w:p w14:paraId="489B6C3F" w14:textId="77777777" w:rsidR="00C03409" w:rsidRPr="00C03409" w:rsidRDefault="00C03409" w:rsidP="00C03409">
            <w:pPr>
              <w:spacing w:after="0" w:line="240" w:lineRule="auto"/>
              <w:jc w:val="center"/>
              <w:rPr>
                <w:rFonts w:eastAsia="Times New Roman" w:cs="Calibri"/>
              </w:rPr>
            </w:pPr>
          </w:p>
        </w:tc>
        <w:tc>
          <w:tcPr>
            <w:tcW w:w="420" w:type="dxa"/>
            <w:tcBorders>
              <w:top w:val="nil"/>
              <w:left w:val="nil"/>
              <w:bottom w:val="nil"/>
              <w:right w:val="nil"/>
            </w:tcBorders>
            <w:shd w:val="clear" w:color="auto" w:fill="auto"/>
            <w:noWrap/>
            <w:vAlign w:val="bottom"/>
            <w:hideMark/>
          </w:tcPr>
          <w:p w14:paraId="0D94781E"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13D0D877"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4E0CFE3C"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638215B1"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10871599"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29545072"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229EF24B" w14:textId="77777777" w:rsidR="00C03409" w:rsidRPr="00C03409" w:rsidRDefault="00C03409" w:rsidP="00C03409">
            <w:pPr>
              <w:spacing w:after="0" w:line="240" w:lineRule="auto"/>
              <w:rPr>
                <w:rFonts w:ascii="Times New Roman" w:eastAsia="Times New Roman" w:hAnsi="Times New Roman" w:cs="Times New Roman"/>
                <w:sz w:val="20"/>
                <w:szCs w:val="20"/>
              </w:rPr>
            </w:pPr>
          </w:p>
        </w:tc>
      </w:tr>
      <w:tr w:rsidR="00C03409" w:rsidRPr="00C03409" w14:paraId="095D1D5F" w14:textId="77777777" w:rsidTr="00FB0051">
        <w:trPr>
          <w:trHeight w:val="285"/>
          <w:jc w:val="center"/>
        </w:trPr>
        <w:tc>
          <w:tcPr>
            <w:tcW w:w="487" w:type="dxa"/>
            <w:tcBorders>
              <w:top w:val="nil"/>
              <w:left w:val="nil"/>
              <w:bottom w:val="nil"/>
              <w:right w:val="nil"/>
            </w:tcBorders>
            <w:shd w:val="clear" w:color="auto" w:fill="auto"/>
            <w:noWrap/>
            <w:vAlign w:val="bottom"/>
            <w:hideMark/>
          </w:tcPr>
          <w:p w14:paraId="180764D4"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6EB3CCCA"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02C44EEF"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4014C984"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7883AA9D"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6E353BD3"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0B44F1FC"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6F040C69" w14:textId="77777777" w:rsidR="00C03409" w:rsidRPr="00C03409" w:rsidRDefault="00C03409" w:rsidP="00C03409">
            <w:pPr>
              <w:spacing w:after="0" w:line="240" w:lineRule="auto"/>
              <w:rPr>
                <w:rFonts w:ascii="Times New Roman" w:eastAsia="Times New Roman" w:hAnsi="Times New Roman" w:cs="Times New Roman"/>
                <w:sz w:val="20"/>
                <w:szCs w:val="20"/>
              </w:rPr>
            </w:pPr>
          </w:p>
        </w:tc>
      </w:tr>
      <w:tr w:rsidR="00C03409" w:rsidRPr="00C03409" w14:paraId="0C71FC7D" w14:textId="77777777" w:rsidTr="00FB0051">
        <w:trPr>
          <w:trHeight w:val="285"/>
          <w:jc w:val="center"/>
        </w:trPr>
        <w:tc>
          <w:tcPr>
            <w:tcW w:w="487" w:type="dxa"/>
            <w:tcBorders>
              <w:top w:val="nil"/>
              <w:left w:val="nil"/>
              <w:bottom w:val="nil"/>
              <w:right w:val="nil"/>
            </w:tcBorders>
            <w:shd w:val="clear" w:color="auto" w:fill="auto"/>
            <w:noWrap/>
            <w:vAlign w:val="bottom"/>
            <w:hideMark/>
          </w:tcPr>
          <w:p w14:paraId="543C777D"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2EC0D62B"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4200" w:type="dxa"/>
            <w:gridSpan w:val="6"/>
            <w:tcBorders>
              <w:top w:val="nil"/>
              <w:left w:val="nil"/>
              <w:bottom w:val="single" w:sz="4" w:space="0" w:color="auto"/>
              <w:right w:val="nil"/>
            </w:tcBorders>
            <w:shd w:val="clear" w:color="auto" w:fill="auto"/>
            <w:noWrap/>
            <w:vAlign w:val="bottom"/>
            <w:hideMark/>
          </w:tcPr>
          <w:p w14:paraId="36E50EB5"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Predicted</w:t>
            </w:r>
          </w:p>
        </w:tc>
      </w:tr>
      <w:tr w:rsidR="00C03409" w:rsidRPr="00C03409" w14:paraId="78A984A9" w14:textId="77777777" w:rsidTr="00FB0051">
        <w:trPr>
          <w:trHeight w:val="285"/>
          <w:jc w:val="center"/>
        </w:trPr>
        <w:tc>
          <w:tcPr>
            <w:tcW w:w="487" w:type="dxa"/>
            <w:tcBorders>
              <w:top w:val="nil"/>
              <w:left w:val="nil"/>
              <w:bottom w:val="nil"/>
              <w:right w:val="nil"/>
            </w:tcBorders>
            <w:shd w:val="clear" w:color="auto" w:fill="auto"/>
            <w:noWrap/>
            <w:vAlign w:val="bottom"/>
            <w:hideMark/>
          </w:tcPr>
          <w:p w14:paraId="0BF00CDF" w14:textId="77777777" w:rsidR="00C03409" w:rsidRPr="00C03409" w:rsidRDefault="00C03409" w:rsidP="00C03409">
            <w:pPr>
              <w:spacing w:after="0" w:line="240" w:lineRule="auto"/>
              <w:jc w:val="center"/>
              <w:rPr>
                <w:rFonts w:eastAsia="Times New Roman" w:cs="Calibri"/>
                <w:b/>
                <w:bCs/>
              </w:rPr>
            </w:pPr>
          </w:p>
        </w:tc>
        <w:tc>
          <w:tcPr>
            <w:tcW w:w="420" w:type="dxa"/>
            <w:tcBorders>
              <w:top w:val="nil"/>
              <w:left w:val="nil"/>
              <w:bottom w:val="single" w:sz="4" w:space="0" w:color="auto"/>
              <w:right w:val="single" w:sz="4" w:space="0" w:color="auto"/>
            </w:tcBorders>
            <w:shd w:val="clear" w:color="auto" w:fill="auto"/>
            <w:noWrap/>
            <w:vAlign w:val="bottom"/>
            <w:hideMark/>
          </w:tcPr>
          <w:p w14:paraId="132A891A" w14:textId="77777777" w:rsidR="00C03409" w:rsidRPr="00C03409" w:rsidRDefault="00C03409" w:rsidP="00C03409">
            <w:pPr>
              <w:spacing w:after="0" w:line="240" w:lineRule="auto"/>
              <w:rPr>
                <w:rFonts w:eastAsia="Times New Roman" w:cs="Calibri"/>
              </w:rPr>
            </w:pPr>
            <w:r w:rsidRPr="00C03409">
              <w:rPr>
                <w:rFonts w:eastAsia="Times New Roman" w:cs="Calibri"/>
              </w:rPr>
              <w:t> </w:t>
            </w:r>
          </w:p>
        </w:tc>
        <w:tc>
          <w:tcPr>
            <w:tcW w:w="700" w:type="dxa"/>
            <w:tcBorders>
              <w:top w:val="nil"/>
              <w:left w:val="nil"/>
              <w:bottom w:val="single" w:sz="4" w:space="0" w:color="auto"/>
              <w:right w:val="nil"/>
            </w:tcBorders>
            <w:shd w:val="clear" w:color="auto" w:fill="auto"/>
            <w:noWrap/>
            <w:vAlign w:val="bottom"/>
            <w:hideMark/>
          </w:tcPr>
          <w:p w14:paraId="61DA65DD"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1</w:t>
            </w:r>
          </w:p>
        </w:tc>
        <w:tc>
          <w:tcPr>
            <w:tcW w:w="700" w:type="dxa"/>
            <w:tcBorders>
              <w:top w:val="nil"/>
              <w:left w:val="nil"/>
              <w:bottom w:val="single" w:sz="4" w:space="0" w:color="auto"/>
              <w:right w:val="nil"/>
            </w:tcBorders>
            <w:shd w:val="clear" w:color="auto" w:fill="auto"/>
            <w:noWrap/>
            <w:vAlign w:val="bottom"/>
            <w:hideMark/>
          </w:tcPr>
          <w:p w14:paraId="1282AAB3"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2</w:t>
            </w:r>
          </w:p>
        </w:tc>
        <w:tc>
          <w:tcPr>
            <w:tcW w:w="700" w:type="dxa"/>
            <w:tcBorders>
              <w:top w:val="nil"/>
              <w:left w:val="nil"/>
              <w:bottom w:val="single" w:sz="4" w:space="0" w:color="auto"/>
              <w:right w:val="nil"/>
            </w:tcBorders>
            <w:shd w:val="clear" w:color="auto" w:fill="auto"/>
            <w:noWrap/>
            <w:vAlign w:val="bottom"/>
            <w:hideMark/>
          </w:tcPr>
          <w:p w14:paraId="39DB5F95"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3</w:t>
            </w:r>
          </w:p>
        </w:tc>
        <w:tc>
          <w:tcPr>
            <w:tcW w:w="700" w:type="dxa"/>
            <w:tcBorders>
              <w:top w:val="nil"/>
              <w:left w:val="nil"/>
              <w:bottom w:val="single" w:sz="4" w:space="0" w:color="auto"/>
              <w:right w:val="nil"/>
            </w:tcBorders>
            <w:shd w:val="clear" w:color="auto" w:fill="auto"/>
            <w:noWrap/>
            <w:vAlign w:val="bottom"/>
            <w:hideMark/>
          </w:tcPr>
          <w:p w14:paraId="2FEEA6B4"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4</w:t>
            </w:r>
          </w:p>
        </w:tc>
        <w:tc>
          <w:tcPr>
            <w:tcW w:w="700" w:type="dxa"/>
            <w:tcBorders>
              <w:top w:val="nil"/>
              <w:left w:val="nil"/>
              <w:bottom w:val="single" w:sz="4" w:space="0" w:color="auto"/>
              <w:right w:val="nil"/>
            </w:tcBorders>
            <w:shd w:val="clear" w:color="auto" w:fill="auto"/>
            <w:noWrap/>
            <w:vAlign w:val="bottom"/>
            <w:hideMark/>
          </w:tcPr>
          <w:p w14:paraId="717E1D7B"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5</w:t>
            </w:r>
          </w:p>
        </w:tc>
        <w:tc>
          <w:tcPr>
            <w:tcW w:w="700" w:type="dxa"/>
            <w:tcBorders>
              <w:top w:val="nil"/>
              <w:left w:val="nil"/>
              <w:bottom w:val="single" w:sz="4" w:space="0" w:color="auto"/>
              <w:right w:val="single" w:sz="4" w:space="0" w:color="auto"/>
            </w:tcBorders>
            <w:shd w:val="clear" w:color="auto" w:fill="auto"/>
            <w:noWrap/>
            <w:vAlign w:val="bottom"/>
            <w:hideMark/>
          </w:tcPr>
          <w:p w14:paraId="0E3DEC93"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6</w:t>
            </w:r>
          </w:p>
        </w:tc>
      </w:tr>
      <w:tr w:rsidR="00C03409" w:rsidRPr="00C03409" w14:paraId="77992160" w14:textId="77777777" w:rsidTr="00FB0051">
        <w:trPr>
          <w:trHeight w:val="285"/>
          <w:jc w:val="center"/>
        </w:trPr>
        <w:tc>
          <w:tcPr>
            <w:tcW w:w="487" w:type="dxa"/>
            <w:vMerge w:val="restart"/>
            <w:tcBorders>
              <w:top w:val="nil"/>
              <w:left w:val="nil"/>
              <w:bottom w:val="single" w:sz="4" w:space="0" w:color="000000"/>
              <w:right w:val="single" w:sz="4" w:space="0" w:color="auto"/>
            </w:tcBorders>
            <w:shd w:val="clear" w:color="auto" w:fill="auto"/>
            <w:noWrap/>
            <w:textDirection w:val="btLr"/>
            <w:vAlign w:val="center"/>
            <w:hideMark/>
          </w:tcPr>
          <w:p w14:paraId="1A534F9E" w14:textId="77777777" w:rsidR="00C03409" w:rsidRPr="00C03409" w:rsidRDefault="00C03409" w:rsidP="008C7B1B">
            <w:pPr>
              <w:spacing w:after="0" w:line="240" w:lineRule="auto"/>
              <w:jc w:val="center"/>
              <w:rPr>
                <w:rFonts w:eastAsia="Times New Roman" w:cs="Calibri"/>
                <w:b/>
                <w:bCs/>
              </w:rPr>
            </w:pPr>
            <w:r w:rsidRPr="00C03409">
              <w:rPr>
                <w:rFonts w:eastAsia="Times New Roman" w:cs="Calibri"/>
                <w:b/>
                <w:bCs/>
              </w:rPr>
              <w:t>Actual</w:t>
            </w:r>
          </w:p>
        </w:tc>
        <w:tc>
          <w:tcPr>
            <w:tcW w:w="420" w:type="dxa"/>
            <w:tcBorders>
              <w:top w:val="nil"/>
              <w:left w:val="nil"/>
              <w:bottom w:val="nil"/>
              <w:right w:val="single" w:sz="4" w:space="0" w:color="auto"/>
            </w:tcBorders>
            <w:shd w:val="clear" w:color="auto" w:fill="auto"/>
            <w:noWrap/>
            <w:vAlign w:val="bottom"/>
            <w:hideMark/>
          </w:tcPr>
          <w:p w14:paraId="09221C92"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1</w:t>
            </w:r>
          </w:p>
        </w:tc>
        <w:tc>
          <w:tcPr>
            <w:tcW w:w="700" w:type="dxa"/>
            <w:tcBorders>
              <w:top w:val="nil"/>
              <w:left w:val="nil"/>
              <w:bottom w:val="nil"/>
              <w:right w:val="nil"/>
            </w:tcBorders>
            <w:shd w:val="clear" w:color="000000" w:fill="B4C6E7"/>
            <w:noWrap/>
            <w:vAlign w:val="bottom"/>
            <w:hideMark/>
          </w:tcPr>
          <w:p w14:paraId="7CAEBB0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564A8311"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0392F693"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380A1F3F"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775D966A"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5C605B3D"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78DB2033" w14:textId="77777777" w:rsidTr="00FB0051">
        <w:trPr>
          <w:trHeight w:val="285"/>
          <w:jc w:val="center"/>
        </w:trPr>
        <w:tc>
          <w:tcPr>
            <w:tcW w:w="487" w:type="dxa"/>
            <w:vMerge/>
            <w:tcBorders>
              <w:top w:val="nil"/>
              <w:left w:val="nil"/>
              <w:bottom w:val="single" w:sz="4" w:space="0" w:color="000000"/>
              <w:right w:val="single" w:sz="4" w:space="0" w:color="auto"/>
            </w:tcBorders>
            <w:vAlign w:val="center"/>
            <w:hideMark/>
          </w:tcPr>
          <w:p w14:paraId="48A2677F"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19694449"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2</w:t>
            </w:r>
          </w:p>
        </w:tc>
        <w:tc>
          <w:tcPr>
            <w:tcW w:w="700" w:type="dxa"/>
            <w:tcBorders>
              <w:top w:val="nil"/>
              <w:left w:val="nil"/>
              <w:bottom w:val="nil"/>
              <w:right w:val="nil"/>
            </w:tcBorders>
            <w:shd w:val="clear" w:color="auto" w:fill="auto"/>
            <w:noWrap/>
            <w:vAlign w:val="bottom"/>
            <w:hideMark/>
          </w:tcPr>
          <w:p w14:paraId="766D737E"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000000" w:fill="B4C6E7"/>
            <w:noWrap/>
            <w:vAlign w:val="bottom"/>
            <w:hideMark/>
          </w:tcPr>
          <w:p w14:paraId="5FF493D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44D8B509"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48A605DE"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243BE932"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296DEAF2"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386FA2CF" w14:textId="77777777" w:rsidTr="00FB0051">
        <w:trPr>
          <w:trHeight w:val="285"/>
          <w:jc w:val="center"/>
        </w:trPr>
        <w:tc>
          <w:tcPr>
            <w:tcW w:w="487" w:type="dxa"/>
            <w:vMerge/>
            <w:tcBorders>
              <w:top w:val="nil"/>
              <w:left w:val="nil"/>
              <w:bottom w:val="single" w:sz="4" w:space="0" w:color="000000"/>
              <w:right w:val="single" w:sz="4" w:space="0" w:color="auto"/>
            </w:tcBorders>
            <w:vAlign w:val="center"/>
            <w:hideMark/>
          </w:tcPr>
          <w:p w14:paraId="096F4003"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0BF773C2"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3</w:t>
            </w:r>
          </w:p>
        </w:tc>
        <w:tc>
          <w:tcPr>
            <w:tcW w:w="700" w:type="dxa"/>
            <w:tcBorders>
              <w:top w:val="nil"/>
              <w:left w:val="nil"/>
              <w:bottom w:val="nil"/>
              <w:right w:val="nil"/>
            </w:tcBorders>
            <w:shd w:val="clear" w:color="auto" w:fill="auto"/>
            <w:noWrap/>
            <w:vAlign w:val="bottom"/>
            <w:hideMark/>
          </w:tcPr>
          <w:p w14:paraId="2F208396"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0D64EE7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000000" w:fill="B4C6E7"/>
            <w:noWrap/>
            <w:vAlign w:val="bottom"/>
            <w:hideMark/>
          </w:tcPr>
          <w:p w14:paraId="741DA81E"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30C77305"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6E9464D9"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4DEDD776"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583BD180" w14:textId="77777777" w:rsidTr="00FB0051">
        <w:trPr>
          <w:trHeight w:val="285"/>
          <w:jc w:val="center"/>
        </w:trPr>
        <w:tc>
          <w:tcPr>
            <w:tcW w:w="487" w:type="dxa"/>
            <w:vMerge/>
            <w:tcBorders>
              <w:top w:val="nil"/>
              <w:left w:val="nil"/>
              <w:bottom w:val="single" w:sz="4" w:space="0" w:color="000000"/>
              <w:right w:val="single" w:sz="4" w:space="0" w:color="auto"/>
            </w:tcBorders>
            <w:vAlign w:val="center"/>
            <w:hideMark/>
          </w:tcPr>
          <w:p w14:paraId="2DC5A9FB"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1316C04D"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4</w:t>
            </w:r>
          </w:p>
        </w:tc>
        <w:tc>
          <w:tcPr>
            <w:tcW w:w="700" w:type="dxa"/>
            <w:tcBorders>
              <w:top w:val="nil"/>
              <w:left w:val="nil"/>
              <w:bottom w:val="nil"/>
              <w:right w:val="nil"/>
            </w:tcBorders>
            <w:shd w:val="clear" w:color="auto" w:fill="auto"/>
            <w:noWrap/>
            <w:vAlign w:val="bottom"/>
            <w:hideMark/>
          </w:tcPr>
          <w:p w14:paraId="6ADC13B3"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17ECB00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6E2A4CC4"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000000" w:fill="B4C6E7"/>
            <w:noWrap/>
            <w:vAlign w:val="bottom"/>
            <w:hideMark/>
          </w:tcPr>
          <w:p w14:paraId="67CFF2F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2FA7C53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single" w:sz="4" w:space="0" w:color="auto"/>
            </w:tcBorders>
            <w:shd w:val="clear" w:color="auto" w:fill="auto"/>
            <w:noWrap/>
            <w:vAlign w:val="bottom"/>
            <w:hideMark/>
          </w:tcPr>
          <w:p w14:paraId="5245BBA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047D2397" w14:textId="77777777" w:rsidTr="00FB0051">
        <w:trPr>
          <w:trHeight w:val="285"/>
          <w:jc w:val="center"/>
        </w:trPr>
        <w:tc>
          <w:tcPr>
            <w:tcW w:w="487" w:type="dxa"/>
            <w:vMerge/>
            <w:tcBorders>
              <w:top w:val="nil"/>
              <w:left w:val="nil"/>
              <w:bottom w:val="single" w:sz="4" w:space="0" w:color="000000"/>
              <w:right w:val="single" w:sz="4" w:space="0" w:color="auto"/>
            </w:tcBorders>
            <w:vAlign w:val="center"/>
            <w:hideMark/>
          </w:tcPr>
          <w:p w14:paraId="09E0F651" w14:textId="77777777" w:rsidR="00C03409" w:rsidRPr="00C03409" w:rsidRDefault="00C03409" w:rsidP="00C03409">
            <w:pPr>
              <w:spacing w:after="0" w:line="240" w:lineRule="auto"/>
              <w:rPr>
                <w:rFonts w:eastAsia="Times New Roman" w:cs="Calibri"/>
                <w:b/>
                <w:bCs/>
              </w:rPr>
            </w:pPr>
          </w:p>
        </w:tc>
        <w:tc>
          <w:tcPr>
            <w:tcW w:w="420" w:type="dxa"/>
            <w:tcBorders>
              <w:top w:val="nil"/>
              <w:left w:val="nil"/>
              <w:right w:val="single" w:sz="4" w:space="0" w:color="auto"/>
            </w:tcBorders>
            <w:shd w:val="clear" w:color="auto" w:fill="auto"/>
            <w:noWrap/>
            <w:vAlign w:val="bottom"/>
            <w:hideMark/>
          </w:tcPr>
          <w:p w14:paraId="16563A99"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5</w:t>
            </w:r>
          </w:p>
        </w:tc>
        <w:tc>
          <w:tcPr>
            <w:tcW w:w="700" w:type="dxa"/>
            <w:tcBorders>
              <w:top w:val="nil"/>
              <w:left w:val="nil"/>
              <w:right w:val="nil"/>
            </w:tcBorders>
            <w:shd w:val="clear" w:color="auto" w:fill="auto"/>
            <w:noWrap/>
            <w:vAlign w:val="bottom"/>
            <w:hideMark/>
          </w:tcPr>
          <w:p w14:paraId="0512C9C4"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right w:val="nil"/>
            </w:tcBorders>
            <w:shd w:val="clear" w:color="auto" w:fill="auto"/>
            <w:noWrap/>
            <w:vAlign w:val="bottom"/>
            <w:hideMark/>
          </w:tcPr>
          <w:p w14:paraId="3CD310F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right w:val="nil"/>
            </w:tcBorders>
            <w:shd w:val="clear" w:color="auto" w:fill="auto"/>
            <w:noWrap/>
            <w:vAlign w:val="bottom"/>
            <w:hideMark/>
          </w:tcPr>
          <w:p w14:paraId="083D8B87"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right w:val="nil"/>
            </w:tcBorders>
            <w:shd w:val="clear" w:color="auto" w:fill="auto"/>
            <w:noWrap/>
            <w:vAlign w:val="bottom"/>
            <w:hideMark/>
          </w:tcPr>
          <w:p w14:paraId="3C1E6055"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right w:val="nil"/>
            </w:tcBorders>
            <w:shd w:val="clear" w:color="000000" w:fill="B4C6E7"/>
            <w:noWrap/>
            <w:vAlign w:val="bottom"/>
            <w:hideMark/>
          </w:tcPr>
          <w:p w14:paraId="74626FBF"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right w:val="single" w:sz="4" w:space="0" w:color="auto"/>
            </w:tcBorders>
            <w:shd w:val="clear" w:color="auto" w:fill="auto"/>
            <w:noWrap/>
            <w:vAlign w:val="bottom"/>
            <w:hideMark/>
          </w:tcPr>
          <w:p w14:paraId="7F65EE8A"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r>
      <w:tr w:rsidR="00C03409" w:rsidRPr="00C03409" w14:paraId="6206BA73" w14:textId="77777777" w:rsidTr="00FB0051">
        <w:trPr>
          <w:trHeight w:val="285"/>
          <w:jc w:val="center"/>
        </w:trPr>
        <w:tc>
          <w:tcPr>
            <w:tcW w:w="487" w:type="dxa"/>
            <w:vMerge/>
            <w:tcBorders>
              <w:top w:val="nil"/>
              <w:left w:val="nil"/>
              <w:bottom w:val="single" w:sz="4" w:space="0" w:color="auto"/>
              <w:right w:val="single" w:sz="4" w:space="0" w:color="auto"/>
            </w:tcBorders>
            <w:vAlign w:val="center"/>
            <w:hideMark/>
          </w:tcPr>
          <w:p w14:paraId="4FCB0A48"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single" w:sz="4" w:space="0" w:color="auto"/>
              <w:right w:val="single" w:sz="4" w:space="0" w:color="auto"/>
            </w:tcBorders>
            <w:shd w:val="clear" w:color="auto" w:fill="auto"/>
            <w:noWrap/>
            <w:vAlign w:val="bottom"/>
            <w:hideMark/>
          </w:tcPr>
          <w:p w14:paraId="3B564F5D"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6</w:t>
            </w:r>
          </w:p>
        </w:tc>
        <w:tc>
          <w:tcPr>
            <w:tcW w:w="700" w:type="dxa"/>
            <w:tcBorders>
              <w:top w:val="nil"/>
              <w:left w:val="nil"/>
              <w:bottom w:val="single" w:sz="4" w:space="0" w:color="auto"/>
              <w:right w:val="nil"/>
            </w:tcBorders>
            <w:shd w:val="clear" w:color="auto" w:fill="auto"/>
            <w:noWrap/>
            <w:vAlign w:val="bottom"/>
            <w:hideMark/>
          </w:tcPr>
          <w:p w14:paraId="792F6924"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2AE1796C"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26FBFB14"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2BDBF5C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306F852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single" w:sz="4" w:space="0" w:color="auto"/>
              <w:right w:val="single" w:sz="4" w:space="0" w:color="auto"/>
            </w:tcBorders>
            <w:shd w:val="clear" w:color="000000" w:fill="B4C6E7"/>
            <w:noWrap/>
            <w:vAlign w:val="bottom"/>
            <w:hideMark/>
          </w:tcPr>
          <w:p w14:paraId="415481DC"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r>
      <w:tr w:rsidR="008C7B1B" w:rsidRPr="00C03409" w14:paraId="3A0763F9" w14:textId="77777777" w:rsidTr="00FB0051">
        <w:trPr>
          <w:trHeight w:val="285"/>
          <w:jc w:val="center"/>
        </w:trPr>
        <w:tc>
          <w:tcPr>
            <w:tcW w:w="5107" w:type="dxa"/>
            <w:gridSpan w:val="8"/>
            <w:tcBorders>
              <w:top w:val="single" w:sz="4" w:space="0" w:color="auto"/>
              <w:left w:val="nil"/>
              <w:bottom w:val="single" w:sz="4" w:space="0" w:color="auto"/>
            </w:tcBorders>
            <w:vAlign w:val="center"/>
          </w:tcPr>
          <w:p w14:paraId="207D58BD" w14:textId="77777777" w:rsidR="008C7B1B" w:rsidRDefault="008C7B1B" w:rsidP="008C7B1B">
            <w:pPr>
              <w:spacing w:after="0" w:line="240" w:lineRule="auto"/>
              <w:rPr>
                <w:rFonts w:eastAsia="Times New Roman" w:cs="Calibri"/>
                <w:sz w:val="20"/>
                <w:szCs w:val="20"/>
              </w:rPr>
            </w:pPr>
            <w:r>
              <w:rPr>
                <w:rFonts w:eastAsia="Times New Roman" w:cs="Calibri"/>
                <w:sz w:val="20"/>
                <w:szCs w:val="20"/>
              </w:rPr>
              <w:t>Weight matrices are multiplied element-wise with the confusion matrix to produce a count of “accurate” predictions.</w:t>
            </w:r>
          </w:p>
          <w:p w14:paraId="4D78AA64" w14:textId="77777777" w:rsidR="008C7B1B" w:rsidRDefault="008C7B1B" w:rsidP="008C7B1B">
            <w:pPr>
              <w:spacing w:after="0" w:line="240" w:lineRule="auto"/>
              <w:rPr>
                <w:rFonts w:eastAsia="Times New Roman" w:cs="Calibri"/>
                <w:sz w:val="20"/>
                <w:szCs w:val="20"/>
              </w:rPr>
            </w:pPr>
            <w:r>
              <w:rPr>
                <w:rFonts w:eastAsia="Times New Roman" w:cs="Calibri"/>
                <w:sz w:val="20"/>
                <w:szCs w:val="20"/>
              </w:rPr>
              <w:t>Top: Exact matching.</w:t>
            </w:r>
          </w:p>
          <w:p w14:paraId="5BA3E7FB" w14:textId="2138A515" w:rsidR="008C7B1B" w:rsidRPr="008C7B1B" w:rsidRDefault="008C7B1B" w:rsidP="008C7B1B">
            <w:pPr>
              <w:spacing w:after="0" w:line="240" w:lineRule="auto"/>
              <w:rPr>
                <w:rFonts w:eastAsia="Times New Roman" w:cs="Calibri"/>
                <w:sz w:val="20"/>
                <w:szCs w:val="20"/>
              </w:rPr>
            </w:pPr>
            <w:r>
              <w:rPr>
                <w:rFonts w:eastAsia="Times New Roman" w:cs="Calibri"/>
                <w:sz w:val="20"/>
                <w:szCs w:val="20"/>
              </w:rPr>
              <w:t>Bottom: “Within-one” matching.</w:t>
            </w:r>
          </w:p>
        </w:tc>
      </w:tr>
    </w:tbl>
    <w:p w14:paraId="3ECBDAD6" w14:textId="77777777" w:rsidR="0079426C" w:rsidRDefault="0079426C" w:rsidP="00404B71"/>
    <w:p w14:paraId="0E912EED" w14:textId="61C928CE" w:rsidR="00C03409" w:rsidRDefault="0079426C" w:rsidP="00404B71">
      <w:r>
        <w:t>Note that weighting is highly flexible, in that customized weights can be assigned as appropriate.  For example, if stakeholders find over-prediction acceptable but not under-prediction, weights can be assigned to reflect this; weights can be made to decline as predicted values get farther away from actual values; and so on.</w:t>
      </w:r>
    </w:p>
    <w:p w14:paraId="677B60B4" w14:textId="4CB94922" w:rsidR="00C8009A" w:rsidRDefault="00C8009A">
      <w:r>
        <w:br w:type="page"/>
      </w:r>
    </w:p>
    <w:p w14:paraId="52112DB1" w14:textId="77777777" w:rsidR="007621E0" w:rsidRDefault="007621E0" w:rsidP="00E547E5">
      <w:pPr>
        <w:pStyle w:val="Heading2"/>
        <w:sectPr w:rsidR="007621E0" w:rsidSect="003F4F87">
          <w:pgSz w:w="12240" w:h="15840"/>
          <w:pgMar w:top="1440" w:right="1440" w:bottom="1440" w:left="1440" w:header="720" w:footer="720" w:gutter="0"/>
          <w:cols w:space="720"/>
          <w:docGrid w:linePitch="360"/>
        </w:sectPr>
      </w:pPr>
    </w:p>
    <w:p w14:paraId="4AB6A8FC" w14:textId="77777777" w:rsidR="007621E0" w:rsidRDefault="007621E0" w:rsidP="007621E0">
      <w:pPr>
        <w:pStyle w:val="Heading2"/>
      </w:pPr>
      <w:r>
        <w:lastRenderedPageBreak/>
        <w:t>Result Tables</w:t>
      </w:r>
    </w:p>
    <w:p w14:paraId="58FCD2A1" w14:textId="77777777" w:rsidR="007621E0" w:rsidRDefault="007621E0" w:rsidP="007621E0"/>
    <w:tbl>
      <w:tblPr>
        <w:tblW w:w="12914" w:type="dxa"/>
        <w:tblLook w:val="04A0" w:firstRow="1" w:lastRow="0" w:firstColumn="1" w:lastColumn="0" w:noHBand="0" w:noVBand="1"/>
      </w:tblPr>
      <w:tblGrid>
        <w:gridCol w:w="538"/>
        <w:gridCol w:w="699"/>
        <w:gridCol w:w="699"/>
        <w:gridCol w:w="699"/>
        <w:gridCol w:w="699"/>
        <w:gridCol w:w="222"/>
        <w:gridCol w:w="538"/>
        <w:gridCol w:w="699"/>
        <w:gridCol w:w="699"/>
        <w:gridCol w:w="699"/>
        <w:gridCol w:w="699"/>
        <w:gridCol w:w="222"/>
        <w:gridCol w:w="538"/>
        <w:gridCol w:w="699"/>
        <w:gridCol w:w="699"/>
        <w:gridCol w:w="699"/>
        <w:gridCol w:w="699"/>
        <w:gridCol w:w="222"/>
        <w:gridCol w:w="538"/>
        <w:gridCol w:w="854"/>
        <w:gridCol w:w="854"/>
      </w:tblGrid>
      <w:tr w:rsidR="007621E0" w:rsidRPr="00B87E87" w14:paraId="2B84D5C7" w14:textId="77777777" w:rsidTr="00E420DC">
        <w:trPr>
          <w:trHeight w:val="270"/>
        </w:trPr>
        <w:tc>
          <w:tcPr>
            <w:tcW w:w="12914" w:type="dxa"/>
            <w:gridSpan w:val="21"/>
            <w:tcBorders>
              <w:top w:val="nil"/>
              <w:left w:val="nil"/>
              <w:bottom w:val="single" w:sz="4" w:space="0" w:color="auto"/>
              <w:right w:val="nil"/>
            </w:tcBorders>
            <w:shd w:val="clear" w:color="auto" w:fill="auto"/>
            <w:noWrap/>
            <w:vAlign w:val="bottom"/>
          </w:tcPr>
          <w:p w14:paraId="76295A94" w14:textId="77777777" w:rsidR="007621E0" w:rsidRPr="00B87E87" w:rsidRDefault="007621E0" w:rsidP="00E420DC">
            <w:pPr>
              <w:spacing w:after="0" w:line="240" w:lineRule="auto"/>
              <w:rPr>
                <w:rFonts w:ascii="Calibri" w:eastAsia="Times New Roman" w:hAnsi="Calibri" w:cs="Calibri"/>
                <w:sz w:val="20"/>
                <w:szCs w:val="20"/>
              </w:rPr>
            </w:pPr>
            <w:r>
              <w:rPr>
                <w:rFonts w:ascii="Calibri" w:eastAsia="Times New Roman" w:hAnsi="Calibri" w:cs="Calibri"/>
                <w:sz w:val="20"/>
                <w:szCs w:val="20"/>
              </w:rPr>
              <w:t>Table A1.  Prediction accuracy statistics by model type and variable set.</w:t>
            </w:r>
          </w:p>
        </w:tc>
      </w:tr>
      <w:tr w:rsidR="007621E0" w:rsidRPr="00B87E87" w14:paraId="2F262F0D" w14:textId="77777777" w:rsidTr="00E420DC">
        <w:trPr>
          <w:trHeight w:val="270"/>
        </w:trPr>
        <w:tc>
          <w:tcPr>
            <w:tcW w:w="3334" w:type="dxa"/>
            <w:gridSpan w:val="5"/>
            <w:tcBorders>
              <w:top w:val="single" w:sz="4" w:space="0" w:color="auto"/>
              <w:left w:val="nil"/>
              <w:bottom w:val="double" w:sz="6" w:space="0" w:color="auto"/>
              <w:right w:val="nil"/>
            </w:tcBorders>
            <w:shd w:val="clear" w:color="auto" w:fill="auto"/>
            <w:noWrap/>
            <w:vAlign w:val="bottom"/>
            <w:hideMark/>
          </w:tcPr>
          <w:p w14:paraId="220A106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OLS Regression</w:t>
            </w:r>
          </w:p>
        </w:tc>
        <w:tc>
          <w:tcPr>
            <w:tcW w:w="222" w:type="dxa"/>
            <w:tcBorders>
              <w:top w:val="single" w:sz="4" w:space="0" w:color="auto"/>
              <w:left w:val="nil"/>
              <w:bottom w:val="nil"/>
              <w:right w:val="nil"/>
            </w:tcBorders>
            <w:shd w:val="clear" w:color="auto" w:fill="auto"/>
            <w:noWrap/>
            <w:vAlign w:val="bottom"/>
            <w:hideMark/>
          </w:tcPr>
          <w:p w14:paraId="77251D54"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3334" w:type="dxa"/>
            <w:gridSpan w:val="5"/>
            <w:tcBorders>
              <w:top w:val="single" w:sz="4" w:space="0" w:color="auto"/>
              <w:left w:val="nil"/>
              <w:bottom w:val="double" w:sz="6" w:space="0" w:color="auto"/>
              <w:right w:val="nil"/>
            </w:tcBorders>
            <w:shd w:val="clear" w:color="auto" w:fill="auto"/>
            <w:noWrap/>
            <w:vAlign w:val="bottom"/>
            <w:hideMark/>
          </w:tcPr>
          <w:p w14:paraId="65E329C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 xml:space="preserve">Ordered </w:t>
            </w:r>
            <w:proofErr w:type="spellStart"/>
            <w:r w:rsidRPr="00B87E87">
              <w:rPr>
                <w:rFonts w:ascii="Calibri" w:eastAsia="Times New Roman" w:hAnsi="Calibri" w:cs="Calibri"/>
                <w:sz w:val="20"/>
                <w:szCs w:val="20"/>
              </w:rPr>
              <w:t>Probit</w:t>
            </w:r>
            <w:proofErr w:type="spellEnd"/>
          </w:p>
        </w:tc>
        <w:tc>
          <w:tcPr>
            <w:tcW w:w="222" w:type="dxa"/>
            <w:tcBorders>
              <w:top w:val="single" w:sz="4" w:space="0" w:color="auto"/>
              <w:left w:val="nil"/>
              <w:bottom w:val="nil"/>
              <w:right w:val="nil"/>
            </w:tcBorders>
            <w:shd w:val="clear" w:color="auto" w:fill="auto"/>
            <w:noWrap/>
            <w:vAlign w:val="bottom"/>
            <w:hideMark/>
          </w:tcPr>
          <w:p w14:paraId="56C5D64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3334" w:type="dxa"/>
            <w:gridSpan w:val="5"/>
            <w:tcBorders>
              <w:top w:val="single" w:sz="4" w:space="0" w:color="auto"/>
              <w:left w:val="nil"/>
              <w:bottom w:val="double" w:sz="6" w:space="0" w:color="auto"/>
              <w:right w:val="nil"/>
            </w:tcBorders>
            <w:shd w:val="clear" w:color="auto" w:fill="auto"/>
            <w:noWrap/>
            <w:vAlign w:val="bottom"/>
            <w:hideMark/>
          </w:tcPr>
          <w:p w14:paraId="7EB9998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Multinomial Logistic</w:t>
            </w:r>
          </w:p>
        </w:tc>
        <w:tc>
          <w:tcPr>
            <w:tcW w:w="222" w:type="dxa"/>
            <w:tcBorders>
              <w:top w:val="single" w:sz="4" w:space="0" w:color="auto"/>
              <w:left w:val="nil"/>
              <w:bottom w:val="nil"/>
              <w:right w:val="nil"/>
            </w:tcBorders>
            <w:shd w:val="clear" w:color="auto" w:fill="auto"/>
            <w:noWrap/>
            <w:vAlign w:val="bottom"/>
            <w:hideMark/>
          </w:tcPr>
          <w:p w14:paraId="3144FF42"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2246" w:type="dxa"/>
            <w:gridSpan w:val="3"/>
            <w:tcBorders>
              <w:top w:val="single" w:sz="4" w:space="0" w:color="auto"/>
              <w:left w:val="nil"/>
              <w:bottom w:val="double" w:sz="6" w:space="0" w:color="auto"/>
              <w:right w:val="nil"/>
            </w:tcBorders>
            <w:shd w:val="clear" w:color="auto" w:fill="auto"/>
            <w:noWrap/>
            <w:vAlign w:val="bottom"/>
            <w:hideMark/>
          </w:tcPr>
          <w:p w14:paraId="3F0147A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S-V Machine</w:t>
            </w:r>
          </w:p>
        </w:tc>
      </w:tr>
      <w:tr w:rsidR="007621E0" w:rsidRPr="00B87E87" w14:paraId="62BEEC3E" w14:textId="77777777" w:rsidTr="00E420DC">
        <w:trPr>
          <w:trHeight w:val="525"/>
        </w:trPr>
        <w:tc>
          <w:tcPr>
            <w:tcW w:w="538" w:type="dxa"/>
            <w:tcBorders>
              <w:top w:val="nil"/>
              <w:left w:val="nil"/>
              <w:bottom w:val="nil"/>
              <w:right w:val="nil"/>
            </w:tcBorders>
            <w:shd w:val="clear" w:color="auto" w:fill="auto"/>
            <w:noWrap/>
            <w:vAlign w:val="bottom"/>
            <w:hideMark/>
          </w:tcPr>
          <w:p w14:paraId="66E7E2B5"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single" w:sz="4" w:space="0" w:color="auto"/>
              <w:right w:val="nil"/>
            </w:tcBorders>
            <w:shd w:val="clear" w:color="auto" w:fill="auto"/>
            <w:noWrap/>
            <w:vAlign w:val="bottom"/>
            <w:hideMark/>
          </w:tcPr>
          <w:p w14:paraId="68F1238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Base</w:t>
            </w:r>
          </w:p>
        </w:tc>
        <w:tc>
          <w:tcPr>
            <w:tcW w:w="699" w:type="dxa"/>
            <w:tcBorders>
              <w:top w:val="nil"/>
              <w:left w:val="nil"/>
              <w:bottom w:val="single" w:sz="4" w:space="0" w:color="auto"/>
              <w:right w:val="nil"/>
            </w:tcBorders>
            <w:shd w:val="clear" w:color="auto" w:fill="auto"/>
            <w:noWrap/>
            <w:vAlign w:val="bottom"/>
            <w:hideMark/>
          </w:tcPr>
          <w:p w14:paraId="05EDC45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Indic.</w:t>
            </w:r>
          </w:p>
        </w:tc>
        <w:tc>
          <w:tcPr>
            <w:tcW w:w="699" w:type="dxa"/>
            <w:tcBorders>
              <w:top w:val="nil"/>
              <w:left w:val="nil"/>
              <w:bottom w:val="single" w:sz="4" w:space="0" w:color="auto"/>
              <w:right w:val="nil"/>
            </w:tcBorders>
            <w:shd w:val="clear" w:color="auto" w:fill="auto"/>
            <w:noWrap/>
            <w:vAlign w:val="bottom"/>
            <w:hideMark/>
          </w:tcPr>
          <w:p w14:paraId="0D9241E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Inter.</w:t>
            </w:r>
          </w:p>
        </w:tc>
        <w:tc>
          <w:tcPr>
            <w:tcW w:w="699" w:type="dxa"/>
            <w:tcBorders>
              <w:top w:val="nil"/>
              <w:left w:val="nil"/>
              <w:bottom w:val="single" w:sz="4" w:space="0" w:color="auto"/>
              <w:right w:val="nil"/>
            </w:tcBorders>
            <w:shd w:val="clear" w:color="auto" w:fill="auto"/>
            <w:noWrap/>
            <w:vAlign w:val="bottom"/>
            <w:hideMark/>
          </w:tcPr>
          <w:p w14:paraId="3EF818C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Poly.</w:t>
            </w:r>
          </w:p>
        </w:tc>
        <w:tc>
          <w:tcPr>
            <w:tcW w:w="222" w:type="dxa"/>
            <w:tcBorders>
              <w:top w:val="nil"/>
              <w:left w:val="nil"/>
              <w:bottom w:val="nil"/>
              <w:right w:val="nil"/>
            </w:tcBorders>
            <w:shd w:val="clear" w:color="auto" w:fill="auto"/>
            <w:noWrap/>
            <w:vAlign w:val="bottom"/>
            <w:hideMark/>
          </w:tcPr>
          <w:p w14:paraId="4EDAA76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55463CC"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auto" w:fill="auto"/>
            <w:noWrap/>
            <w:vAlign w:val="bottom"/>
            <w:hideMark/>
          </w:tcPr>
          <w:p w14:paraId="018552F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Base</w:t>
            </w:r>
          </w:p>
        </w:tc>
        <w:tc>
          <w:tcPr>
            <w:tcW w:w="699" w:type="dxa"/>
            <w:tcBorders>
              <w:top w:val="nil"/>
              <w:left w:val="nil"/>
              <w:bottom w:val="single" w:sz="4" w:space="0" w:color="auto"/>
              <w:right w:val="nil"/>
            </w:tcBorders>
            <w:shd w:val="clear" w:color="auto" w:fill="auto"/>
            <w:noWrap/>
            <w:vAlign w:val="bottom"/>
            <w:hideMark/>
          </w:tcPr>
          <w:p w14:paraId="72CD917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Indic.</w:t>
            </w:r>
          </w:p>
        </w:tc>
        <w:tc>
          <w:tcPr>
            <w:tcW w:w="699" w:type="dxa"/>
            <w:tcBorders>
              <w:top w:val="nil"/>
              <w:left w:val="nil"/>
              <w:bottom w:val="single" w:sz="4" w:space="0" w:color="auto"/>
              <w:right w:val="nil"/>
            </w:tcBorders>
            <w:shd w:val="clear" w:color="auto" w:fill="auto"/>
            <w:noWrap/>
            <w:vAlign w:val="bottom"/>
            <w:hideMark/>
          </w:tcPr>
          <w:p w14:paraId="535389F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Inter.</w:t>
            </w:r>
          </w:p>
        </w:tc>
        <w:tc>
          <w:tcPr>
            <w:tcW w:w="699" w:type="dxa"/>
            <w:tcBorders>
              <w:top w:val="nil"/>
              <w:left w:val="nil"/>
              <w:bottom w:val="single" w:sz="4" w:space="0" w:color="auto"/>
              <w:right w:val="nil"/>
            </w:tcBorders>
            <w:shd w:val="clear" w:color="auto" w:fill="auto"/>
            <w:noWrap/>
            <w:vAlign w:val="bottom"/>
            <w:hideMark/>
          </w:tcPr>
          <w:p w14:paraId="46E052B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Poly.</w:t>
            </w:r>
          </w:p>
        </w:tc>
        <w:tc>
          <w:tcPr>
            <w:tcW w:w="222" w:type="dxa"/>
            <w:tcBorders>
              <w:top w:val="nil"/>
              <w:left w:val="nil"/>
              <w:bottom w:val="nil"/>
              <w:right w:val="nil"/>
            </w:tcBorders>
            <w:shd w:val="clear" w:color="auto" w:fill="auto"/>
            <w:noWrap/>
            <w:vAlign w:val="bottom"/>
            <w:hideMark/>
          </w:tcPr>
          <w:p w14:paraId="26D1569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7F30C0F"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auto" w:fill="auto"/>
            <w:noWrap/>
            <w:vAlign w:val="bottom"/>
            <w:hideMark/>
          </w:tcPr>
          <w:p w14:paraId="5222804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Base</w:t>
            </w:r>
          </w:p>
        </w:tc>
        <w:tc>
          <w:tcPr>
            <w:tcW w:w="699" w:type="dxa"/>
            <w:tcBorders>
              <w:top w:val="nil"/>
              <w:left w:val="nil"/>
              <w:bottom w:val="single" w:sz="4" w:space="0" w:color="auto"/>
              <w:right w:val="nil"/>
            </w:tcBorders>
            <w:shd w:val="clear" w:color="auto" w:fill="auto"/>
            <w:noWrap/>
            <w:vAlign w:val="bottom"/>
            <w:hideMark/>
          </w:tcPr>
          <w:p w14:paraId="10A0F68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Indic.</w:t>
            </w:r>
          </w:p>
        </w:tc>
        <w:tc>
          <w:tcPr>
            <w:tcW w:w="699" w:type="dxa"/>
            <w:tcBorders>
              <w:top w:val="nil"/>
              <w:left w:val="nil"/>
              <w:bottom w:val="single" w:sz="4" w:space="0" w:color="auto"/>
              <w:right w:val="nil"/>
            </w:tcBorders>
            <w:shd w:val="clear" w:color="auto" w:fill="auto"/>
            <w:noWrap/>
            <w:vAlign w:val="bottom"/>
            <w:hideMark/>
          </w:tcPr>
          <w:p w14:paraId="0A1F13E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Inter.</w:t>
            </w:r>
          </w:p>
        </w:tc>
        <w:tc>
          <w:tcPr>
            <w:tcW w:w="699" w:type="dxa"/>
            <w:tcBorders>
              <w:top w:val="nil"/>
              <w:left w:val="nil"/>
              <w:bottom w:val="single" w:sz="4" w:space="0" w:color="auto"/>
              <w:right w:val="nil"/>
            </w:tcBorders>
            <w:shd w:val="clear" w:color="auto" w:fill="auto"/>
            <w:noWrap/>
            <w:vAlign w:val="bottom"/>
            <w:hideMark/>
          </w:tcPr>
          <w:p w14:paraId="654B63D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Poly.</w:t>
            </w:r>
          </w:p>
        </w:tc>
        <w:tc>
          <w:tcPr>
            <w:tcW w:w="222" w:type="dxa"/>
            <w:tcBorders>
              <w:top w:val="nil"/>
              <w:left w:val="nil"/>
              <w:bottom w:val="nil"/>
              <w:right w:val="nil"/>
            </w:tcBorders>
            <w:shd w:val="clear" w:color="auto" w:fill="auto"/>
            <w:noWrap/>
            <w:vAlign w:val="bottom"/>
            <w:hideMark/>
          </w:tcPr>
          <w:p w14:paraId="1842815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A694DC2"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single" w:sz="4" w:space="0" w:color="auto"/>
              <w:right w:val="nil"/>
            </w:tcBorders>
            <w:shd w:val="clear" w:color="auto" w:fill="auto"/>
            <w:vAlign w:val="bottom"/>
            <w:hideMark/>
          </w:tcPr>
          <w:p w14:paraId="44D8F32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Gamma 0.05</w:t>
            </w:r>
          </w:p>
        </w:tc>
        <w:tc>
          <w:tcPr>
            <w:tcW w:w="854" w:type="dxa"/>
            <w:tcBorders>
              <w:top w:val="nil"/>
              <w:left w:val="nil"/>
              <w:bottom w:val="single" w:sz="4" w:space="0" w:color="auto"/>
              <w:right w:val="nil"/>
            </w:tcBorders>
            <w:shd w:val="clear" w:color="auto" w:fill="auto"/>
            <w:vAlign w:val="bottom"/>
            <w:hideMark/>
          </w:tcPr>
          <w:p w14:paraId="51F5EE2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Gamma 0.25</w:t>
            </w:r>
          </w:p>
        </w:tc>
      </w:tr>
      <w:tr w:rsidR="007621E0" w:rsidRPr="00B87E87" w14:paraId="59AFCBA5" w14:textId="77777777" w:rsidTr="00E420DC">
        <w:trPr>
          <w:trHeight w:val="255"/>
        </w:trPr>
        <w:tc>
          <w:tcPr>
            <w:tcW w:w="538" w:type="dxa"/>
            <w:tcBorders>
              <w:top w:val="nil"/>
              <w:left w:val="nil"/>
              <w:bottom w:val="single" w:sz="4" w:space="0" w:color="auto"/>
              <w:right w:val="nil"/>
            </w:tcBorders>
            <w:shd w:val="clear" w:color="auto" w:fill="auto"/>
            <w:noWrap/>
            <w:vAlign w:val="bottom"/>
            <w:hideMark/>
          </w:tcPr>
          <w:p w14:paraId="5179F3B1" w14:textId="77777777" w:rsidR="007621E0" w:rsidRPr="00B87E87" w:rsidRDefault="007621E0" w:rsidP="00E420DC">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2796" w:type="dxa"/>
            <w:gridSpan w:val="4"/>
            <w:tcBorders>
              <w:top w:val="nil"/>
              <w:left w:val="nil"/>
              <w:bottom w:val="single" w:sz="4" w:space="0" w:color="auto"/>
              <w:right w:val="nil"/>
            </w:tcBorders>
            <w:shd w:val="clear" w:color="auto" w:fill="auto"/>
            <w:noWrap/>
            <w:vAlign w:val="bottom"/>
            <w:hideMark/>
          </w:tcPr>
          <w:p w14:paraId="4E86C01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228416B0"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406719BB" w14:textId="77777777" w:rsidR="007621E0" w:rsidRPr="00B87E87" w:rsidRDefault="007621E0" w:rsidP="00E420DC">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2796" w:type="dxa"/>
            <w:gridSpan w:val="4"/>
            <w:tcBorders>
              <w:top w:val="nil"/>
              <w:left w:val="nil"/>
              <w:bottom w:val="single" w:sz="4" w:space="0" w:color="auto"/>
              <w:right w:val="nil"/>
            </w:tcBorders>
            <w:shd w:val="clear" w:color="auto" w:fill="auto"/>
            <w:noWrap/>
            <w:vAlign w:val="bottom"/>
            <w:hideMark/>
          </w:tcPr>
          <w:p w14:paraId="4E52F2D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5F3A64F6"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5E40292D" w14:textId="77777777" w:rsidR="007621E0" w:rsidRPr="00B87E87" w:rsidRDefault="007621E0" w:rsidP="00E420DC">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2796" w:type="dxa"/>
            <w:gridSpan w:val="4"/>
            <w:tcBorders>
              <w:top w:val="nil"/>
              <w:left w:val="nil"/>
              <w:bottom w:val="single" w:sz="4" w:space="0" w:color="auto"/>
              <w:right w:val="nil"/>
            </w:tcBorders>
            <w:shd w:val="clear" w:color="auto" w:fill="auto"/>
            <w:noWrap/>
            <w:vAlign w:val="bottom"/>
            <w:hideMark/>
          </w:tcPr>
          <w:p w14:paraId="5E788E3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51F3EEC0"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161B2CBF" w14:textId="77777777" w:rsidR="007621E0" w:rsidRPr="00B87E87" w:rsidRDefault="007621E0" w:rsidP="00E420DC">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1708" w:type="dxa"/>
            <w:gridSpan w:val="2"/>
            <w:tcBorders>
              <w:top w:val="nil"/>
              <w:left w:val="nil"/>
              <w:bottom w:val="single" w:sz="4" w:space="0" w:color="auto"/>
              <w:right w:val="nil"/>
            </w:tcBorders>
            <w:shd w:val="clear" w:color="auto" w:fill="auto"/>
            <w:noWrap/>
            <w:vAlign w:val="bottom"/>
            <w:hideMark/>
          </w:tcPr>
          <w:p w14:paraId="2B904B9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r>
      <w:tr w:rsidR="007621E0" w:rsidRPr="00B87E87" w14:paraId="286B2786" w14:textId="77777777" w:rsidTr="00E420DC">
        <w:trPr>
          <w:trHeight w:val="255"/>
        </w:trPr>
        <w:tc>
          <w:tcPr>
            <w:tcW w:w="538" w:type="dxa"/>
            <w:tcBorders>
              <w:top w:val="nil"/>
              <w:left w:val="nil"/>
              <w:bottom w:val="nil"/>
              <w:right w:val="nil"/>
            </w:tcBorders>
            <w:shd w:val="clear" w:color="auto" w:fill="auto"/>
            <w:noWrap/>
            <w:vAlign w:val="bottom"/>
            <w:hideMark/>
          </w:tcPr>
          <w:p w14:paraId="48246E34"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A6A6A6"/>
            <w:noWrap/>
            <w:vAlign w:val="bottom"/>
            <w:hideMark/>
          </w:tcPr>
          <w:p w14:paraId="38A4A4F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0.227</w:t>
            </w:r>
          </w:p>
        </w:tc>
        <w:tc>
          <w:tcPr>
            <w:tcW w:w="699" w:type="dxa"/>
            <w:tcBorders>
              <w:top w:val="nil"/>
              <w:left w:val="nil"/>
              <w:bottom w:val="nil"/>
              <w:right w:val="nil"/>
            </w:tcBorders>
            <w:shd w:val="clear" w:color="000000" w:fill="BABABA"/>
            <w:noWrap/>
            <w:vAlign w:val="bottom"/>
            <w:hideMark/>
          </w:tcPr>
          <w:p w14:paraId="1F5A97E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0.211</w:t>
            </w:r>
          </w:p>
        </w:tc>
        <w:tc>
          <w:tcPr>
            <w:tcW w:w="699" w:type="dxa"/>
            <w:tcBorders>
              <w:top w:val="nil"/>
              <w:left w:val="nil"/>
              <w:bottom w:val="nil"/>
              <w:right w:val="nil"/>
            </w:tcBorders>
            <w:shd w:val="clear" w:color="000000" w:fill="B0B0B0"/>
            <w:noWrap/>
            <w:vAlign w:val="bottom"/>
            <w:hideMark/>
          </w:tcPr>
          <w:p w14:paraId="7181C3B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0.219</w:t>
            </w:r>
          </w:p>
        </w:tc>
        <w:tc>
          <w:tcPr>
            <w:tcW w:w="699" w:type="dxa"/>
            <w:tcBorders>
              <w:top w:val="nil"/>
              <w:left w:val="nil"/>
              <w:bottom w:val="nil"/>
              <w:right w:val="nil"/>
            </w:tcBorders>
            <w:shd w:val="clear" w:color="000000" w:fill="FFFFFF"/>
            <w:noWrap/>
            <w:vAlign w:val="bottom"/>
            <w:hideMark/>
          </w:tcPr>
          <w:p w14:paraId="1A3E450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0.155</w:t>
            </w:r>
          </w:p>
        </w:tc>
        <w:tc>
          <w:tcPr>
            <w:tcW w:w="222" w:type="dxa"/>
            <w:tcBorders>
              <w:top w:val="nil"/>
              <w:left w:val="nil"/>
              <w:bottom w:val="nil"/>
              <w:right w:val="nil"/>
            </w:tcBorders>
            <w:shd w:val="clear" w:color="auto" w:fill="auto"/>
            <w:noWrap/>
            <w:vAlign w:val="bottom"/>
            <w:hideMark/>
          </w:tcPr>
          <w:p w14:paraId="61EB1FFE"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437362F"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A6A6A6"/>
            <w:noWrap/>
            <w:vAlign w:val="bottom"/>
            <w:hideMark/>
          </w:tcPr>
          <w:p w14:paraId="2526538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0.299</w:t>
            </w:r>
          </w:p>
        </w:tc>
        <w:tc>
          <w:tcPr>
            <w:tcW w:w="699" w:type="dxa"/>
            <w:tcBorders>
              <w:top w:val="nil"/>
              <w:left w:val="nil"/>
              <w:bottom w:val="nil"/>
              <w:right w:val="nil"/>
            </w:tcBorders>
            <w:shd w:val="clear" w:color="000000" w:fill="DADADA"/>
            <w:noWrap/>
            <w:vAlign w:val="bottom"/>
            <w:hideMark/>
          </w:tcPr>
          <w:p w14:paraId="4A606E6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0.285</w:t>
            </w:r>
          </w:p>
        </w:tc>
        <w:tc>
          <w:tcPr>
            <w:tcW w:w="699" w:type="dxa"/>
            <w:tcBorders>
              <w:top w:val="nil"/>
              <w:left w:val="nil"/>
              <w:bottom w:val="nil"/>
              <w:right w:val="nil"/>
            </w:tcBorders>
            <w:shd w:val="clear" w:color="000000" w:fill="F1F1F1"/>
            <w:noWrap/>
            <w:vAlign w:val="bottom"/>
            <w:hideMark/>
          </w:tcPr>
          <w:p w14:paraId="7078ADB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0.279</w:t>
            </w:r>
          </w:p>
        </w:tc>
        <w:tc>
          <w:tcPr>
            <w:tcW w:w="699" w:type="dxa"/>
            <w:tcBorders>
              <w:top w:val="nil"/>
              <w:left w:val="nil"/>
              <w:bottom w:val="nil"/>
              <w:right w:val="nil"/>
            </w:tcBorders>
            <w:shd w:val="clear" w:color="000000" w:fill="FFFFFF"/>
            <w:noWrap/>
            <w:vAlign w:val="bottom"/>
            <w:hideMark/>
          </w:tcPr>
          <w:p w14:paraId="60AC9A0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0.275</w:t>
            </w:r>
          </w:p>
        </w:tc>
        <w:tc>
          <w:tcPr>
            <w:tcW w:w="222" w:type="dxa"/>
            <w:tcBorders>
              <w:top w:val="nil"/>
              <w:left w:val="nil"/>
              <w:bottom w:val="nil"/>
              <w:right w:val="nil"/>
            </w:tcBorders>
            <w:shd w:val="clear" w:color="auto" w:fill="auto"/>
            <w:noWrap/>
            <w:vAlign w:val="bottom"/>
            <w:hideMark/>
          </w:tcPr>
          <w:p w14:paraId="589DA488"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2BDD2C5"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E6E6E6"/>
            <w:noWrap/>
            <w:vAlign w:val="bottom"/>
            <w:hideMark/>
          </w:tcPr>
          <w:p w14:paraId="374B8F7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0.357</w:t>
            </w:r>
          </w:p>
        </w:tc>
        <w:tc>
          <w:tcPr>
            <w:tcW w:w="699" w:type="dxa"/>
            <w:tcBorders>
              <w:top w:val="nil"/>
              <w:left w:val="nil"/>
              <w:bottom w:val="nil"/>
              <w:right w:val="nil"/>
            </w:tcBorders>
            <w:shd w:val="clear" w:color="000000" w:fill="F3F3F3"/>
            <w:noWrap/>
            <w:vAlign w:val="bottom"/>
            <w:hideMark/>
          </w:tcPr>
          <w:p w14:paraId="68CC393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0.353</w:t>
            </w:r>
          </w:p>
        </w:tc>
        <w:tc>
          <w:tcPr>
            <w:tcW w:w="699" w:type="dxa"/>
            <w:tcBorders>
              <w:top w:val="nil"/>
              <w:left w:val="nil"/>
              <w:bottom w:val="nil"/>
              <w:right w:val="nil"/>
            </w:tcBorders>
            <w:shd w:val="clear" w:color="000000" w:fill="A6A6A6"/>
            <w:noWrap/>
            <w:vAlign w:val="bottom"/>
            <w:hideMark/>
          </w:tcPr>
          <w:p w14:paraId="7DBB395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0.376</w:t>
            </w:r>
          </w:p>
        </w:tc>
        <w:tc>
          <w:tcPr>
            <w:tcW w:w="699" w:type="dxa"/>
            <w:tcBorders>
              <w:top w:val="nil"/>
              <w:left w:val="nil"/>
              <w:bottom w:val="nil"/>
              <w:right w:val="nil"/>
            </w:tcBorders>
            <w:shd w:val="clear" w:color="000000" w:fill="FFFFFF"/>
            <w:noWrap/>
            <w:vAlign w:val="bottom"/>
            <w:hideMark/>
          </w:tcPr>
          <w:p w14:paraId="1294647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0.349</w:t>
            </w:r>
          </w:p>
        </w:tc>
        <w:tc>
          <w:tcPr>
            <w:tcW w:w="222" w:type="dxa"/>
            <w:tcBorders>
              <w:top w:val="nil"/>
              <w:left w:val="nil"/>
              <w:bottom w:val="nil"/>
              <w:right w:val="nil"/>
            </w:tcBorders>
            <w:shd w:val="clear" w:color="auto" w:fill="auto"/>
            <w:noWrap/>
            <w:vAlign w:val="bottom"/>
            <w:hideMark/>
          </w:tcPr>
          <w:p w14:paraId="61DF5F14"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14F7C66"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854" w:type="dxa"/>
            <w:tcBorders>
              <w:top w:val="nil"/>
              <w:left w:val="nil"/>
              <w:bottom w:val="nil"/>
              <w:right w:val="nil"/>
            </w:tcBorders>
            <w:shd w:val="clear" w:color="000000" w:fill="FFFFFF"/>
            <w:noWrap/>
            <w:vAlign w:val="bottom"/>
            <w:hideMark/>
          </w:tcPr>
          <w:p w14:paraId="716431B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0.307</w:t>
            </w:r>
          </w:p>
        </w:tc>
        <w:tc>
          <w:tcPr>
            <w:tcW w:w="854" w:type="dxa"/>
            <w:tcBorders>
              <w:top w:val="nil"/>
              <w:left w:val="nil"/>
              <w:bottom w:val="nil"/>
              <w:right w:val="nil"/>
            </w:tcBorders>
            <w:shd w:val="clear" w:color="000000" w:fill="A6A6A6"/>
            <w:noWrap/>
            <w:vAlign w:val="bottom"/>
            <w:hideMark/>
          </w:tcPr>
          <w:p w14:paraId="2BD513F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0.345</w:t>
            </w:r>
          </w:p>
        </w:tc>
      </w:tr>
      <w:tr w:rsidR="007621E0" w:rsidRPr="00B87E87" w14:paraId="18E02E4C" w14:textId="77777777" w:rsidTr="00E420DC">
        <w:trPr>
          <w:trHeight w:val="255"/>
        </w:trPr>
        <w:tc>
          <w:tcPr>
            <w:tcW w:w="538" w:type="dxa"/>
            <w:tcBorders>
              <w:top w:val="nil"/>
              <w:left w:val="nil"/>
              <w:bottom w:val="nil"/>
              <w:right w:val="nil"/>
            </w:tcBorders>
            <w:shd w:val="clear" w:color="auto" w:fill="auto"/>
            <w:noWrap/>
            <w:vAlign w:val="bottom"/>
            <w:hideMark/>
          </w:tcPr>
          <w:p w14:paraId="31D7F5C7"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FFFFFF"/>
            <w:noWrap/>
            <w:vAlign w:val="bottom"/>
            <w:hideMark/>
          </w:tcPr>
          <w:p w14:paraId="44FCB2A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0.601</w:t>
            </w:r>
          </w:p>
        </w:tc>
        <w:tc>
          <w:tcPr>
            <w:tcW w:w="699" w:type="dxa"/>
            <w:tcBorders>
              <w:top w:val="nil"/>
              <w:left w:val="nil"/>
              <w:bottom w:val="nil"/>
              <w:right w:val="nil"/>
            </w:tcBorders>
            <w:shd w:val="clear" w:color="000000" w:fill="E9E9E9"/>
            <w:noWrap/>
            <w:vAlign w:val="bottom"/>
            <w:hideMark/>
          </w:tcPr>
          <w:p w14:paraId="2D5F797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0.614</w:t>
            </w:r>
          </w:p>
        </w:tc>
        <w:tc>
          <w:tcPr>
            <w:tcW w:w="699" w:type="dxa"/>
            <w:tcBorders>
              <w:top w:val="nil"/>
              <w:left w:val="nil"/>
              <w:bottom w:val="nil"/>
              <w:right w:val="nil"/>
            </w:tcBorders>
            <w:shd w:val="clear" w:color="000000" w:fill="A6A6A6"/>
            <w:noWrap/>
            <w:vAlign w:val="bottom"/>
            <w:hideMark/>
          </w:tcPr>
          <w:p w14:paraId="42C3327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0.651</w:t>
            </w:r>
          </w:p>
        </w:tc>
        <w:tc>
          <w:tcPr>
            <w:tcW w:w="699" w:type="dxa"/>
            <w:tcBorders>
              <w:top w:val="nil"/>
              <w:left w:val="nil"/>
              <w:bottom w:val="nil"/>
              <w:right w:val="nil"/>
            </w:tcBorders>
            <w:shd w:val="clear" w:color="000000" w:fill="B5B5B5"/>
            <w:noWrap/>
            <w:vAlign w:val="bottom"/>
            <w:hideMark/>
          </w:tcPr>
          <w:p w14:paraId="55745C4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0.643</w:t>
            </w:r>
          </w:p>
        </w:tc>
        <w:tc>
          <w:tcPr>
            <w:tcW w:w="222" w:type="dxa"/>
            <w:tcBorders>
              <w:top w:val="nil"/>
              <w:left w:val="nil"/>
              <w:bottom w:val="nil"/>
              <w:right w:val="nil"/>
            </w:tcBorders>
            <w:shd w:val="clear" w:color="auto" w:fill="auto"/>
            <w:noWrap/>
            <w:vAlign w:val="bottom"/>
            <w:hideMark/>
          </w:tcPr>
          <w:p w14:paraId="6C0496C2"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7188C9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FFFFFF"/>
            <w:noWrap/>
            <w:vAlign w:val="bottom"/>
            <w:hideMark/>
          </w:tcPr>
          <w:p w14:paraId="53D51BF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0.715</w:t>
            </w:r>
          </w:p>
        </w:tc>
        <w:tc>
          <w:tcPr>
            <w:tcW w:w="699" w:type="dxa"/>
            <w:tcBorders>
              <w:top w:val="nil"/>
              <w:left w:val="nil"/>
              <w:bottom w:val="nil"/>
              <w:right w:val="nil"/>
            </w:tcBorders>
            <w:shd w:val="clear" w:color="000000" w:fill="FAFAFA"/>
            <w:noWrap/>
            <w:vAlign w:val="bottom"/>
            <w:hideMark/>
          </w:tcPr>
          <w:p w14:paraId="319FDB8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0.717</w:t>
            </w:r>
          </w:p>
        </w:tc>
        <w:tc>
          <w:tcPr>
            <w:tcW w:w="699" w:type="dxa"/>
            <w:tcBorders>
              <w:top w:val="nil"/>
              <w:left w:val="nil"/>
              <w:bottom w:val="nil"/>
              <w:right w:val="nil"/>
            </w:tcBorders>
            <w:shd w:val="clear" w:color="000000" w:fill="A6A6A6"/>
            <w:noWrap/>
            <w:vAlign w:val="bottom"/>
            <w:hideMark/>
          </w:tcPr>
          <w:p w14:paraId="5CB4C3D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0.743</w:t>
            </w:r>
          </w:p>
        </w:tc>
        <w:tc>
          <w:tcPr>
            <w:tcW w:w="699" w:type="dxa"/>
            <w:tcBorders>
              <w:top w:val="nil"/>
              <w:left w:val="nil"/>
              <w:bottom w:val="nil"/>
              <w:right w:val="nil"/>
            </w:tcBorders>
            <w:shd w:val="clear" w:color="000000" w:fill="D7D7D7"/>
            <w:noWrap/>
            <w:vAlign w:val="bottom"/>
            <w:hideMark/>
          </w:tcPr>
          <w:p w14:paraId="1DCA297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0.728</w:t>
            </w:r>
          </w:p>
        </w:tc>
        <w:tc>
          <w:tcPr>
            <w:tcW w:w="222" w:type="dxa"/>
            <w:tcBorders>
              <w:top w:val="nil"/>
              <w:left w:val="nil"/>
              <w:bottom w:val="nil"/>
              <w:right w:val="nil"/>
            </w:tcBorders>
            <w:shd w:val="clear" w:color="auto" w:fill="auto"/>
            <w:noWrap/>
            <w:vAlign w:val="bottom"/>
            <w:hideMark/>
          </w:tcPr>
          <w:p w14:paraId="6FA54E3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3B740BE"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CECECE"/>
            <w:noWrap/>
            <w:vAlign w:val="bottom"/>
            <w:hideMark/>
          </w:tcPr>
          <w:p w14:paraId="183B971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0.711</w:t>
            </w:r>
          </w:p>
        </w:tc>
        <w:tc>
          <w:tcPr>
            <w:tcW w:w="699" w:type="dxa"/>
            <w:tcBorders>
              <w:top w:val="nil"/>
              <w:left w:val="nil"/>
              <w:bottom w:val="nil"/>
              <w:right w:val="nil"/>
            </w:tcBorders>
            <w:shd w:val="clear" w:color="000000" w:fill="FFFFFF"/>
            <w:noWrap/>
            <w:vAlign w:val="bottom"/>
            <w:hideMark/>
          </w:tcPr>
          <w:p w14:paraId="411EF2B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0.706</w:t>
            </w:r>
          </w:p>
        </w:tc>
        <w:tc>
          <w:tcPr>
            <w:tcW w:w="699" w:type="dxa"/>
            <w:tcBorders>
              <w:top w:val="nil"/>
              <w:left w:val="nil"/>
              <w:bottom w:val="nil"/>
              <w:right w:val="nil"/>
            </w:tcBorders>
            <w:shd w:val="clear" w:color="000000" w:fill="C4C4C4"/>
            <w:noWrap/>
            <w:vAlign w:val="bottom"/>
            <w:hideMark/>
          </w:tcPr>
          <w:p w14:paraId="5B522F4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0.711</w:t>
            </w:r>
          </w:p>
        </w:tc>
        <w:tc>
          <w:tcPr>
            <w:tcW w:w="699" w:type="dxa"/>
            <w:tcBorders>
              <w:top w:val="nil"/>
              <w:left w:val="nil"/>
              <w:bottom w:val="nil"/>
              <w:right w:val="nil"/>
            </w:tcBorders>
            <w:shd w:val="clear" w:color="000000" w:fill="A6A6A6"/>
            <w:noWrap/>
            <w:vAlign w:val="bottom"/>
            <w:hideMark/>
          </w:tcPr>
          <w:p w14:paraId="7AEC4D4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0.714</w:t>
            </w:r>
          </w:p>
        </w:tc>
        <w:tc>
          <w:tcPr>
            <w:tcW w:w="222" w:type="dxa"/>
            <w:tcBorders>
              <w:top w:val="nil"/>
              <w:left w:val="nil"/>
              <w:bottom w:val="nil"/>
              <w:right w:val="nil"/>
            </w:tcBorders>
            <w:shd w:val="clear" w:color="auto" w:fill="auto"/>
            <w:noWrap/>
            <w:vAlign w:val="bottom"/>
            <w:hideMark/>
          </w:tcPr>
          <w:p w14:paraId="565D3CC9"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1F1DA7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854" w:type="dxa"/>
            <w:tcBorders>
              <w:top w:val="nil"/>
              <w:left w:val="nil"/>
              <w:bottom w:val="nil"/>
              <w:right w:val="nil"/>
            </w:tcBorders>
            <w:shd w:val="clear" w:color="000000" w:fill="A6A6A6"/>
            <w:noWrap/>
            <w:vAlign w:val="bottom"/>
            <w:hideMark/>
          </w:tcPr>
          <w:p w14:paraId="4655D85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0.832</w:t>
            </w:r>
          </w:p>
        </w:tc>
        <w:tc>
          <w:tcPr>
            <w:tcW w:w="854" w:type="dxa"/>
            <w:tcBorders>
              <w:top w:val="nil"/>
              <w:left w:val="nil"/>
              <w:bottom w:val="nil"/>
              <w:right w:val="nil"/>
            </w:tcBorders>
            <w:shd w:val="clear" w:color="000000" w:fill="FFFFFF"/>
            <w:noWrap/>
            <w:vAlign w:val="bottom"/>
            <w:hideMark/>
          </w:tcPr>
          <w:p w14:paraId="6659AA1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0.782</w:t>
            </w:r>
          </w:p>
        </w:tc>
      </w:tr>
      <w:tr w:rsidR="007621E0" w:rsidRPr="00B87E87" w14:paraId="6FA69E09" w14:textId="77777777" w:rsidTr="00E420DC">
        <w:trPr>
          <w:trHeight w:val="255"/>
        </w:trPr>
        <w:tc>
          <w:tcPr>
            <w:tcW w:w="538" w:type="dxa"/>
            <w:tcBorders>
              <w:top w:val="nil"/>
              <w:left w:val="nil"/>
              <w:bottom w:val="nil"/>
              <w:right w:val="nil"/>
            </w:tcBorders>
            <w:shd w:val="clear" w:color="auto" w:fill="auto"/>
            <w:noWrap/>
            <w:vAlign w:val="bottom"/>
            <w:hideMark/>
          </w:tcPr>
          <w:p w14:paraId="6B5CD493"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A6A6A6"/>
            <w:noWrap/>
            <w:vAlign w:val="bottom"/>
            <w:hideMark/>
          </w:tcPr>
          <w:p w14:paraId="635409B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0.530</w:t>
            </w:r>
          </w:p>
        </w:tc>
        <w:tc>
          <w:tcPr>
            <w:tcW w:w="699" w:type="dxa"/>
            <w:tcBorders>
              <w:top w:val="nil"/>
              <w:left w:val="nil"/>
              <w:bottom w:val="nil"/>
              <w:right w:val="nil"/>
            </w:tcBorders>
            <w:shd w:val="clear" w:color="000000" w:fill="B9B9B9"/>
            <w:noWrap/>
            <w:vAlign w:val="bottom"/>
            <w:hideMark/>
          </w:tcPr>
          <w:p w14:paraId="2A062E5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0.521</w:t>
            </w:r>
          </w:p>
        </w:tc>
        <w:tc>
          <w:tcPr>
            <w:tcW w:w="699" w:type="dxa"/>
            <w:tcBorders>
              <w:top w:val="nil"/>
              <w:left w:val="nil"/>
              <w:bottom w:val="nil"/>
              <w:right w:val="nil"/>
            </w:tcBorders>
            <w:shd w:val="clear" w:color="000000" w:fill="FFFFFF"/>
            <w:noWrap/>
            <w:vAlign w:val="bottom"/>
            <w:hideMark/>
          </w:tcPr>
          <w:p w14:paraId="4A2D810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0.486</w:t>
            </w:r>
          </w:p>
        </w:tc>
        <w:tc>
          <w:tcPr>
            <w:tcW w:w="699" w:type="dxa"/>
            <w:tcBorders>
              <w:top w:val="nil"/>
              <w:left w:val="nil"/>
              <w:bottom w:val="nil"/>
              <w:right w:val="nil"/>
            </w:tcBorders>
            <w:shd w:val="clear" w:color="000000" w:fill="F5F5F5"/>
            <w:noWrap/>
            <w:vAlign w:val="bottom"/>
            <w:hideMark/>
          </w:tcPr>
          <w:p w14:paraId="4EBC8C5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0.491</w:t>
            </w:r>
          </w:p>
        </w:tc>
        <w:tc>
          <w:tcPr>
            <w:tcW w:w="222" w:type="dxa"/>
            <w:tcBorders>
              <w:top w:val="nil"/>
              <w:left w:val="nil"/>
              <w:bottom w:val="nil"/>
              <w:right w:val="nil"/>
            </w:tcBorders>
            <w:shd w:val="clear" w:color="auto" w:fill="auto"/>
            <w:noWrap/>
            <w:vAlign w:val="bottom"/>
            <w:hideMark/>
          </w:tcPr>
          <w:p w14:paraId="3260BD6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44FAD94"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A6A6A6"/>
            <w:noWrap/>
            <w:vAlign w:val="bottom"/>
            <w:hideMark/>
          </w:tcPr>
          <w:p w14:paraId="3FC2DC5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0.388</w:t>
            </w:r>
          </w:p>
        </w:tc>
        <w:tc>
          <w:tcPr>
            <w:tcW w:w="699" w:type="dxa"/>
            <w:tcBorders>
              <w:top w:val="nil"/>
              <w:left w:val="nil"/>
              <w:bottom w:val="nil"/>
              <w:right w:val="nil"/>
            </w:tcBorders>
            <w:shd w:val="clear" w:color="000000" w:fill="C4C4C4"/>
            <w:noWrap/>
            <w:vAlign w:val="bottom"/>
            <w:hideMark/>
          </w:tcPr>
          <w:p w14:paraId="318B935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0.384</w:t>
            </w:r>
          </w:p>
        </w:tc>
        <w:tc>
          <w:tcPr>
            <w:tcW w:w="699" w:type="dxa"/>
            <w:tcBorders>
              <w:top w:val="nil"/>
              <w:left w:val="nil"/>
              <w:bottom w:val="nil"/>
              <w:right w:val="nil"/>
            </w:tcBorders>
            <w:shd w:val="clear" w:color="000000" w:fill="FFFFFF"/>
            <w:noWrap/>
            <w:vAlign w:val="bottom"/>
            <w:hideMark/>
          </w:tcPr>
          <w:p w14:paraId="52A0C1C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0.377</w:t>
            </w:r>
          </w:p>
        </w:tc>
        <w:tc>
          <w:tcPr>
            <w:tcW w:w="699" w:type="dxa"/>
            <w:tcBorders>
              <w:top w:val="nil"/>
              <w:left w:val="nil"/>
              <w:bottom w:val="nil"/>
              <w:right w:val="nil"/>
            </w:tcBorders>
            <w:shd w:val="clear" w:color="000000" w:fill="BABABA"/>
            <w:noWrap/>
            <w:vAlign w:val="bottom"/>
            <w:hideMark/>
          </w:tcPr>
          <w:p w14:paraId="7C37DB1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0.386</w:t>
            </w:r>
          </w:p>
        </w:tc>
        <w:tc>
          <w:tcPr>
            <w:tcW w:w="222" w:type="dxa"/>
            <w:tcBorders>
              <w:top w:val="nil"/>
              <w:left w:val="nil"/>
              <w:bottom w:val="nil"/>
              <w:right w:val="nil"/>
            </w:tcBorders>
            <w:shd w:val="clear" w:color="auto" w:fill="auto"/>
            <w:noWrap/>
            <w:vAlign w:val="bottom"/>
            <w:hideMark/>
          </w:tcPr>
          <w:p w14:paraId="05DC1636"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74CD2F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FFFFF"/>
            <w:noWrap/>
            <w:vAlign w:val="bottom"/>
            <w:hideMark/>
          </w:tcPr>
          <w:p w14:paraId="0946DE5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0.341</w:t>
            </w:r>
          </w:p>
        </w:tc>
        <w:tc>
          <w:tcPr>
            <w:tcW w:w="699" w:type="dxa"/>
            <w:tcBorders>
              <w:top w:val="nil"/>
              <w:left w:val="nil"/>
              <w:bottom w:val="nil"/>
              <w:right w:val="nil"/>
            </w:tcBorders>
            <w:shd w:val="clear" w:color="000000" w:fill="F0F0F0"/>
            <w:noWrap/>
            <w:vAlign w:val="bottom"/>
            <w:hideMark/>
          </w:tcPr>
          <w:p w14:paraId="7ECBC24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0.346</w:t>
            </w:r>
          </w:p>
        </w:tc>
        <w:tc>
          <w:tcPr>
            <w:tcW w:w="699" w:type="dxa"/>
            <w:tcBorders>
              <w:top w:val="nil"/>
              <w:left w:val="nil"/>
              <w:bottom w:val="nil"/>
              <w:right w:val="nil"/>
            </w:tcBorders>
            <w:shd w:val="clear" w:color="000000" w:fill="A6A6A6"/>
            <w:noWrap/>
            <w:vAlign w:val="bottom"/>
            <w:hideMark/>
          </w:tcPr>
          <w:p w14:paraId="69E943D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0.370</w:t>
            </w:r>
          </w:p>
        </w:tc>
        <w:tc>
          <w:tcPr>
            <w:tcW w:w="699" w:type="dxa"/>
            <w:tcBorders>
              <w:top w:val="nil"/>
              <w:left w:val="nil"/>
              <w:bottom w:val="nil"/>
              <w:right w:val="nil"/>
            </w:tcBorders>
            <w:shd w:val="clear" w:color="000000" w:fill="C2C2C2"/>
            <w:noWrap/>
            <w:vAlign w:val="bottom"/>
            <w:hideMark/>
          </w:tcPr>
          <w:p w14:paraId="34DC300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0.361</w:t>
            </w:r>
          </w:p>
        </w:tc>
        <w:tc>
          <w:tcPr>
            <w:tcW w:w="222" w:type="dxa"/>
            <w:tcBorders>
              <w:top w:val="nil"/>
              <w:left w:val="nil"/>
              <w:bottom w:val="nil"/>
              <w:right w:val="nil"/>
            </w:tcBorders>
            <w:shd w:val="clear" w:color="auto" w:fill="auto"/>
            <w:noWrap/>
            <w:vAlign w:val="bottom"/>
            <w:hideMark/>
          </w:tcPr>
          <w:p w14:paraId="7E2A3FDF"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5E13FF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854" w:type="dxa"/>
            <w:tcBorders>
              <w:top w:val="nil"/>
              <w:left w:val="nil"/>
              <w:bottom w:val="nil"/>
              <w:right w:val="nil"/>
            </w:tcBorders>
            <w:shd w:val="clear" w:color="000000" w:fill="FFFFFF"/>
            <w:noWrap/>
            <w:vAlign w:val="bottom"/>
            <w:hideMark/>
          </w:tcPr>
          <w:p w14:paraId="1D603E4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0.217</w:t>
            </w:r>
          </w:p>
        </w:tc>
        <w:tc>
          <w:tcPr>
            <w:tcW w:w="854" w:type="dxa"/>
            <w:tcBorders>
              <w:top w:val="nil"/>
              <w:left w:val="nil"/>
              <w:bottom w:val="nil"/>
              <w:right w:val="nil"/>
            </w:tcBorders>
            <w:shd w:val="clear" w:color="000000" w:fill="A6A6A6"/>
            <w:noWrap/>
            <w:vAlign w:val="bottom"/>
            <w:hideMark/>
          </w:tcPr>
          <w:p w14:paraId="1042D9B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0.362</w:t>
            </w:r>
          </w:p>
        </w:tc>
      </w:tr>
      <w:tr w:rsidR="007621E0" w:rsidRPr="00B87E87" w14:paraId="58B0E88E" w14:textId="77777777" w:rsidTr="00E420DC">
        <w:trPr>
          <w:trHeight w:val="255"/>
        </w:trPr>
        <w:tc>
          <w:tcPr>
            <w:tcW w:w="538" w:type="dxa"/>
            <w:tcBorders>
              <w:top w:val="nil"/>
              <w:left w:val="nil"/>
              <w:bottom w:val="nil"/>
              <w:right w:val="nil"/>
            </w:tcBorders>
            <w:shd w:val="clear" w:color="auto" w:fill="auto"/>
            <w:noWrap/>
            <w:vAlign w:val="bottom"/>
            <w:hideMark/>
          </w:tcPr>
          <w:p w14:paraId="6609C2B1"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A6A6A6"/>
            <w:noWrap/>
            <w:vAlign w:val="bottom"/>
            <w:hideMark/>
          </w:tcPr>
          <w:p w14:paraId="1F7EF13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0.320</w:t>
            </w:r>
          </w:p>
        </w:tc>
        <w:tc>
          <w:tcPr>
            <w:tcW w:w="699" w:type="dxa"/>
            <w:tcBorders>
              <w:top w:val="nil"/>
              <w:left w:val="nil"/>
              <w:bottom w:val="nil"/>
              <w:right w:val="nil"/>
            </w:tcBorders>
            <w:shd w:val="clear" w:color="000000" w:fill="E9E9E9"/>
            <w:noWrap/>
            <w:vAlign w:val="bottom"/>
            <w:hideMark/>
          </w:tcPr>
          <w:p w14:paraId="63F8C0E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0.311</w:t>
            </w:r>
          </w:p>
        </w:tc>
        <w:tc>
          <w:tcPr>
            <w:tcW w:w="699" w:type="dxa"/>
            <w:tcBorders>
              <w:top w:val="nil"/>
              <w:left w:val="nil"/>
              <w:bottom w:val="nil"/>
              <w:right w:val="nil"/>
            </w:tcBorders>
            <w:shd w:val="clear" w:color="000000" w:fill="BDBDBD"/>
            <w:noWrap/>
            <w:vAlign w:val="bottom"/>
            <w:hideMark/>
          </w:tcPr>
          <w:p w14:paraId="590DCD7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0.317</w:t>
            </w:r>
          </w:p>
        </w:tc>
        <w:tc>
          <w:tcPr>
            <w:tcW w:w="699" w:type="dxa"/>
            <w:tcBorders>
              <w:top w:val="nil"/>
              <w:left w:val="nil"/>
              <w:bottom w:val="nil"/>
              <w:right w:val="nil"/>
            </w:tcBorders>
            <w:shd w:val="clear" w:color="000000" w:fill="FFFFFF"/>
            <w:noWrap/>
            <w:vAlign w:val="bottom"/>
            <w:hideMark/>
          </w:tcPr>
          <w:p w14:paraId="01901CC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0.308</w:t>
            </w:r>
          </w:p>
        </w:tc>
        <w:tc>
          <w:tcPr>
            <w:tcW w:w="222" w:type="dxa"/>
            <w:tcBorders>
              <w:top w:val="nil"/>
              <w:left w:val="nil"/>
              <w:bottom w:val="nil"/>
              <w:right w:val="nil"/>
            </w:tcBorders>
            <w:shd w:val="clear" w:color="auto" w:fill="auto"/>
            <w:noWrap/>
            <w:vAlign w:val="bottom"/>
            <w:hideMark/>
          </w:tcPr>
          <w:p w14:paraId="10ABFFBE"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17ED785"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E6E6E6"/>
            <w:noWrap/>
            <w:vAlign w:val="bottom"/>
            <w:hideMark/>
          </w:tcPr>
          <w:p w14:paraId="6A1ED0D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0.216</w:t>
            </w:r>
          </w:p>
        </w:tc>
        <w:tc>
          <w:tcPr>
            <w:tcW w:w="699" w:type="dxa"/>
            <w:tcBorders>
              <w:top w:val="nil"/>
              <w:left w:val="nil"/>
              <w:bottom w:val="nil"/>
              <w:right w:val="nil"/>
            </w:tcBorders>
            <w:shd w:val="clear" w:color="000000" w:fill="FFFFFF"/>
            <w:noWrap/>
            <w:vAlign w:val="bottom"/>
            <w:hideMark/>
          </w:tcPr>
          <w:p w14:paraId="3B3E76D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0.210</w:t>
            </w:r>
          </w:p>
        </w:tc>
        <w:tc>
          <w:tcPr>
            <w:tcW w:w="699" w:type="dxa"/>
            <w:tcBorders>
              <w:top w:val="nil"/>
              <w:left w:val="nil"/>
              <w:bottom w:val="nil"/>
              <w:right w:val="nil"/>
            </w:tcBorders>
            <w:shd w:val="clear" w:color="000000" w:fill="FFFFFF"/>
            <w:noWrap/>
            <w:vAlign w:val="bottom"/>
            <w:hideMark/>
          </w:tcPr>
          <w:p w14:paraId="66614CF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0.210</w:t>
            </w:r>
          </w:p>
        </w:tc>
        <w:tc>
          <w:tcPr>
            <w:tcW w:w="699" w:type="dxa"/>
            <w:tcBorders>
              <w:top w:val="nil"/>
              <w:left w:val="nil"/>
              <w:bottom w:val="nil"/>
              <w:right w:val="nil"/>
            </w:tcBorders>
            <w:shd w:val="clear" w:color="000000" w:fill="A6A6A6"/>
            <w:noWrap/>
            <w:vAlign w:val="bottom"/>
            <w:hideMark/>
          </w:tcPr>
          <w:p w14:paraId="3DD2E1D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0.231</w:t>
            </w:r>
          </w:p>
        </w:tc>
        <w:tc>
          <w:tcPr>
            <w:tcW w:w="222" w:type="dxa"/>
            <w:tcBorders>
              <w:top w:val="nil"/>
              <w:left w:val="nil"/>
              <w:bottom w:val="nil"/>
              <w:right w:val="nil"/>
            </w:tcBorders>
            <w:shd w:val="clear" w:color="auto" w:fill="auto"/>
            <w:noWrap/>
            <w:vAlign w:val="bottom"/>
            <w:hideMark/>
          </w:tcPr>
          <w:p w14:paraId="5E2FF3B0"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0A4924F"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FFFFFF"/>
            <w:noWrap/>
            <w:vAlign w:val="bottom"/>
            <w:hideMark/>
          </w:tcPr>
          <w:p w14:paraId="748DC5B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0.254</w:t>
            </w:r>
          </w:p>
        </w:tc>
        <w:tc>
          <w:tcPr>
            <w:tcW w:w="699" w:type="dxa"/>
            <w:tcBorders>
              <w:top w:val="nil"/>
              <w:left w:val="nil"/>
              <w:bottom w:val="nil"/>
              <w:right w:val="nil"/>
            </w:tcBorders>
            <w:shd w:val="clear" w:color="000000" w:fill="C7C7C7"/>
            <w:noWrap/>
            <w:vAlign w:val="bottom"/>
            <w:hideMark/>
          </w:tcPr>
          <w:p w14:paraId="7DE65E8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0.275</w:t>
            </w:r>
          </w:p>
        </w:tc>
        <w:tc>
          <w:tcPr>
            <w:tcW w:w="699" w:type="dxa"/>
            <w:tcBorders>
              <w:top w:val="nil"/>
              <w:left w:val="nil"/>
              <w:bottom w:val="nil"/>
              <w:right w:val="nil"/>
            </w:tcBorders>
            <w:shd w:val="clear" w:color="000000" w:fill="A6A6A6"/>
            <w:noWrap/>
            <w:vAlign w:val="bottom"/>
            <w:hideMark/>
          </w:tcPr>
          <w:p w14:paraId="09C5870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0.287</w:t>
            </w:r>
          </w:p>
        </w:tc>
        <w:tc>
          <w:tcPr>
            <w:tcW w:w="699" w:type="dxa"/>
            <w:tcBorders>
              <w:top w:val="nil"/>
              <w:left w:val="nil"/>
              <w:bottom w:val="nil"/>
              <w:right w:val="nil"/>
            </w:tcBorders>
            <w:shd w:val="clear" w:color="000000" w:fill="C7C7C7"/>
            <w:noWrap/>
            <w:vAlign w:val="bottom"/>
            <w:hideMark/>
          </w:tcPr>
          <w:p w14:paraId="79D93E7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0.275</w:t>
            </w:r>
          </w:p>
        </w:tc>
        <w:tc>
          <w:tcPr>
            <w:tcW w:w="222" w:type="dxa"/>
            <w:tcBorders>
              <w:top w:val="nil"/>
              <w:left w:val="nil"/>
              <w:bottom w:val="nil"/>
              <w:right w:val="nil"/>
            </w:tcBorders>
            <w:shd w:val="clear" w:color="auto" w:fill="auto"/>
            <w:noWrap/>
            <w:vAlign w:val="bottom"/>
            <w:hideMark/>
          </w:tcPr>
          <w:p w14:paraId="1E3DC31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272AA11"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854" w:type="dxa"/>
            <w:tcBorders>
              <w:top w:val="nil"/>
              <w:left w:val="nil"/>
              <w:bottom w:val="nil"/>
              <w:right w:val="nil"/>
            </w:tcBorders>
            <w:shd w:val="clear" w:color="000000" w:fill="FFFFFF"/>
            <w:noWrap/>
            <w:vAlign w:val="bottom"/>
            <w:hideMark/>
          </w:tcPr>
          <w:p w14:paraId="43F31E0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0.098</w:t>
            </w:r>
          </w:p>
        </w:tc>
        <w:tc>
          <w:tcPr>
            <w:tcW w:w="854" w:type="dxa"/>
            <w:tcBorders>
              <w:top w:val="nil"/>
              <w:left w:val="nil"/>
              <w:bottom w:val="nil"/>
              <w:right w:val="nil"/>
            </w:tcBorders>
            <w:shd w:val="clear" w:color="000000" w:fill="A6A6A6"/>
            <w:noWrap/>
            <w:vAlign w:val="bottom"/>
            <w:hideMark/>
          </w:tcPr>
          <w:p w14:paraId="60D4A45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0.222</w:t>
            </w:r>
          </w:p>
        </w:tc>
      </w:tr>
      <w:tr w:rsidR="007621E0" w:rsidRPr="00B87E87" w14:paraId="193B9751" w14:textId="77777777" w:rsidTr="00E420DC">
        <w:trPr>
          <w:trHeight w:val="255"/>
        </w:trPr>
        <w:tc>
          <w:tcPr>
            <w:tcW w:w="538" w:type="dxa"/>
            <w:tcBorders>
              <w:top w:val="nil"/>
              <w:left w:val="nil"/>
              <w:bottom w:val="nil"/>
              <w:right w:val="nil"/>
            </w:tcBorders>
            <w:shd w:val="clear" w:color="auto" w:fill="auto"/>
            <w:noWrap/>
            <w:vAlign w:val="bottom"/>
            <w:hideMark/>
          </w:tcPr>
          <w:p w14:paraId="15D678B7"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5FE1B1E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0.083</w:t>
            </w:r>
          </w:p>
        </w:tc>
        <w:tc>
          <w:tcPr>
            <w:tcW w:w="699" w:type="dxa"/>
            <w:tcBorders>
              <w:top w:val="nil"/>
              <w:left w:val="nil"/>
              <w:bottom w:val="nil"/>
              <w:right w:val="nil"/>
            </w:tcBorders>
            <w:shd w:val="clear" w:color="000000" w:fill="DEDEDE"/>
            <w:noWrap/>
            <w:vAlign w:val="bottom"/>
            <w:hideMark/>
          </w:tcPr>
          <w:p w14:paraId="70722E2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0.105</w:t>
            </w:r>
          </w:p>
        </w:tc>
        <w:tc>
          <w:tcPr>
            <w:tcW w:w="699" w:type="dxa"/>
            <w:tcBorders>
              <w:top w:val="nil"/>
              <w:left w:val="nil"/>
              <w:bottom w:val="nil"/>
              <w:right w:val="nil"/>
            </w:tcBorders>
            <w:shd w:val="clear" w:color="000000" w:fill="A6A6A6"/>
            <w:noWrap/>
            <w:vAlign w:val="bottom"/>
            <w:hideMark/>
          </w:tcPr>
          <w:p w14:paraId="67615C1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0.143</w:t>
            </w:r>
          </w:p>
        </w:tc>
        <w:tc>
          <w:tcPr>
            <w:tcW w:w="699" w:type="dxa"/>
            <w:tcBorders>
              <w:top w:val="nil"/>
              <w:left w:val="nil"/>
              <w:bottom w:val="nil"/>
              <w:right w:val="nil"/>
            </w:tcBorders>
            <w:shd w:val="clear" w:color="000000" w:fill="BDBDBD"/>
            <w:noWrap/>
            <w:vAlign w:val="bottom"/>
            <w:hideMark/>
          </w:tcPr>
          <w:p w14:paraId="1D16DAF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0.128</w:t>
            </w:r>
          </w:p>
        </w:tc>
        <w:tc>
          <w:tcPr>
            <w:tcW w:w="222" w:type="dxa"/>
            <w:tcBorders>
              <w:top w:val="nil"/>
              <w:left w:val="nil"/>
              <w:bottom w:val="nil"/>
              <w:right w:val="nil"/>
            </w:tcBorders>
            <w:shd w:val="clear" w:color="auto" w:fill="auto"/>
            <w:noWrap/>
            <w:vAlign w:val="bottom"/>
            <w:hideMark/>
          </w:tcPr>
          <w:p w14:paraId="10DAEBD5"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9960366"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4B0D42A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0.098</w:t>
            </w:r>
          </w:p>
        </w:tc>
        <w:tc>
          <w:tcPr>
            <w:tcW w:w="699" w:type="dxa"/>
            <w:tcBorders>
              <w:top w:val="nil"/>
              <w:left w:val="nil"/>
              <w:bottom w:val="nil"/>
              <w:right w:val="nil"/>
            </w:tcBorders>
            <w:shd w:val="clear" w:color="000000" w:fill="E9E9E9"/>
            <w:noWrap/>
            <w:vAlign w:val="bottom"/>
            <w:hideMark/>
          </w:tcPr>
          <w:p w14:paraId="56C328B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0.113</w:t>
            </w:r>
          </w:p>
        </w:tc>
        <w:tc>
          <w:tcPr>
            <w:tcW w:w="699" w:type="dxa"/>
            <w:tcBorders>
              <w:top w:val="nil"/>
              <w:left w:val="nil"/>
              <w:bottom w:val="nil"/>
              <w:right w:val="nil"/>
            </w:tcBorders>
            <w:shd w:val="clear" w:color="000000" w:fill="A6A6A6"/>
            <w:noWrap/>
            <w:vAlign w:val="bottom"/>
            <w:hideMark/>
          </w:tcPr>
          <w:p w14:paraId="17FE77E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0.158</w:t>
            </w:r>
          </w:p>
        </w:tc>
        <w:tc>
          <w:tcPr>
            <w:tcW w:w="699" w:type="dxa"/>
            <w:tcBorders>
              <w:top w:val="nil"/>
              <w:left w:val="nil"/>
              <w:bottom w:val="nil"/>
              <w:right w:val="nil"/>
            </w:tcBorders>
            <w:shd w:val="clear" w:color="000000" w:fill="D3D3D3"/>
            <w:noWrap/>
            <w:vAlign w:val="bottom"/>
            <w:hideMark/>
          </w:tcPr>
          <w:p w14:paraId="1849ECC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0.128</w:t>
            </w:r>
          </w:p>
        </w:tc>
        <w:tc>
          <w:tcPr>
            <w:tcW w:w="222" w:type="dxa"/>
            <w:tcBorders>
              <w:top w:val="nil"/>
              <w:left w:val="nil"/>
              <w:bottom w:val="nil"/>
              <w:right w:val="nil"/>
            </w:tcBorders>
            <w:shd w:val="clear" w:color="auto" w:fill="auto"/>
            <w:noWrap/>
            <w:vAlign w:val="bottom"/>
            <w:hideMark/>
          </w:tcPr>
          <w:p w14:paraId="670E23D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4814E1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0F9C91A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0.158</w:t>
            </w:r>
          </w:p>
        </w:tc>
        <w:tc>
          <w:tcPr>
            <w:tcW w:w="699" w:type="dxa"/>
            <w:tcBorders>
              <w:top w:val="nil"/>
              <w:left w:val="nil"/>
              <w:bottom w:val="nil"/>
              <w:right w:val="nil"/>
            </w:tcBorders>
            <w:shd w:val="clear" w:color="000000" w:fill="FBFBFB"/>
            <w:noWrap/>
            <w:vAlign w:val="bottom"/>
            <w:hideMark/>
          </w:tcPr>
          <w:p w14:paraId="048DA03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0.165</w:t>
            </w:r>
          </w:p>
        </w:tc>
        <w:tc>
          <w:tcPr>
            <w:tcW w:w="699" w:type="dxa"/>
            <w:tcBorders>
              <w:top w:val="nil"/>
              <w:left w:val="nil"/>
              <w:bottom w:val="nil"/>
              <w:right w:val="nil"/>
            </w:tcBorders>
            <w:shd w:val="clear" w:color="000000" w:fill="A6A6A6"/>
            <w:noWrap/>
            <w:vAlign w:val="bottom"/>
            <w:hideMark/>
          </w:tcPr>
          <w:p w14:paraId="48476BC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0.293</w:t>
            </w:r>
          </w:p>
        </w:tc>
        <w:tc>
          <w:tcPr>
            <w:tcW w:w="699" w:type="dxa"/>
            <w:tcBorders>
              <w:top w:val="nil"/>
              <w:left w:val="nil"/>
              <w:bottom w:val="nil"/>
              <w:right w:val="nil"/>
            </w:tcBorders>
            <w:shd w:val="clear" w:color="000000" w:fill="F6F6F6"/>
            <w:noWrap/>
            <w:vAlign w:val="bottom"/>
            <w:hideMark/>
          </w:tcPr>
          <w:p w14:paraId="76FF051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0.173</w:t>
            </w:r>
          </w:p>
        </w:tc>
        <w:tc>
          <w:tcPr>
            <w:tcW w:w="222" w:type="dxa"/>
            <w:tcBorders>
              <w:top w:val="nil"/>
              <w:left w:val="nil"/>
              <w:bottom w:val="nil"/>
              <w:right w:val="nil"/>
            </w:tcBorders>
            <w:shd w:val="clear" w:color="auto" w:fill="auto"/>
            <w:noWrap/>
            <w:vAlign w:val="bottom"/>
            <w:hideMark/>
          </w:tcPr>
          <w:p w14:paraId="3074167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08F4AB7"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854" w:type="dxa"/>
            <w:tcBorders>
              <w:top w:val="nil"/>
              <w:left w:val="nil"/>
              <w:bottom w:val="nil"/>
              <w:right w:val="nil"/>
            </w:tcBorders>
            <w:shd w:val="clear" w:color="000000" w:fill="FFFFFF"/>
            <w:noWrap/>
            <w:vAlign w:val="bottom"/>
            <w:hideMark/>
          </w:tcPr>
          <w:p w14:paraId="44324D1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0.008</w:t>
            </w:r>
          </w:p>
        </w:tc>
        <w:tc>
          <w:tcPr>
            <w:tcW w:w="854" w:type="dxa"/>
            <w:tcBorders>
              <w:top w:val="nil"/>
              <w:left w:val="nil"/>
              <w:bottom w:val="nil"/>
              <w:right w:val="nil"/>
            </w:tcBorders>
            <w:shd w:val="clear" w:color="000000" w:fill="A6A6A6"/>
            <w:noWrap/>
            <w:vAlign w:val="bottom"/>
            <w:hideMark/>
          </w:tcPr>
          <w:p w14:paraId="58C5041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0.218</w:t>
            </w:r>
          </w:p>
        </w:tc>
      </w:tr>
      <w:tr w:rsidR="007621E0" w:rsidRPr="00B87E87" w14:paraId="66EB6B68" w14:textId="77777777" w:rsidTr="00E420DC">
        <w:trPr>
          <w:trHeight w:val="255"/>
        </w:trPr>
        <w:tc>
          <w:tcPr>
            <w:tcW w:w="538" w:type="dxa"/>
            <w:tcBorders>
              <w:top w:val="nil"/>
              <w:left w:val="nil"/>
              <w:bottom w:val="nil"/>
              <w:right w:val="nil"/>
            </w:tcBorders>
            <w:shd w:val="clear" w:color="auto" w:fill="auto"/>
            <w:noWrap/>
            <w:vAlign w:val="bottom"/>
            <w:hideMark/>
          </w:tcPr>
          <w:p w14:paraId="1E28BC8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FFFFF"/>
            <w:noWrap/>
            <w:vAlign w:val="bottom"/>
            <w:hideMark/>
          </w:tcPr>
          <w:p w14:paraId="1BD5EA3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FFFFFF"/>
            <w:noWrap/>
            <w:vAlign w:val="bottom"/>
            <w:hideMark/>
          </w:tcPr>
          <w:p w14:paraId="788782B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A6A6A6"/>
            <w:noWrap/>
            <w:vAlign w:val="bottom"/>
            <w:hideMark/>
          </w:tcPr>
          <w:p w14:paraId="01AEA9E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0.023</w:t>
            </w:r>
          </w:p>
        </w:tc>
        <w:tc>
          <w:tcPr>
            <w:tcW w:w="699" w:type="dxa"/>
            <w:tcBorders>
              <w:top w:val="nil"/>
              <w:left w:val="nil"/>
              <w:bottom w:val="nil"/>
              <w:right w:val="nil"/>
            </w:tcBorders>
            <w:shd w:val="clear" w:color="000000" w:fill="A6A6A6"/>
            <w:noWrap/>
            <w:vAlign w:val="bottom"/>
            <w:hideMark/>
          </w:tcPr>
          <w:p w14:paraId="24B8F3D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0.023</w:t>
            </w:r>
          </w:p>
        </w:tc>
        <w:tc>
          <w:tcPr>
            <w:tcW w:w="222" w:type="dxa"/>
            <w:tcBorders>
              <w:top w:val="nil"/>
              <w:left w:val="nil"/>
              <w:bottom w:val="nil"/>
              <w:right w:val="nil"/>
            </w:tcBorders>
            <w:shd w:val="clear" w:color="auto" w:fill="auto"/>
            <w:noWrap/>
            <w:vAlign w:val="bottom"/>
            <w:hideMark/>
          </w:tcPr>
          <w:p w14:paraId="666F2851"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16A9885"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FFFFF"/>
            <w:noWrap/>
            <w:vAlign w:val="bottom"/>
            <w:hideMark/>
          </w:tcPr>
          <w:p w14:paraId="016A122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0.091</w:t>
            </w:r>
          </w:p>
        </w:tc>
        <w:tc>
          <w:tcPr>
            <w:tcW w:w="699" w:type="dxa"/>
            <w:tcBorders>
              <w:top w:val="nil"/>
              <w:left w:val="nil"/>
              <w:bottom w:val="nil"/>
              <w:right w:val="nil"/>
            </w:tcBorders>
            <w:shd w:val="clear" w:color="000000" w:fill="FFFFFF"/>
            <w:noWrap/>
            <w:vAlign w:val="bottom"/>
            <w:hideMark/>
          </w:tcPr>
          <w:p w14:paraId="5D46B12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0.091</w:t>
            </w:r>
          </w:p>
        </w:tc>
        <w:tc>
          <w:tcPr>
            <w:tcW w:w="699" w:type="dxa"/>
            <w:tcBorders>
              <w:top w:val="nil"/>
              <w:left w:val="nil"/>
              <w:bottom w:val="nil"/>
              <w:right w:val="nil"/>
            </w:tcBorders>
            <w:shd w:val="clear" w:color="000000" w:fill="A6A6A6"/>
            <w:noWrap/>
            <w:vAlign w:val="bottom"/>
            <w:hideMark/>
          </w:tcPr>
          <w:p w14:paraId="7C077A0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0.114</w:t>
            </w:r>
          </w:p>
        </w:tc>
        <w:tc>
          <w:tcPr>
            <w:tcW w:w="699" w:type="dxa"/>
            <w:tcBorders>
              <w:top w:val="nil"/>
              <w:left w:val="nil"/>
              <w:bottom w:val="nil"/>
              <w:right w:val="nil"/>
            </w:tcBorders>
            <w:shd w:val="clear" w:color="000000" w:fill="FFFFFF"/>
            <w:noWrap/>
            <w:vAlign w:val="bottom"/>
            <w:hideMark/>
          </w:tcPr>
          <w:p w14:paraId="45E1B88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0.091</w:t>
            </w:r>
          </w:p>
        </w:tc>
        <w:tc>
          <w:tcPr>
            <w:tcW w:w="222" w:type="dxa"/>
            <w:tcBorders>
              <w:top w:val="nil"/>
              <w:left w:val="nil"/>
              <w:bottom w:val="nil"/>
              <w:right w:val="nil"/>
            </w:tcBorders>
            <w:shd w:val="clear" w:color="auto" w:fill="auto"/>
            <w:noWrap/>
            <w:vAlign w:val="bottom"/>
            <w:hideMark/>
          </w:tcPr>
          <w:p w14:paraId="7F703C3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FC25CBA"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1F1F1"/>
            <w:noWrap/>
            <w:vAlign w:val="bottom"/>
            <w:hideMark/>
          </w:tcPr>
          <w:p w14:paraId="2E6C0A2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0.295</w:t>
            </w:r>
          </w:p>
        </w:tc>
        <w:tc>
          <w:tcPr>
            <w:tcW w:w="699" w:type="dxa"/>
            <w:tcBorders>
              <w:top w:val="nil"/>
              <w:left w:val="nil"/>
              <w:bottom w:val="nil"/>
              <w:right w:val="nil"/>
            </w:tcBorders>
            <w:shd w:val="clear" w:color="000000" w:fill="FFFFFF"/>
            <w:noWrap/>
            <w:vAlign w:val="bottom"/>
            <w:hideMark/>
          </w:tcPr>
          <w:p w14:paraId="01CDADE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0.273</w:t>
            </w:r>
          </w:p>
        </w:tc>
        <w:tc>
          <w:tcPr>
            <w:tcW w:w="699" w:type="dxa"/>
            <w:tcBorders>
              <w:top w:val="nil"/>
              <w:left w:val="nil"/>
              <w:bottom w:val="nil"/>
              <w:right w:val="nil"/>
            </w:tcBorders>
            <w:shd w:val="clear" w:color="000000" w:fill="A6A6A6"/>
            <w:noWrap/>
            <w:vAlign w:val="bottom"/>
            <w:hideMark/>
          </w:tcPr>
          <w:p w14:paraId="4A94E11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0.409</w:t>
            </w:r>
          </w:p>
        </w:tc>
        <w:tc>
          <w:tcPr>
            <w:tcW w:w="699" w:type="dxa"/>
            <w:tcBorders>
              <w:top w:val="nil"/>
              <w:left w:val="nil"/>
              <w:bottom w:val="nil"/>
              <w:right w:val="nil"/>
            </w:tcBorders>
            <w:shd w:val="clear" w:color="000000" w:fill="E2E2E2"/>
            <w:noWrap/>
            <w:vAlign w:val="bottom"/>
            <w:hideMark/>
          </w:tcPr>
          <w:p w14:paraId="4C8CF4D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0.318</w:t>
            </w:r>
          </w:p>
        </w:tc>
        <w:tc>
          <w:tcPr>
            <w:tcW w:w="222" w:type="dxa"/>
            <w:tcBorders>
              <w:top w:val="nil"/>
              <w:left w:val="nil"/>
              <w:bottom w:val="nil"/>
              <w:right w:val="nil"/>
            </w:tcBorders>
            <w:shd w:val="clear" w:color="auto" w:fill="auto"/>
            <w:noWrap/>
            <w:vAlign w:val="bottom"/>
            <w:hideMark/>
          </w:tcPr>
          <w:p w14:paraId="5699F51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B5D099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854" w:type="dxa"/>
            <w:tcBorders>
              <w:top w:val="nil"/>
              <w:left w:val="nil"/>
              <w:bottom w:val="nil"/>
              <w:right w:val="nil"/>
            </w:tcBorders>
            <w:shd w:val="clear" w:color="000000" w:fill="FFFFFF"/>
            <w:noWrap/>
            <w:vAlign w:val="bottom"/>
            <w:hideMark/>
          </w:tcPr>
          <w:p w14:paraId="6B44C3B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854" w:type="dxa"/>
            <w:tcBorders>
              <w:top w:val="nil"/>
              <w:left w:val="nil"/>
              <w:bottom w:val="nil"/>
              <w:right w:val="nil"/>
            </w:tcBorders>
            <w:shd w:val="clear" w:color="000000" w:fill="A6A6A6"/>
            <w:noWrap/>
            <w:vAlign w:val="bottom"/>
            <w:hideMark/>
          </w:tcPr>
          <w:p w14:paraId="4814F44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0.341</w:t>
            </w:r>
          </w:p>
        </w:tc>
      </w:tr>
      <w:tr w:rsidR="007621E0" w:rsidRPr="00B87E87" w14:paraId="41EE8074" w14:textId="77777777" w:rsidTr="00E420DC">
        <w:trPr>
          <w:trHeight w:val="255"/>
        </w:trPr>
        <w:tc>
          <w:tcPr>
            <w:tcW w:w="538" w:type="dxa"/>
            <w:tcBorders>
              <w:top w:val="nil"/>
              <w:left w:val="nil"/>
              <w:bottom w:val="nil"/>
              <w:right w:val="nil"/>
            </w:tcBorders>
            <w:shd w:val="clear" w:color="auto" w:fill="auto"/>
            <w:noWrap/>
            <w:vAlign w:val="bottom"/>
            <w:hideMark/>
          </w:tcPr>
          <w:p w14:paraId="7084500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auto" w:fill="auto"/>
            <w:noWrap/>
            <w:vAlign w:val="bottom"/>
            <w:hideMark/>
          </w:tcPr>
          <w:p w14:paraId="1EFF98FB"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E9C86B6"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5E8D06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F90DD6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638AC9A1"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5E660013"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0A1DC9E6"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3D72CBC"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0DBFA44"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21CF7F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5C61A2D5"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28B0B8FF"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EB5CC88"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F74323B"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7B7DD72"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3B73A5B"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74663A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626A49D9"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229FE2A0"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6AC5D0F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r>
      <w:tr w:rsidR="007621E0" w:rsidRPr="00B87E87" w14:paraId="076B07B9" w14:textId="77777777" w:rsidTr="00E420DC">
        <w:trPr>
          <w:trHeight w:val="255"/>
        </w:trPr>
        <w:tc>
          <w:tcPr>
            <w:tcW w:w="538" w:type="dxa"/>
            <w:tcBorders>
              <w:top w:val="nil"/>
              <w:left w:val="nil"/>
              <w:bottom w:val="nil"/>
              <w:right w:val="nil"/>
            </w:tcBorders>
            <w:shd w:val="clear" w:color="auto" w:fill="auto"/>
            <w:noWrap/>
            <w:vAlign w:val="bottom"/>
            <w:hideMark/>
          </w:tcPr>
          <w:p w14:paraId="75C2AB31"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82E7AD3"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A2ACC9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6F791D4"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2A224BE"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116865BE"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6D13DFE5"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E814509"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042330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6AC5554"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C5263C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0FCB01FF"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7A183D4B"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0EF46627"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0FF9C0A"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9121C7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6DB3CE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63BD2A62"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6B0FED15"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5D0725A7"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763C6E94"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r>
      <w:tr w:rsidR="007621E0" w:rsidRPr="00B87E87" w14:paraId="2A6D7F69" w14:textId="77777777" w:rsidTr="00E420DC">
        <w:trPr>
          <w:trHeight w:val="255"/>
        </w:trPr>
        <w:tc>
          <w:tcPr>
            <w:tcW w:w="538" w:type="dxa"/>
            <w:tcBorders>
              <w:top w:val="nil"/>
              <w:left w:val="nil"/>
              <w:bottom w:val="nil"/>
              <w:right w:val="nil"/>
            </w:tcBorders>
            <w:shd w:val="clear" w:color="auto" w:fill="auto"/>
            <w:noWrap/>
            <w:vAlign w:val="bottom"/>
            <w:hideMark/>
          </w:tcPr>
          <w:p w14:paraId="301403AC"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0ADDB18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75F166C8"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00EA76"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432F889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1198970D"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5E7810D"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3D4E937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0A7BD124"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B12F931"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1708" w:type="dxa"/>
            <w:gridSpan w:val="2"/>
            <w:tcBorders>
              <w:top w:val="nil"/>
              <w:left w:val="nil"/>
              <w:bottom w:val="single" w:sz="4" w:space="0" w:color="auto"/>
              <w:right w:val="nil"/>
            </w:tcBorders>
            <w:shd w:val="clear" w:color="auto" w:fill="auto"/>
            <w:noWrap/>
            <w:vAlign w:val="bottom"/>
            <w:hideMark/>
          </w:tcPr>
          <w:p w14:paraId="31EE9F9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r>
      <w:tr w:rsidR="007621E0" w:rsidRPr="00B87E87" w14:paraId="0336D87B" w14:textId="77777777" w:rsidTr="00E420DC">
        <w:trPr>
          <w:trHeight w:val="255"/>
        </w:trPr>
        <w:tc>
          <w:tcPr>
            <w:tcW w:w="538" w:type="dxa"/>
            <w:tcBorders>
              <w:top w:val="nil"/>
              <w:left w:val="nil"/>
              <w:bottom w:val="nil"/>
              <w:right w:val="nil"/>
            </w:tcBorders>
            <w:shd w:val="clear" w:color="auto" w:fill="auto"/>
            <w:noWrap/>
            <w:vAlign w:val="bottom"/>
            <w:hideMark/>
          </w:tcPr>
          <w:p w14:paraId="45BD95E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E7E7E7"/>
            <w:noWrap/>
            <w:vAlign w:val="bottom"/>
            <w:hideMark/>
          </w:tcPr>
          <w:p w14:paraId="152D29B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0.582</w:t>
            </w:r>
          </w:p>
        </w:tc>
        <w:tc>
          <w:tcPr>
            <w:tcW w:w="699" w:type="dxa"/>
            <w:tcBorders>
              <w:top w:val="nil"/>
              <w:left w:val="nil"/>
              <w:bottom w:val="nil"/>
              <w:right w:val="nil"/>
            </w:tcBorders>
            <w:shd w:val="clear" w:color="000000" w:fill="DADADA"/>
            <w:noWrap/>
            <w:vAlign w:val="bottom"/>
            <w:hideMark/>
          </w:tcPr>
          <w:p w14:paraId="00A741E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0.596</w:t>
            </w:r>
          </w:p>
        </w:tc>
        <w:tc>
          <w:tcPr>
            <w:tcW w:w="699" w:type="dxa"/>
            <w:tcBorders>
              <w:top w:val="nil"/>
              <w:left w:val="nil"/>
              <w:bottom w:val="nil"/>
              <w:right w:val="nil"/>
            </w:tcBorders>
            <w:shd w:val="clear" w:color="000000" w:fill="A6A6A6"/>
            <w:noWrap/>
            <w:vAlign w:val="bottom"/>
            <w:hideMark/>
          </w:tcPr>
          <w:p w14:paraId="2B9819A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0.655</w:t>
            </w:r>
          </w:p>
        </w:tc>
        <w:tc>
          <w:tcPr>
            <w:tcW w:w="699" w:type="dxa"/>
            <w:tcBorders>
              <w:top w:val="nil"/>
              <w:left w:val="nil"/>
              <w:bottom w:val="nil"/>
              <w:right w:val="nil"/>
            </w:tcBorders>
            <w:shd w:val="clear" w:color="000000" w:fill="FFFFFF"/>
            <w:noWrap/>
            <w:vAlign w:val="bottom"/>
            <w:hideMark/>
          </w:tcPr>
          <w:p w14:paraId="051BFFB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0.553</w:t>
            </w:r>
          </w:p>
        </w:tc>
        <w:tc>
          <w:tcPr>
            <w:tcW w:w="222" w:type="dxa"/>
            <w:tcBorders>
              <w:top w:val="nil"/>
              <w:left w:val="nil"/>
              <w:bottom w:val="nil"/>
              <w:right w:val="nil"/>
            </w:tcBorders>
            <w:shd w:val="clear" w:color="auto" w:fill="auto"/>
            <w:noWrap/>
            <w:vAlign w:val="bottom"/>
            <w:hideMark/>
          </w:tcPr>
          <w:p w14:paraId="1E2F0197"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C5CCCB9"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C7C7C7"/>
            <w:noWrap/>
            <w:vAlign w:val="bottom"/>
            <w:hideMark/>
          </w:tcPr>
          <w:p w14:paraId="5F267C4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0.591</w:t>
            </w:r>
          </w:p>
        </w:tc>
        <w:tc>
          <w:tcPr>
            <w:tcW w:w="699" w:type="dxa"/>
            <w:tcBorders>
              <w:top w:val="nil"/>
              <w:left w:val="nil"/>
              <w:bottom w:val="nil"/>
              <w:right w:val="nil"/>
            </w:tcBorders>
            <w:shd w:val="clear" w:color="000000" w:fill="CECECE"/>
            <w:noWrap/>
            <w:vAlign w:val="bottom"/>
            <w:hideMark/>
          </w:tcPr>
          <w:p w14:paraId="627AB8A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0.588</w:t>
            </w:r>
          </w:p>
        </w:tc>
        <w:tc>
          <w:tcPr>
            <w:tcW w:w="699" w:type="dxa"/>
            <w:tcBorders>
              <w:top w:val="nil"/>
              <w:left w:val="nil"/>
              <w:bottom w:val="nil"/>
              <w:right w:val="nil"/>
            </w:tcBorders>
            <w:shd w:val="clear" w:color="000000" w:fill="A6A6A6"/>
            <w:noWrap/>
            <w:vAlign w:val="bottom"/>
            <w:hideMark/>
          </w:tcPr>
          <w:p w14:paraId="190A9C6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0.601</w:t>
            </w:r>
          </w:p>
        </w:tc>
        <w:tc>
          <w:tcPr>
            <w:tcW w:w="699" w:type="dxa"/>
            <w:tcBorders>
              <w:top w:val="nil"/>
              <w:left w:val="nil"/>
              <w:bottom w:val="nil"/>
              <w:right w:val="nil"/>
            </w:tcBorders>
            <w:shd w:val="clear" w:color="000000" w:fill="FFFFFF"/>
            <w:noWrap/>
            <w:vAlign w:val="bottom"/>
            <w:hideMark/>
          </w:tcPr>
          <w:p w14:paraId="471F356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0.573</w:t>
            </w:r>
          </w:p>
        </w:tc>
        <w:tc>
          <w:tcPr>
            <w:tcW w:w="222" w:type="dxa"/>
            <w:tcBorders>
              <w:top w:val="nil"/>
              <w:left w:val="nil"/>
              <w:bottom w:val="nil"/>
              <w:right w:val="nil"/>
            </w:tcBorders>
            <w:shd w:val="clear" w:color="auto" w:fill="auto"/>
            <w:noWrap/>
            <w:vAlign w:val="bottom"/>
            <w:hideMark/>
          </w:tcPr>
          <w:p w14:paraId="135047F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9E4EA1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C6C6C6"/>
            <w:noWrap/>
            <w:vAlign w:val="bottom"/>
            <w:hideMark/>
          </w:tcPr>
          <w:p w14:paraId="2DF5C37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0.556</w:t>
            </w:r>
          </w:p>
        </w:tc>
        <w:tc>
          <w:tcPr>
            <w:tcW w:w="699" w:type="dxa"/>
            <w:tcBorders>
              <w:top w:val="nil"/>
              <w:left w:val="nil"/>
              <w:bottom w:val="nil"/>
              <w:right w:val="nil"/>
            </w:tcBorders>
            <w:shd w:val="clear" w:color="000000" w:fill="A6A6A6"/>
            <w:noWrap/>
            <w:vAlign w:val="bottom"/>
            <w:hideMark/>
          </w:tcPr>
          <w:p w14:paraId="48583B7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0.562</w:t>
            </w:r>
          </w:p>
        </w:tc>
        <w:tc>
          <w:tcPr>
            <w:tcW w:w="699" w:type="dxa"/>
            <w:tcBorders>
              <w:top w:val="nil"/>
              <w:left w:val="nil"/>
              <w:bottom w:val="nil"/>
              <w:right w:val="nil"/>
            </w:tcBorders>
            <w:shd w:val="clear" w:color="000000" w:fill="ACACAC"/>
            <w:noWrap/>
            <w:vAlign w:val="bottom"/>
            <w:hideMark/>
          </w:tcPr>
          <w:p w14:paraId="7BED330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0.561</w:t>
            </w:r>
          </w:p>
        </w:tc>
        <w:tc>
          <w:tcPr>
            <w:tcW w:w="699" w:type="dxa"/>
            <w:tcBorders>
              <w:top w:val="nil"/>
              <w:left w:val="nil"/>
              <w:bottom w:val="nil"/>
              <w:right w:val="nil"/>
            </w:tcBorders>
            <w:shd w:val="clear" w:color="000000" w:fill="FFFFFF"/>
            <w:noWrap/>
            <w:vAlign w:val="bottom"/>
            <w:hideMark/>
          </w:tcPr>
          <w:p w14:paraId="55CB1FE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0.545</w:t>
            </w:r>
          </w:p>
        </w:tc>
        <w:tc>
          <w:tcPr>
            <w:tcW w:w="222" w:type="dxa"/>
            <w:tcBorders>
              <w:top w:val="nil"/>
              <w:left w:val="nil"/>
              <w:bottom w:val="nil"/>
              <w:right w:val="nil"/>
            </w:tcBorders>
            <w:shd w:val="clear" w:color="auto" w:fill="auto"/>
            <w:noWrap/>
            <w:vAlign w:val="bottom"/>
            <w:hideMark/>
          </w:tcPr>
          <w:p w14:paraId="6C93E012"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007F5C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854" w:type="dxa"/>
            <w:tcBorders>
              <w:top w:val="nil"/>
              <w:left w:val="nil"/>
              <w:bottom w:val="nil"/>
              <w:right w:val="nil"/>
            </w:tcBorders>
            <w:shd w:val="clear" w:color="000000" w:fill="FFFFFF"/>
            <w:noWrap/>
            <w:vAlign w:val="bottom"/>
            <w:hideMark/>
          </w:tcPr>
          <w:p w14:paraId="4C6B66B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0.512</w:t>
            </w:r>
          </w:p>
        </w:tc>
        <w:tc>
          <w:tcPr>
            <w:tcW w:w="854" w:type="dxa"/>
            <w:tcBorders>
              <w:top w:val="nil"/>
              <w:left w:val="nil"/>
              <w:bottom w:val="nil"/>
              <w:right w:val="nil"/>
            </w:tcBorders>
            <w:shd w:val="clear" w:color="000000" w:fill="A6A6A6"/>
            <w:noWrap/>
            <w:vAlign w:val="bottom"/>
            <w:hideMark/>
          </w:tcPr>
          <w:p w14:paraId="4F51765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0.579</w:t>
            </w:r>
          </w:p>
        </w:tc>
      </w:tr>
      <w:tr w:rsidR="007621E0" w:rsidRPr="00B87E87" w14:paraId="36A725E2" w14:textId="77777777" w:rsidTr="00E420DC">
        <w:trPr>
          <w:trHeight w:val="255"/>
        </w:trPr>
        <w:tc>
          <w:tcPr>
            <w:tcW w:w="538" w:type="dxa"/>
            <w:tcBorders>
              <w:top w:val="nil"/>
              <w:left w:val="nil"/>
              <w:bottom w:val="nil"/>
              <w:right w:val="nil"/>
            </w:tcBorders>
            <w:shd w:val="clear" w:color="auto" w:fill="auto"/>
            <w:noWrap/>
            <w:vAlign w:val="bottom"/>
            <w:hideMark/>
          </w:tcPr>
          <w:p w14:paraId="6A1BA279"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BABABA"/>
            <w:noWrap/>
            <w:vAlign w:val="bottom"/>
            <w:hideMark/>
          </w:tcPr>
          <w:p w14:paraId="4134FA3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0.503</w:t>
            </w:r>
          </w:p>
        </w:tc>
        <w:tc>
          <w:tcPr>
            <w:tcW w:w="699" w:type="dxa"/>
            <w:tcBorders>
              <w:top w:val="nil"/>
              <w:left w:val="nil"/>
              <w:bottom w:val="nil"/>
              <w:right w:val="nil"/>
            </w:tcBorders>
            <w:shd w:val="clear" w:color="000000" w:fill="C7C7C7"/>
            <w:noWrap/>
            <w:vAlign w:val="bottom"/>
            <w:hideMark/>
          </w:tcPr>
          <w:p w14:paraId="286FDCE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0.501</w:t>
            </w:r>
          </w:p>
        </w:tc>
        <w:tc>
          <w:tcPr>
            <w:tcW w:w="699" w:type="dxa"/>
            <w:tcBorders>
              <w:top w:val="nil"/>
              <w:left w:val="nil"/>
              <w:bottom w:val="nil"/>
              <w:right w:val="nil"/>
            </w:tcBorders>
            <w:shd w:val="clear" w:color="000000" w:fill="A6A6A6"/>
            <w:noWrap/>
            <w:vAlign w:val="bottom"/>
            <w:hideMark/>
          </w:tcPr>
          <w:p w14:paraId="667B853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0.505</w:t>
            </w:r>
          </w:p>
        </w:tc>
        <w:tc>
          <w:tcPr>
            <w:tcW w:w="699" w:type="dxa"/>
            <w:tcBorders>
              <w:top w:val="nil"/>
              <w:left w:val="nil"/>
              <w:bottom w:val="nil"/>
              <w:right w:val="nil"/>
            </w:tcBorders>
            <w:shd w:val="clear" w:color="000000" w:fill="FFFFFF"/>
            <w:noWrap/>
            <w:vAlign w:val="bottom"/>
            <w:hideMark/>
          </w:tcPr>
          <w:p w14:paraId="2BB2079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0.494</w:t>
            </w:r>
          </w:p>
        </w:tc>
        <w:tc>
          <w:tcPr>
            <w:tcW w:w="222" w:type="dxa"/>
            <w:tcBorders>
              <w:top w:val="nil"/>
              <w:left w:val="nil"/>
              <w:bottom w:val="nil"/>
              <w:right w:val="nil"/>
            </w:tcBorders>
            <w:shd w:val="clear" w:color="auto" w:fill="auto"/>
            <w:noWrap/>
            <w:vAlign w:val="bottom"/>
            <w:hideMark/>
          </w:tcPr>
          <w:p w14:paraId="67D8F9D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9F4FDAE"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DDDDDD"/>
            <w:noWrap/>
            <w:vAlign w:val="bottom"/>
            <w:hideMark/>
          </w:tcPr>
          <w:p w14:paraId="16B4B08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0.491</w:t>
            </w:r>
          </w:p>
        </w:tc>
        <w:tc>
          <w:tcPr>
            <w:tcW w:w="699" w:type="dxa"/>
            <w:tcBorders>
              <w:top w:val="nil"/>
              <w:left w:val="nil"/>
              <w:bottom w:val="nil"/>
              <w:right w:val="nil"/>
            </w:tcBorders>
            <w:shd w:val="clear" w:color="000000" w:fill="FFFFFF"/>
            <w:noWrap/>
            <w:vAlign w:val="bottom"/>
            <w:hideMark/>
          </w:tcPr>
          <w:p w14:paraId="2CE4633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0.487</w:t>
            </w:r>
          </w:p>
        </w:tc>
        <w:tc>
          <w:tcPr>
            <w:tcW w:w="699" w:type="dxa"/>
            <w:tcBorders>
              <w:top w:val="nil"/>
              <w:left w:val="nil"/>
              <w:bottom w:val="nil"/>
              <w:right w:val="nil"/>
            </w:tcBorders>
            <w:shd w:val="clear" w:color="000000" w:fill="A6A6A6"/>
            <w:noWrap/>
            <w:vAlign w:val="bottom"/>
            <w:hideMark/>
          </w:tcPr>
          <w:p w14:paraId="50BDFAD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0.498</w:t>
            </w:r>
          </w:p>
        </w:tc>
        <w:tc>
          <w:tcPr>
            <w:tcW w:w="699" w:type="dxa"/>
            <w:tcBorders>
              <w:top w:val="nil"/>
              <w:left w:val="nil"/>
              <w:bottom w:val="nil"/>
              <w:right w:val="nil"/>
            </w:tcBorders>
            <w:shd w:val="clear" w:color="000000" w:fill="E7E7E7"/>
            <w:noWrap/>
            <w:vAlign w:val="bottom"/>
            <w:hideMark/>
          </w:tcPr>
          <w:p w14:paraId="234D9C4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0.490</w:t>
            </w:r>
          </w:p>
        </w:tc>
        <w:tc>
          <w:tcPr>
            <w:tcW w:w="222" w:type="dxa"/>
            <w:tcBorders>
              <w:top w:val="nil"/>
              <w:left w:val="nil"/>
              <w:bottom w:val="nil"/>
              <w:right w:val="nil"/>
            </w:tcBorders>
            <w:shd w:val="clear" w:color="auto" w:fill="auto"/>
            <w:noWrap/>
            <w:vAlign w:val="bottom"/>
            <w:hideMark/>
          </w:tcPr>
          <w:p w14:paraId="7370CE71"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ACBAEA"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D2D2D2"/>
            <w:noWrap/>
            <w:vAlign w:val="bottom"/>
            <w:hideMark/>
          </w:tcPr>
          <w:p w14:paraId="028B723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0.507</w:t>
            </w:r>
          </w:p>
        </w:tc>
        <w:tc>
          <w:tcPr>
            <w:tcW w:w="699" w:type="dxa"/>
            <w:tcBorders>
              <w:top w:val="nil"/>
              <w:left w:val="nil"/>
              <w:bottom w:val="nil"/>
              <w:right w:val="nil"/>
            </w:tcBorders>
            <w:shd w:val="clear" w:color="000000" w:fill="FFFFFF"/>
            <w:noWrap/>
            <w:vAlign w:val="bottom"/>
            <w:hideMark/>
          </w:tcPr>
          <w:p w14:paraId="3AA934D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0.501</w:t>
            </w:r>
          </w:p>
        </w:tc>
        <w:tc>
          <w:tcPr>
            <w:tcW w:w="699" w:type="dxa"/>
            <w:tcBorders>
              <w:top w:val="nil"/>
              <w:left w:val="nil"/>
              <w:bottom w:val="nil"/>
              <w:right w:val="nil"/>
            </w:tcBorders>
            <w:shd w:val="clear" w:color="000000" w:fill="A6A6A6"/>
            <w:noWrap/>
            <w:vAlign w:val="bottom"/>
            <w:hideMark/>
          </w:tcPr>
          <w:p w14:paraId="085E0BC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0.514</w:t>
            </w:r>
          </w:p>
        </w:tc>
        <w:tc>
          <w:tcPr>
            <w:tcW w:w="699" w:type="dxa"/>
            <w:tcBorders>
              <w:top w:val="nil"/>
              <w:left w:val="nil"/>
              <w:bottom w:val="nil"/>
              <w:right w:val="nil"/>
            </w:tcBorders>
            <w:shd w:val="clear" w:color="000000" w:fill="E2E2E2"/>
            <w:noWrap/>
            <w:vAlign w:val="bottom"/>
            <w:hideMark/>
          </w:tcPr>
          <w:p w14:paraId="1AF6CE0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0.505</w:t>
            </w:r>
          </w:p>
        </w:tc>
        <w:tc>
          <w:tcPr>
            <w:tcW w:w="222" w:type="dxa"/>
            <w:tcBorders>
              <w:top w:val="nil"/>
              <w:left w:val="nil"/>
              <w:bottom w:val="nil"/>
              <w:right w:val="nil"/>
            </w:tcBorders>
            <w:shd w:val="clear" w:color="auto" w:fill="auto"/>
            <w:noWrap/>
            <w:vAlign w:val="bottom"/>
            <w:hideMark/>
          </w:tcPr>
          <w:p w14:paraId="094B8CC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263C59F"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854" w:type="dxa"/>
            <w:tcBorders>
              <w:top w:val="nil"/>
              <w:left w:val="nil"/>
              <w:bottom w:val="nil"/>
              <w:right w:val="nil"/>
            </w:tcBorders>
            <w:shd w:val="clear" w:color="000000" w:fill="FFFFFF"/>
            <w:noWrap/>
            <w:vAlign w:val="bottom"/>
            <w:hideMark/>
          </w:tcPr>
          <w:p w14:paraId="38A121C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0.459</w:t>
            </w:r>
          </w:p>
        </w:tc>
        <w:tc>
          <w:tcPr>
            <w:tcW w:w="854" w:type="dxa"/>
            <w:tcBorders>
              <w:top w:val="nil"/>
              <w:left w:val="nil"/>
              <w:bottom w:val="nil"/>
              <w:right w:val="nil"/>
            </w:tcBorders>
            <w:shd w:val="clear" w:color="000000" w:fill="A6A6A6"/>
            <w:noWrap/>
            <w:vAlign w:val="bottom"/>
            <w:hideMark/>
          </w:tcPr>
          <w:p w14:paraId="1898BD6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0.508</w:t>
            </w:r>
          </w:p>
        </w:tc>
      </w:tr>
      <w:tr w:rsidR="007621E0" w:rsidRPr="00B87E87" w14:paraId="7084B756" w14:textId="77777777" w:rsidTr="00E420DC">
        <w:trPr>
          <w:trHeight w:val="255"/>
        </w:trPr>
        <w:tc>
          <w:tcPr>
            <w:tcW w:w="538" w:type="dxa"/>
            <w:tcBorders>
              <w:top w:val="nil"/>
              <w:left w:val="nil"/>
              <w:bottom w:val="nil"/>
              <w:right w:val="nil"/>
            </w:tcBorders>
            <w:shd w:val="clear" w:color="auto" w:fill="auto"/>
            <w:noWrap/>
            <w:vAlign w:val="bottom"/>
            <w:hideMark/>
          </w:tcPr>
          <w:p w14:paraId="4565268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6F6F6"/>
            <w:noWrap/>
            <w:vAlign w:val="bottom"/>
            <w:hideMark/>
          </w:tcPr>
          <w:p w14:paraId="54847B5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0.382</w:t>
            </w:r>
          </w:p>
        </w:tc>
        <w:tc>
          <w:tcPr>
            <w:tcW w:w="699" w:type="dxa"/>
            <w:tcBorders>
              <w:top w:val="nil"/>
              <w:left w:val="nil"/>
              <w:bottom w:val="nil"/>
              <w:right w:val="nil"/>
            </w:tcBorders>
            <w:shd w:val="clear" w:color="000000" w:fill="FEFEFE"/>
            <w:noWrap/>
            <w:vAlign w:val="bottom"/>
            <w:hideMark/>
          </w:tcPr>
          <w:p w14:paraId="797D629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0.381</w:t>
            </w:r>
          </w:p>
        </w:tc>
        <w:tc>
          <w:tcPr>
            <w:tcW w:w="699" w:type="dxa"/>
            <w:tcBorders>
              <w:top w:val="nil"/>
              <w:left w:val="nil"/>
              <w:bottom w:val="nil"/>
              <w:right w:val="nil"/>
            </w:tcBorders>
            <w:shd w:val="clear" w:color="000000" w:fill="A6A6A6"/>
            <w:noWrap/>
            <w:vAlign w:val="bottom"/>
            <w:hideMark/>
          </w:tcPr>
          <w:p w14:paraId="5A3C49D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0.390</w:t>
            </w:r>
          </w:p>
        </w:tc>
        <w:tc>
          <w:tcPr>
            <w:tcW w:w="699" w:type="dxa"/>
            <w:tcBorders>
              <w:top w:val="nil"/>
              <w:left w:val="nil"/>
              <w:bottom w:val="nil"/>
              <w:right w:val="nil"/>
            </w:tcBorders>
            <w:shd w:val="clear" w:color="000000" w:fill="FFFFFF"/>
            <w:noWrap/>
            <w:vAlign w:val="bottom"/>
            <w:hideMark/>
          </w:tcPr>
          <w:p w14:paraId="55E8C6A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0.381</w:t>
            </w:r>
          </w:p>
        </w:tc>
        <w:tc>
          <w:tcPr>
            <w:tcW w:w="222" w:type="dxa"/>
            <w:tcBorders>
              <w:top w:val="nil"/>
              <w:left w:val="nil"/>
              <w:bottom w:val="nil"/>
              <w:right w:val="nil"/>
            </w:tcBorders>
            <w:shd w:val="clear" w:color="auto" w:fill="auto"/>
            <w:noWrap/>
            <w:vAlign w:val="bottom"/>
            <w:hideMark/>
          </w:tcPr>
          <w:p w14:paraId="5E197B1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294D2D7"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FFFFF"/>
            <w:noWrap/>
            <w:vAlign w:val="bottom"/>
            <w:hideMark/>
          </w:tcPr>
          <w:p w14:paraId="72694AA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0.368</w:t>
            </w:r>
          </w:p>
        </w:tc>
        <w:tc>
          <w:tcPr>
            <w:tcW w:w="699" w:type="dxa"/>
            <w:tcBorders>
              <w:top w:val="nil"/>
              <w:left w:val="nil"/>
              <w:bottom w:val="nil"/>
              <w:right w:val="nil"/>
            </w:tcBorders>
            <w:shd w:val="clear" w:color="000000" w:fill="EEEEEE"/>
            <w:noWrap/>
            <w:vAlign w:val="bottom"/>
            <w:hideMark/>
          </w:tcPr>
          <w:p w14:paraId="4C61227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0.372</w:t>
            </w:r>
          </w:p>
        </w:tc>
        <w:tc>
          <w:tcPr>
            <w:tcW w:w="699" w:type="dxa"/>
            <w:tcBorders>
              <w:top w:val="nil"/>
              <w:left w:val="nil"/>
              <w:bottom w:val="nil"/>
              <w:right w:val="nil"/>
            </w:tcBorders>
            <w:shd w:val="clear" w:color="000000" w:fill="A6A6A6"/>
            <w:noWrap/>
            <w:vAlign w:val="bottom"/>
            <w:hideMark/>
          </w:tcPr>
          <w:p w14:paraId="4573DB3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0.389</w:t>
            </w:r>
          </w:p>
        </w:tc>
        <w:tc>
          <w:tcPr>
            <w:tcW w:w="699" w:type="dxa"/>
            <w:tcBorders>
              <w:top w:val="nil"/>
              <w:left w:val="nil"/>
              <w:bottom w:val="nil"/>
              <w:right w:val="nil"/>
            </w:tcBorders>
            <w:shd w:val="clear" w:color="000000" w:fill="ADADAD"/>
            <w:noWrap/>
            <w:vAlign w:val="bottom"/>
            <w:hideMark/>
          </w:tcPr>
          <w:p w14:paraId="08AD985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0.387</w:t>
            </w:r>
          </w:p>
        </w:tc>
        <w:tc>
          <w:tcPr>
            <w:tcW w:w="222" w:type="dxa"/>
            <w:tcBorders>
              <w:top w:val="nil"/>
              <w:left w:val="nil"/>
              <w:bottom w:val="nil"/>
              <w:right w:val="nil"/>
            </w:tcBorders>
            <w:shd w:val="clear" w:color="auto" w:fill="auto"/>
            <w:noWrap/>
            <w:vAlign w:val="bottom"/>
            <w:hideMark/>
          </w:tcPr>
          <w:p w14:paraId="06BAD0ED"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7EDBCDC"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FFFFF"/>
            <w:noWrap/>
            <w:vAlign w:val="bottom"/>
            <w:hideMark/>
          </w:tcPr>
          <w:p w14:paraId="0673169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0.369</w:t>
            </w:r>
          </w:p>
        </w:tc>
        <w:tc>
          <w:tcPr>
            <w:tcW w:w="699" w:type="dxa"/>
            <w:tcBorders>
              <w:top w:val="nil"/>
              <w:left w:val="nil"/>
              <w:bottom w:val="nil"/>
              <w:right w:val="nil"/>
            </w:tcBorders>
            <w:shd w:val="clear" w:color="000000" w:fill="F0F0F0"/>
            <w:noWrap/>
            <w:vAlign w:val="bottom"/>
            <w:hideMark/>
          </w:tcPr>
          <w:p w14:paraId="08359FE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0.377</w:t>
            </w:r>
          </w:p>
        </w:tc>
        <w:tc>
          <w:tcPr>
            <w:tcW w:w="699" w:type="dxa"/>
            <w:tcBorders>
              <w:top w:val="nil"/>
              <w:left w:val="nil"/>
              <w:bottom w:val="nil"/>
              <w:right w:val="nil"/>
            </w:tcBorders>
            <w:shd w:val="clear" w:color="000000" w:fill="A6A6A6"/>
            <w:noWrap/>
            <w:vAlign w:val="bottom"/>
            <w:hideMark/>
          </w:tcPr>
          <w:p w14:paraId="0C452C7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0.417</w:t>
            </w:r>
          </w:p>
        </w:tc>
        <w:tc>
          <w:tcPr>
            <w:tcW w:w="699" w:type="dxa"/>
            <w:tcBorders>
              <w:top w:val="nil"/>
              <w:left w:val="nil"/>
              <w:bottom w:val="nil"/>
              <w:right w:val="nil"/>
            </w:tcBorders>
            <w:shd w:val="clear" w:color="000000" w:fill="C4C4C4"/>
            <w:noWrap/>
            <w:vAlign w:val="bottom"/>
            <w:hideMark/>
          </w:tcPr>
          <w:p w14:paraId="54C814F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0.401</w:t>
            </w:r>
          </w:p>
        </w:tc>
        <w:tc>
          <w:tcPr>
            <w:tcW w:w="222" w:type="dxa"/>
            <w:tcBorders>
              <w:top w:val="nil"/>
              <w:left w:val="nil"/>
              <w:bottom w:val="nil"/>
              <w:right w:val="nil"/>
            </w:tcBorders>
            <w:shd w:val="clear" w:color="auto" w:fill="auto"/>
            <w:noWrap/>
            <w:vAlign w:val="bottom"/>
            <w:hideMark/>
          </w:tcPr>
          <w:p w14:paraId="1AD84C7A"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6FA9F83"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854" w:type="dxa"/>
            <w:tcBorders>
              <w:top w:val="nil"/>
              <w:left w:val="nil"/>
              <w:bottom w:val="nil"/>
              <w:right w:val="nil"/>
            </w:tcBorders>
            <w:shd w:val="clear" w:color="000000" w:fill="FFFFFF"/>
            <w:noWrap/>
            <w:vAlign w:val="bottom"/>
            <w:hideMark/>
          </w:tcPr>
          <w:p w14:paraId="07C6517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0.335</w:t>
            </w:r>
          </w:p>
        </w:tc>
        <w:tc>
          <w:tcPr>
            <w:tcW w:w="854" w:type="dxa"/>
            <w:tcBorders>
              <w:top w:val="nil"/>
              <w:left w:val="nil"/>
              <w:bottom w:val="nil"/>
              <w:right w:val="nil"/>
            </w:tcBorders>
            <w:shd w:val="clear" w:color="000000" w:fill="A6A6A6"/>
            <w:noWrap/>
            <w:vAlign w:val="bottom"/>
            <w:hideMark/>
          </w:tcPr>
          <w:p w14:paraId="5E2FF2D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0.427</w:t>
            </w:r>
          </w:p>
        </w:tc>
      </w:tr>
      <w:tr w:rsidR="007621E0" w:rsidRPr="00B87E87" w14:paraId="4C2AFD16" w14:textId="77777777" w:rsidTr="00E420DC">
        <w:trPr>
          <w:trHeight w:val="255"/>
        </w:trPr>
        <w:tc>
          <w:tcPr>
            <w:tcW w:w="538" w:type="dxa"/>
            <w:tcBorders>
              <w:top w:val="nil"/>
              <w:left w:val="nil"/>
              <w:bottom w:val="nil"/>
              <w:right w:val="nil"/>
            </w:tcBorders>
            <w:shd w:val="clear" w:color="auto" w:fill="auto"/>
            <w:noWrap/>
            <w:vAlign w:val="bottom"/>
            <w:hideMark/>
          </w:tcPr>
          <w:p w14:paraId="2E7A6125"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A6A6A6"/>
            <w:noWrap/>
            <w:vAlign w:val="bottom"/>
            <w:hideMark/>
          </w:tcPr>
          <w:p w14:paraId="27ED888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0.382</w:t>
            </w:r>
          </w:p>
        </w:tc>
        <w:tc>
          <w:tcPr>
            <w:tcW w:w="699" w:type="dxa"/>
            <w:tcBorders>
              <w:top w:val="nil"/>
              <w:left w:val="nil"/>
              <w:bottom w:val="nil"/>
              <w:right w:val="nil"/>
            </w:tcBorders>
            <w:shd w:val="clear" w:color="000000" w:fill="C2C2C2"/>
            <w:noWrap/>
            <w:vAlign w:val="bottom"/>
            <w:hideMark/>
          </w:tcPr>
          <w:p w14:paraId="5E9AA25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0.378</w:t>
            </w:r>
          </w:p>
        </w:tc>
        <w:tc>
          <w:tcPr>
            <w:tcW w:w="699" w:type="dxa"/>
            <w:tcBorders>
              <w:top w:val="nil"/>
              <w:left w:val="nil"/>
              <w:bottom w:val="nil"/>
              <w:right w:val="nil"/>
            </w:tcBorders>
            <w:shd w:val="clear" w:color="000000" w:fill="FEFEFE"/>
            <w:noWrap/>
            <w:vAlign w:val="bottom"/>
            <w:hideMark/>
          </w:tcPr>
          <w:p w14:paraId="6D51D50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0.369</w:t>
            </w:r>
          </w:p>
        </w:tc>
        <w:tc>
          <w:tcPr>
            <w:tcW w:w="699" w:type="dxa"/>
            <w:tcBorders>
              <w:top w:val="nil"/>
              <w:left w:val="nil"/>
              <w:bottom w:val="nil"/>
              <w:right w:val="nil"/>
            </w:tcBorders>
            <w:shd w:val="clear" w:color="000000" w:fill="FFFFFF"/>
            <w:noWrap/>
            <w:vAlign w:val="bottom"/>
            <w:hideMark/>
          </w:tcPr>
          <w:p w14:paraId="7765E14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0.369</w:t>
            </w:r>
          </w:p>
        </w:tc>
        <w:tc>
          <w:tcPr>
            <w:tcW w:w="222" w:type="dxa"/>
            <w:tcBorders>
              <w:top w:val="nil"/>
              <w:left w:val="nil"/>
              <w:bottom w:val="nil"/>
              <w:right w:val="nil"/>
            </w:tcBorders>
            <w:shd w:val="clear" w:color="auto" w:fill="auto"/>
            <w:noWrap/>
            <w:vAlign w:val="bottom"/>
            <w:hideMark/>
          </w:tcPr>
          <w:p w14:paraId="1A7F5C8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30E29EC"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A7A7A7"/>
            <w:noWrap/>
            <w:vAlign w:val="bottom"/>
            <w:hideMark/>
          </w:tcPr>
          <w:p w14:paraId="716B0C0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0.415</w:t>
            </w:r>
          </w:p>
        </w:tc>
        <w:tc>
          <w:tcPr>
            <w:tcW w:w="699" w:type="dxa"/>
            <w:tcBorders>
              <w:top w:val="nil"/>
              <w:left w:val="nil"/>
              <w:bottom w:val="nil"/>
              <w:right w:val="nil"/>
            </w:tcBorders>
            <w:shd w:val="clear" w:color="000000" w:fill="D2D2D2"/>
            <w:noWrap/>
            <w:vAlign w:val="bottom"/>
            <w:hideMark/>
          </w:tcPr>
          <w:p w14:paraId="32B8C1A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0.397</w:t>
            </w:r>
          </w:p>
        </w:tc>
        <w:tc>
          <w:tcPr>
            <w:tcW w:w="699" w:type="dxa"/>
            <w:tcBorders>
              <w:top w:val="nil"/>
              <w:left w:val="nil"/>
              <w:bottom w:val="nil"/>
              <w:right w:val="nil"/>
            </w:tcBorders>
            <w:shd w:val="clear" w:color="000000" w:fill="FFFFFF"/>
            <w:noWrap/>
            <w:vAlign w:val="bottom"/>
            <w:hideMark/>
          </w:tcPr>
          <w:p w14:paraId="74EA198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0.378</w:t>
            </w:r>
          </w:p>
        </w:tc>
        <w:tc>
          <w:tcPr>
            <w:tcW w:w="699" w:type="dxa"/>
            <w:tcBorders>
              <w:top w:val="nil"/>
              <w:left w:val="nil"/>
              <w:bottom w:val="nil"/>
              <w:right w:val="nil"/>
            </w:tcBorders>
            <w:shd w:val="clear" w:color="000000" w:fill="A6A6A6"/>
            <w:noWrap/>
            <w:vAlign w:val="bottom"/>
            <w:hideMark/>
          </w:tcPr>
          <w:p w14:paraId="53E2458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0.415</w:t>
            </w:r>
          </w:p>
        </w:tc>
        <w:tc>
          <w:tcPr>
            <w:tcW w:w="222" w:type="dxa"/>
            <w:tcBorders>
              <w:top w:val="nil"/>
              <w:left w:val="nil"/>
              <w:bottom w:val="nil"/>
              <w:right w:val="nil"/>
            </w:tcBorders>
            <w:shd w:val="clear" w:color="auto" w:fill="auto"/>
            <w:noWrap/>
            <w:vAlign w:val="bottom"/>
            <w:hideMark/>
          </w:tcPr>
          <w:p w14:paraId="2A92450E"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86FEAF9"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FFFFFF"/>
            <w:noWrap/>
            <w:vAlign w:val="bottom"/>
            <w:hideMark/>
          </w:tcPr>
          <w:p w14:paraId="089637D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0.381</w:t>
            </w:r>
          </w:p>
        </w:tc>
        <w:tc>
          <w:tcPr>
            <w:tcW w:w="699" w:type="dxa"/>
            <w:tcBorders>
              <w:top w:val="nil"/>
              <w:left w:val="nil"/>
              <w:bottom w:val="nil"/>
              <w:right w:val="nil"/>
            </w:tcBorders>
            <w:shd w:val="clear" w:color="000000" w:fill="E5E5E5"/>
            <w:noWrap/>
            <w:vAlign w:val="bottom"/>
            <w:hideMark/>
          </w:tcPr>
          <w:p w14:paraId="05E8DD5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0.401</w:t>
            </w:r>
          </w:p>
        </w:tc>
        <w:tc>
          <w:tcPr>
            <w:tcW w:w="699" w:type="dxa"/>
            <w:tcBorders>
              <w:top w:val="nil"/>
              <w:left w:val="nil"/>
              <w:bottom w:val="nil"/>
              <w:right w:val="nil"/>
            </w:tcBorders>
            <w:shd w:val="clear" w:color="000000" w:fill="A6A6A6"/>
            <w:noWrap/>
            <w:vAlign w:val="bottom"/>
            <w:hideMark/>
          </w:tcPr>
          <w:p w14:paraId="518123B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0.449</w:t>
            </w:r>
          </w:p>
        </w:tc>
        <w:tc>
          <w:tcPr>
            <w:tcW w:w="699" w:type="dxa"/>
            <w:tcBorders>
              <w:top w:val="nil"/>
              <w:left w:val="nil"/>
              <w:bottom w:val="nil"/>
              <w:right w:val="nil"/>
            </w:tcBorders>
            <w:shd w:val="clear" w:color="000000" w:fill="E1E1E1"/>
            <w:noWrap/>
            <w:vAlign w:val="bottom"/>
            <w:hideMark/>
          </w:tcPr>
          <w:p w14:paraId="6243B84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0.404</w:t>
            </w:r>
          </w:p>
        </w:tc>
        <w:tc>
          <w:tcPr>
            <w:tcW w:w="222" w:type="dxa"/>
            <w:tcBorders>
              <w:top w:val="nil"/>
              <w:left w:val="nil"/>
              <w:bottom w:val="nil"/>
              <w:right w:val="nil"/>
            </w:tcBorders>
            <w:shd w:val="clear" w:color="auto" w:fill="auto"/>
            <w:noWrap/>
            <w:vAlign w:val="bottom"/>
            <w:hideMark/>
          </w:tcPr>
          <w:p w14:paraId="5B029B92"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E1706F6"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854" w:type="dxa"/>
            <w:tcBorders>
              <w:top w:val="nil"/>
              <w:left w:val="nil"/>
              <w:bottom w:val="nil"/>
              <w:right w:val="nil"/>
            </w:tcBorders>
            <w:shd w:val="clear" w:color="000000" w:fill="FFFFFF"/>
            <w:noWrap/>
            <w:vAlign w:val="bottom"/>
            <w:hideMark/>
          </w:tcPr>
          <w:p w14:paraId="2472B37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0.423</w:t>
            </w:r>
          </w:p>
        </w:tc>
        <w:tc>
          <w:tcPr>
            <w:tcW w:w="854" w:type="dxa"/>
            <w:tcBorders>
              <w:top w:val="nil"/>
              <w:left w:val="nil"/>
              <w:bottom w:val="nil"/>
              <w:right w:val="nil"/>
            </w:tcBorders>
            <w:shd w:val="clear" w:color="000000" w:fill="A6A6A6"/>
            <w:noWrap/>
            <w:vAlign w:val="bottom"/>
            <w:hideMark/>
          </w:tcPr>
          <w:p w14:paraId="5F5B49C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0.500</w:t>
            </w:r>
          </w:p>
        </w:tc>
      </w:tr>
      <w:tr w:rsidR="007621E0" w:rsidRPr="00B87E87" w14:paraId="3B736042" w14:textId="77777777" w:rsidTr="00E420DC">
        <w:trPr>
          <w:trHeight w:val="255"/>
        </w:trPr>
        <w:tc>
          <w:tcPr>
            <w:tcW w:w="538" w:type="dxa"/>
            <w:tcBorders>
              <w:top w:val="nil"/>
              <w:left w:val="nil"/>
              <w:bottom w:val="nil"/>
              <w:right w:val="nil"/>
            </w:tcBorders>
            <w:shd w:val="clear" w:color="auto" w:fill="auto"/>
            <w:noWrap/>
            <w:vAlign w:val="bottom"/>
            <w:hideMark/>
          </w:tcPr>
          <w:p w14:paraId="283C170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A6A6A6"/>
            <w:noWrap/>
            <w:vAlign w:val="bottom"/>
            <w:hideMark/>
          </w:tcPr>
          <w:p w14:paraId="244B24F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0.611</w:t>
            </w:r>
          </w:p>
        </w:tc>
        <w:tc>
          <w:tcPr>
            <w:tcW w:w="699" w:type="dxa"/>
            <w:tcBorders>
              <w:top w:val="nil"/>
              <w:left w:val="nil"/>
              <w:bottom w:val="nil"/>
              <w:right w:val="nil"/>
            </w:tcBorders>
            <w:shd w:val="clear" w:color="000000" w:fill="C1C1C1"/>
            <w:noWrap/>
            <w:vAlign w:val="bottom"/>
            <w:hideMark/>
          </w:tcPr>
          <w:p w14:paraId="71D5893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0.560</w:t>
            </w:r>
          </w:p>
        </w:tc>
        <w:tc>
          <w:tcPr>
            <w:tcW w:w="699" w:type="dxa"/>
            <w:tcBorders>
              <w:top w:val="nil"/>
              <w:left w:val="nil"/>
              <w:bottom w:val="nil"/>
              <w:right w:val="nil"/>
            </w:tcBorders>
            <w:shd w:val="clear" w:color="000000" w:fill="FFFFFF"/>
            <w:noWrap/>
            <w:vAlign w:val="bottom"/>
            <w:hideMark/>
          </w:tcPr>
          <w:p w14:paraId="27FD13D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0.442</w:t>
            </w:r>
          </w:p>
        </w:tc>
        <w:tc>
          <w:tcPr>
            <w:tcW w:w="699" w:type="dxa"/>
            <w:tcBorders>
              <w:top w:val="nil"/>
              <w:left w:val="nil"/>
              <w:bottom w:val="nil"/>
              <w:right w:val="nil"/>
            </w:tcBorders>
            <w:shd w:val="clear" w:color="000000" w:fill="D0D0D0"/>
            <w:noWrap/>
            <w:vAlign w:val="bottom"/>
            <w:hideMark/>
          </w:tcPr>
          <w:p w14:paraId="32EFD0E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0.531</w:t>
            </w:r>
          </w:p>
        </w:tc>
        <w:tc>
          <w:tcPr>
            <w:tcW w:w="222" w:type="dxa"/>
            <w:tcBorders>
              <w:top w:val="nil"/>
              <w:left w:val="nil"/>
              <w:bottom w:val="nil"/>
              <w:right w:val="nil"/>
            </w:tcBorders>
            <w:shd w:val="clear" w:color="auto" w:fill="auto"/>
            <w:noWrap/>
            <w:vAlign w:val="bottom"/>
            <w:hideMark/>
          </w:tcPr>
          <w:p w14:paraId="352D78DF"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C82C5C6"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A6A6A6"/>
            <w:noWrap/>
            <w:vAlign w:val="bottom"/>
            <w:hideMark/>
          </w:tcPr>
          <w:p w14:paraId="2FEA10B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0.481</w:t>
            </w:r>
          </w:p>
        </w:tc>
        <w:tc>
          <w:tcPr>
            <w:tcW w:w="699" w:type="dxa"/>
            <w:tcBorders>
              <w:top w:val="nil"/>
              <w:left w:val="nil"/>
              <w:bottom w:val="nil"/>
              <w:right w:val="nil"/>
            </w:tcBorders>
            <w:shd w:val="clear" w:color="000000" w:fill="B0B0B0"/>
            <w:noWrap/>
            <w:vAlign w:val="bottom"/>
            <w:hideMark/>
          </w:tcPr>
          <w:p w14:paraId="418F7FB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0.469</w:t>
            </w:r>
          </w:p>
        </w:tc>
        <w:tc>
          <w:tcPr>
            <w:tcW w:w="699" w:type="dxa"/>
            <w:tcBorders>
              <w:top w:val="nil"/>
              <w:left w:val="nil"/>
              <w:bottom w:val="nil"/>
              <w:right w:val="nil"/>
            </w:tcBorders>
            <w:shd w:val="clear" w:color="000000" w:fill="FFFFFF"/>
            <w:noWrap/>
            <w:vAlign w:val="bottom"/>
            <w:hideMark/>
          </w:tcPr>
          <w:p w14:paraId="39235D6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0.356</w:t>
            </w:r>
          </w:p>
        </w:tc>
        <w:tc>
          <w:tcPr>
            <w:tcW w:w="699" w:type="dxa"/>
            <w:tcBorders>
              <w:top w:val="nil"/>
              <w:left w:val="nil"/>
              <w:bottom w:val="nil"/>
              <w:right w:val="nil"/>
            </w:tcBorders>
            <w:shd w:val="clear" w:color="000000" w:fill="CFCFCF"/>
            <w:noWrap/>
            <w:vAlign w:val="bottom"/>
            <w:hideMark/>
          </w:tcPr>
          <w:p w14:paraId="1CC3350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0.425</w:t>
            </w:r>
          </w:p>
        </w:tc>
        <w:tc>
          <w:tcPr>
            <w:tcW w:w="222" w:type="dxa"/>
            <w:tcBorders>
              <w:top w:val="nil"/>
              <w:left w:val="nil"/>
              <w:bottom w:val="nil"/>
              <w:right w:val="nil"/>
            </w:tcBorders>
            <w:shd w:val="clear" w:color="auto" w:fill="auto"/>
            <w:noWrap/>
            <w:vAlign w:val="bottom"/>
            <w:hideMark/>
          </w:tcPr>
          <w:p w14:paraId="07D603A5"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85689F6"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6AF784F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0.429</w:t>
            </w:r>
          </w:p>
        </w:tc>
        <w:tc>
          <w:tcPr>
            <w:tcW w:w="699" w:type="dxa"/>
            <w:tcBorders>
              <w:top w:val="nil"/>
              <w:left w:val="nil"/>
              <w:bottom w:val="nil"/>
              <w:right w:val="nil"/>
            </w:tcBorders>
            <w:shd w:val="clear" w:color="000000" w:fill="A6A6A6"/>
            <w:noWrap/>
            <w:vAlign w:val="bottom"/>
            <w:hideMark/>
          </w:tcPr>
          <w:p w14:paraId="34B51FC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0.478</w:t>
            </w:r>
          </w:p>
        </w:tc>
        <w:tc>
          <w:tcPr>
            <w:tcW w:w="699" w:type="dxa"/>
            <w:tcBorders>
              <w:top w:val="nil"/>
              <w:left w:val="nil"/>
              <w:bottom w:val="nil"/>
              <w:right w:val="nil"/>
            </w:tcBorders>
            <w:shd w:val="clear" w:color="000000" w:fill="D3D3D3"/>
            <w:noWrap/>
            <w:vAlign w:val="bottom"/>
            <w:hideMark/>
          </w:tcPr>
          <w:p w14:paraId="239198C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0.453</w:t>
            </w:r>
          </w:p>
        </w:tc>
        <w:tc>
          <w:tcPr>
            <w:tcW w:w="699" w:type="dxa"/>
            <w:tcBorders>
              <w:top w:val="nil"/>
              <w:left w:val="nil"/>
              <w:bottom w:val="nil"/>
              <w:right w:val="nil"/>
            </w:tcBorders>
            <w:shd w:val="clear" w:color="000000" w:fill="C7C7C7"/>
            <w:noWrap/>
            <w:vAlign w:val="bottom"/>
            <w:hideMark/>
          </w:tcPr>
          <w:p w14:paraId="239E983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0.460</w:t>
            </w:r>
          </w:p>
        </w:tc>
        <w:tc>
          <w:tcPr>
            <w:tcW w:w="222" w:type="dxa"/>
            <w:tcBorders>
              <w:top w:val="nil"/>
              <w:left w:val="nil"/>
              <w:bottom w:val="nil"/>
              <w:right w:val="nil"/>
            </w:tcBorders>
            <w:shd w:val="clear" w:color="auto" w:fill="auto"/>
            <w:noWrap/>
            <w:vAlign w:val="bottom"/>
            <w:hideMark/>
          </w:tcPr>
          <w:p w14:paraId="1642E109"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EBFC254"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854" w:type="dxa"/>
            <w:tcBorders>
              <w:top w:val="nil"/>
              <w:left w:val="nil"/>
              <w:bottom w:val="nil"/>
              <w:right w:val="nil"/>
            </w:tcBorders>
            <w:shd w:val="clear" w:color="000000" w:fill="FFFFFF"/>
            <w:noWrap/>
            <w:vAlign w:val="bottom"/>
            <w:hideMark/>
          </w:tcPr>
          <w:p w14:paraId="3D8EE2D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0.500</w:t>
            </w:r>
          </w:p>
        </w:tc>
        <w:tc>
          <w:tcPr>
            <w:tcW w:w="854" w:type="dxa"/>
            <w:tcBorders>
              <w:top w:val="nil"/>
              <w:left w:val="nil"/>
              <w:bottom w:val="nil"/>
              <w:right w:val="nil"/>
            </w:tcBorders>
            <w:shd w:val="clear" w:color="000000" w:fill="A6A6A6"/>
            <w:noWrap/>
            <w:vAlign w:val="bottom"/>
            <w:hideMark/>
          </w:tcPr>
          <w:p w14:paraId="2DA203A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0.558</w:t>
            </w:r>
          </w:p>
        </w:tc>
      </w:tr>
      <w:tr w:rsidR="007621E0" w:rsidRPr="00B87E87" w14:paraId="713700DC" w14:textId="77777777" w:rsidTr="00E420DC">
        <w:trPr>
          <w:trHeight w:val="255"/>
        </w:trPr>
        <w:tc>
          <w:tcPr>
            <w:tcW w:w="538" w:type="dxa"/>
            <w:tcBorders>
              <w:top w:val="nil"/>
              <w:left w:val="nil"/>
              <w:bottom w:val="nil"/>
              <w:right w:val="nil"/>
            </w:tcBorders>
            <w:shd w:val="clear" w:color="auto" w:fill="auto"/>
            <w:noWrap/>
            <w:vAlign w:val="bottom"/>
            <w:hideMark/>
          </w:tcPr>
          <w:p w14:paraId="5440931A"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FFFFF"/>
            <w:noWrap/>
            <w:vAlign w:val="bottom"/>
            <w:hideMark/>
          </w:tcPr>
          <w:p w14:paraId="4C581F1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FFFFFF"/>
            <w:noWrap/>
            <w:vAlign w:val="bottom"/>
            <w:hideMark/>
          </w:tcPr>
          <w:p w14:paraId="6BAD9C9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D3D3D3"/>
            <w:noWrap/>
            <w:vAlign w:val="bottom"/>
            <w:hideMark/>
          </w:tcPr>
          <w:p w14:paraId="7E5DCBA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0.500</w:t>
            </w:r>
          </w:p>
        </w:tc>
        <w:tc>
          <w:tcPr>
            <w:tcW w:w="699" w:type="dxa"/>
            <w:tcBorders>
              <w:top w:val="nil"/>
              <w:left w:val="nil"/>
              <w:bottom w:val="nil"/>
              <w:right w:val="nil"/>
            </w:tcBorders>
            <w:shd w:val="clear" w:color="000000" w:fill="A6A6A6"/>
            <w:noWrap/>
            <w:vAlign w:val="bottom"/>
            <w:hideMark/>
          </w:tcPr>
          <w:p w14:paraId="6F5BEFA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1.000</w:t>
            </w:r>
          </w:p>
        </w:tc>
        <w:tc>
          <w:tcPr>
            <w:tcW w:w="222" w:type="dxa"/>
            <w:tcBorders>
              <w:top w:val="nil"/>
              <w:left w:val="nil"/>
              <w:bottom w:val="nil"/>
              <w:right w:val="nil"/>
            </w:tcBorders>
            <w:shd w:val="clear" w:color="auto" w:fill="auto"/>
            <w:noWrap/>
            <w:vAlign w:val="bottom"/>
            <w:hideMark/>
          </w:tcPr>
          <w:p w14:paraId="35050BD2"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DA33568"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A6A6A6"/>
            <w:noWrap/>
            <w:vAlign w:val="bottom"/>
            <w:hideMark/>
          </w:tcPr>
          <w:p w14:paraId="1944A08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0.400</w:t>
            </w:r>
          </w:p>
        </w:tc>
        <w:tc>
          <w:tcPr>
            <w:tcW w:w="699" w:type="dxa"/>
            <w:tcBorders>
              <w:top w:val="nil"/>
              <w:left w:val="nil"/>
              <w:bottom w:val="nil"/>
              <w:right w:val="nil"/>
            </w:tcBorders>
            <w:shd w:val="clear" w:color="000000" w:fill="F2F2F2"/>
            <w:noWrap/>
            <w:vAlign w:val="bottom"/>
            <w:hideMark/>
          </w:tcPr>
          <w:p w14:paraId="78CE913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0.364</w:t>
            </w:r>
          </w:p>
        </w:tc>
        <w:tc>
          <w:tcPr>
            <w:tcW w:w="699" w:type="dxa"/>
            <w:tcBorders>
              <w:top w:val="nil"/>
              <w:left w:val="nil"/>
              <w:bottom w:val="nil"/>
              <w:right w:val="nil"/>
            </w:tcBorders>
            <w:shd w:val="clear" w:color="000000" w:fill="FFFFFF"/>
            <w:noWrap/>
            <w:vAlign w:val="bottom"/>
            <w:hideMark/>
          </w:tcPr>
          <w:p w14:paraId="27A6AE3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0.357</w:t>
            </w:r>
          </w:p>
        </w:tc>
        <w:tc>
          <w:tcPr>
            <w:tcW w:w="699" w:type="dxa"/>
            <w:tcBorders>
              <w:top w:val="nil"/>
              <w:left w:val="nil"/>
              <w:bottom w:val="nil"/>
              <w:right w:val="nil"/>
            </w:tcBorders>
            <w:shd w:val="clear" w:color="000000" w:fill="A6A6A6"/>
            <w:noWrap/>
            <w:vAlign w:val="bottom"/>
            <w:hideMark/>
          </w:tcPr>
          <w:p w14:paraId="40768B4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0.400</w:t>
            </w:r>
          </w:p>
        </w:tc>
        <w:tc>
          <w:tcPr>
            <w:tcW w:w="222" w:type="dxa"/>
            <w:tcBorders>
              <w:top w:val="nil"/>
              <w:left w:val="nil"/>
              <w:bottom w:val="nil"/>
              <w:right w:val="nil"/>
            </w:tcBorders>
            <w:shd w:val="clear" w:color="auto" w:fill="auto"/>
            <w:noWrap/>
            <w:vAlign w:val="bottom"/>
            <w:hideMark/>
          </w:tcPr>
          <w:p w14:paraId="1EC958E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D64DF1A"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2F2F2"/>
            <w:noWrap/>
            <w:vAlign w:val="bottom"/>
            <w:hideMark/>
          </w:tcPr>
          <w:p w14:paraId="11CFB6F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0.406</w:t>
            </w:r>
          </w:p>
        </w:tc>
        <w:tc>
          <w:tcPr>
            <w:tcW w:w="699" w:type="dxa"/>
            <w:tcBorders>
              <w:top w:val="nil"/>
              <w:left w:val="nil"/>
              <w:bottom w:val="nil"/>
              <w:right w:val="nil"/>
            </w:tcBorders>
            <w:shd w:val="clear" w:color="000000" w:fill="FFFFFF"/>
            <w:noWrap/>
            <w:vAlign w:val="bottom"/>
            <w:hideMark/>
          </w:tcPr>
          <w:p w14:paraId="68AB2FB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0.387</w:t>
            </w:r>
          </w:p>
        </w:tc>
        <w:tc>
          <w:tcPr>
            <w:tcW w:w="699" w:type="dxa"/>
            <w:tcBorders>
              <w:top w:val="nil"/>
              <w:left w:val="nil"/>
              <w:bottom w:val="nil"/>
              <w:right w:val="nil"/>
            </w:tcBorders>
            <w:shd w:val="clear" w:color="000000" w:fill="A6A6A6"/>
            <w:noWrap/>
            <w:vAlign w:val="bottom"/>
            <w:hideMark/>
          </w:tcPr>
          <w:p w14:paraId="0A5287B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0.514</w:t>
            </w:r>
          </w:p>
        </w:tc>
        <w:tc>
          <w:tcPr>
            <w:tcW w:w="699" w:type="dxa"/>
            <w:tcBorders>
              <w:top w:val="nil"/>
              <w:left w:val="nil"/>
              <w:bottom w:val="nil"/>
              <w:right w:val="nil"/>
            </w:tcBorders>
            <w:shd w:val="clear" w:color="000000" w:fill="D2D2D2"/>
            <w:noWrap/>
            <w:vAlign w:val="bottom"/>
            <w:hideMark/>
          </w:tcPr>
          <w:p w14:paraId="1B2CC06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0.452</w:t>
            </w:r>
          </w:p>
        </w:tc>
        <w:tc>
          <w:tcPr>
            <w:tcW w:w="222" w:type="dxa"/>
            <w:tcBorders>
              <w:top w:val="nil"/>
              <w:left w:val="nil"/>
              <w:bottom w:val="nil"/>
              <w:right w:val="nil"/>
            </w:tcBorders>
            <w:shd w:val="clear" w:color="auto" w:fill="auto"/>
            <w:noWrap/>
            <w:vAlign w:val="bottom"/>
            <w:hideMark/>
          </w:tcPr>
          <w:p w14:paraId="1EDE4294"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FACF7B7"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854" w:type="dxa"/>
            <w:tcBorders>
              <w:top w:val="nil"/>
              <w:left w:val="nil"/>
              <w:bottom w:val="nil"/>
              <w:right w:val="nil"/>
            </w:tcBorders>
            <w:shd w:val="clear" w:color="000000" w:fill="FFFFFF"/>
            <w:noWrap/>
            <w:vAlign w:val="bottom"/>
            <w:hideMark/>
          </w:tcPr>
          <w:p w14:paraId="39A7FA0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854" w:type="dxa"/>
            <w:tcBorders>
              <w:top w:val="nil"/>
              <w:left w:val="nil"/>
              <w:bottom w:val="nil"/>
              <w:right w:val="nil"/>
            </w:tcBorders>
            <w:shd w:val="clear" w:color="000000" w:fill="A6A6A6"/>
            <w:noWrap/>
            <w:vAlign w:val="bottom"/>
            <w:hideMark/>
          </w:tcPr>
          <w:p w14:paraId="7C30A50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0.517</w:t>
            </w:r>
          </w:p>
        </w:tc>
      </w:tr>
      <w:tr w:rsidR="007621E0" w:rsidRPr="00B87E87" w14:paraId="38A62F53" w14:textId="77777777" w:rsidTr="00E420DC">
        <w:trPr>
          <w:trHeight w:val="255"/>
        </w:trPr>
        <w:tc>
          <w:tcPr>
            <w:tcW w:w="538" w:type="dxa"/>
            <w:tcBorders>
              <w:top w:val="nil"/>
              <w:left w:val="nil"/>
              <w:bottom w:val="nil"/>
              <w:right w:val="nil"/>
            </w:tcBorders>
            <w:shd w:val="clear" w:color="auto" w:fill="auto"/>
            <w:noWrap/>
            <w:vAlign w:val="bottom"/>
            <w:hideMark/>
          </w:tcPr>
          <w:p w14:paraId="6628EE88"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auto" w:fill="auto"/>
            <w:noWrap/>
            <w:vAlign w:val="bottom"/>
            <w:hideMark/>
          </w:tcPr>
          <w:p w14:paraId="4B53C5ED"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7DCEBD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151642A"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A7C61CB"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0C08DFA"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16137282"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031CB208"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EE6975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F49253F"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426D2A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406C38BE"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12C9B654"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F647E2B"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D4926AB"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A5D28F0"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2F86F95"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5FDD6C4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4C901F76"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5013BDC5"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2064087C"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r>
      <w:tr w:rsidR="007621E0" w:rsidRPr="00B87E87" w14:paraId="24E99DB6" w14:textId="77777777" w:rsidTr="00E420DC">
        <w:trPr>
          <w:trHeight w:val="255"/>
        </w:trPr>
        <w:tc>
          <w:tcPr>
            <w:tcW w:w="538" w:type="dxa"/>
            <w:tcBorders>
              <w:top w:val="nil"/>
              <w:left w:val="nil"/>
              <w:bottom w:val="nil"/>
              <w:right w:val="nil"/>
            </w:tcBorders>
            <w:shd w:val="clear" w:color="auto" w:fill="auto"/>
            <w:noWrap/>
            <w:vAlign w:val="bottom"/>
            <w:hideMark/>
          </w:tcPr>
          <w:p w14:paraId="5A72586B"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6FB6F5D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5901DAF9"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73A6031"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55891A8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07CCA2DD"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090B3A1"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5A47FBE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1698CE80"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F36D3B2"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1708" w:type="dxa"/>
            <w:gridSpan w:val="2"/>
            <w:tcBorders>
              <w:top w:val="nil"/>
              <w:left w:val="nil"/>
              <w:bottom w:val="single" w:sz="4" w:space="0" w:color="auto"/>
              <w:right w:val="nil"/>
            </w:tcBorders>
            <w:shd w:val="clear" w:color="auto" w:fill="auto"/>
            <w:noWrap/>
            <w:vAlign w:val="bottom"/>
            <w:hideMark/>
          </w:tcPr>
          <w:p w14:paraId="756453A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r>
      <w:tr w:rsidR="007621E0" w:rsidRPr="00B87E87" w14:paraId="1B675A1A" w14:textId="77777777" w:rsidTr="00E420DC">
        <w:trPr>
          <w:trHeight w:val="255"/>
        </w:trPr>
        <w:tc>
          <w:tcPr>
            <w:tcW w:w="538" w:type="dxa"/>
            <w:tcBorders>
              <w:top w:val="nil"/>
              <w:left w:val="nil"/>
              <w:bottom w:val="nil"/>
              <w:right w:val="nil"/>
            </w:tcBorders>
            <w:shd w:val="clear" w:color="auto" w:fill="auto"/>
            <w:noWrap/>
            <w:vAlign w:val="bottom"/>
            <w:hideMark/>
          </w:tcPr>
          <w:p w14:paraId="31540E95"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000000" w:fill="CBCBCB"/>
            <w:noWrap/>
            <w:vAlign w:val="bottom"/>
            <w:hideMark/>
          </w:tcPr>
          <w:p w14:paraId="00C03E3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0.219</w:t>
            </w:r>
          </w:p>
        </w:tc>
        <w:tc>
          <w:tcPr>
            <w:tcW w:w="699" w:type="dxa"/>
            <w:tcBorders>
              <w:top w:val="nil"/>
              <w:left w:val="nil"/>
              <w:bottom w:val="nil"/>
              <w:right w:val="nil"/>
            </w:tcBorders>
            <w:shd w:val="clear" w:color="000000" w:fill="D4D4D4"/>
            <w:noWrap/>
            <w:vAlign w:val="bottom"/>
            <w:hideMark/>
          </w:tcPr>
          <w:p w14:paraId="6A1EFCB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0.217</w:t>
            </w:r>
          </w:p>
        </w:tc>
        <w:tc>
          <w:tcPr>
            <w:tcW w:w="699" w:type="dxa"/>
            <w:tcBorders>
              <w:top w:val="nil"/>
              <w:left w:val="nil"/>
              <w:bottom w:val="nil"/>
              <w:right w:val="nil"/>
            </w:tcBorders>
            <w:shd w:val="clear" w:color="000000" w:fill="A6A6A6"/>
            <w:noWrap/>
            <w:vAlign w:val="bottom"/>
            <w:hideMark/>
          </w:tcPr>
          <w:p w14:paraId="41D2290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0.229</w:t>
            </w:r>
          </w:p>
        </w:tc>
        <w:tc>
          <w:tcPr>
            <w:tcW w:w="699" w:type="dxa"/>
            <w:tcBorders>
              <w:top w:val="nil"/>
              <w:left w:val="nil"/>
              <w:bottom w:val="nil"/>
              <w:right w:val="nil"/>
            </w:tcBorders>
            <w:shd w:val="clear" w:color="000000" w:fill="FFFFFF"/>
            <w:noWrap/>
            <w:vAlign w:val="bottom"/>
            <w:hideMark/>
          </w:tcPr>
          <w:p w14:paraId="367C3B4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0.206</w:t>
            </w:r>
          </w:p>
        </w:tc>
        <w:tc>
          <w:tcPr>
            <w:tcW w:w="222" w:type="dxa"/>
            <w:tcBorders>
              <w:top w:val="nil"/>
              <w:left w:val="nil"/>
              <w:bottom w:val="nil"/>
              <w:right w:val="nil"/>
            </w:tcBorders>
            <w:shd w:val="clear" w:color="auto" w:fill="auto"/>
            <w:noWrap/>
            <w:vAlign w:val="bottom"/>
            <w:hideMark/>
          </w:tcPr>
          <w:p w14:paraId="56FB98F7"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D282B14"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000000" w:fill="E5E5E5"/>
            <w:noWrap/>
            <w:vAlign w:val="bottom"/>
            <w:hideMark/>
          </w:tcPr>
          <w:p w14:paraId="59094E9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0.216</w:t>
            </w:r>
          </w:p>
        </w:tc>
        <w:tc>
          <w:tcPr>
            <w:tcW w:w="699" w:type="dxa"/>
            <w:tcBorders>
              <w:top w:val="nil"/>
              <w:left w:val="nil"/>
              <w:bottom w:val="nil"/>
              <w:right w:val="nil"/>
            </w:tcBorders>
            <w:shd w:val="clear" w:color="000000" w:fill="FFFFFF"/>
            <w:noWrap/>
            <w:vAlign w:val="bottom"/>
            <w:hideMark/>
          </w:tcPr>
          <w:p w14:paraId="5518FD2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0.211</w:t>
            </w:r>
          </w:p>
        </w:tc>
        <w:tc>
          <w:tcPr>
            <w:tcW w:w="699" w:type="dxa"/>
            <w:tcBorders>
              <w:top w:val="nil"/>
              <w:left w:val="nil"/>
              <w:bottom w:val="nil"/>
              <w:right w:val="nil"/>
            </w:tcBorders>
            <w:shd w:val="clear" w:color="000000" w:fill="A6A6A6"/>
            <w:noWrap/>
            <w:vAlign w:val="bottom"/>
            <w:hideMark/>
          </w:tcPr>
          <w:p w14:paraId="3AB3A1A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0.227</w:t>
            </w:r>
          </w:p>
        </w:tc>
        <w:tc>
          <w:tcPr>
            <w:tcW w:w="699" w:type="dxa"/>
            <w:tcBorders>
              <w:top w:val="nil"/>
              <w:left w:val="nil"/>
              <w:bottom w:val="nil"/>
              <w:right w:val="nil"/>
            </w:tcBorders>
            <w:shd w:val="clear" w:color="000000" w:fill="CCCCCC"/>
            <w:noWrap/>
            <w:vAlign w:val="bottom"/>
            <w:hideMark/>
          </w:tcPr>
          <w:p w14:paraId="184D1BC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0.220</w:t>
            </w:r>
          </w:p>
        </w:tc>
        <w:tc>
          <w:tcPr>
            <w:tcW w:w="222" w:type="dxa"/>
            <w:tcBorders>
              <w:top w:val="nil"/>
              <w:left w:val="nil"/>
              <w:bottom w:val="nil"/>
              <w:right w:val="nil"/>
            </w:tcBorders>
            <w:shd w:val="clear" w:color="auto" w:fill="auto"/>
            <w:noWrap/>
            <w:vAlign w:val="bottom"/>
            <w:hideMark/>
          </w:tcPr>
          <w:p w14:paraId="61302751"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F612FD6"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000000" w:fill="FFFFFF"/>
            <w:noWrap/>
            <w:vAlign w:val="bottom"/>
            <w:hideMark/>
          </w:tcPr>
          <w:p w14:paraId="1E74DD5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0.236</w:t>
            </w:r>
          </w:p>
        </w:tc>
        <w:tc>
          <w:tcPr>
            <w:tcW w:w="699" w:type="dxa"/>
            <w:tcBorders>
              <w:top w:val="nil"/>
              <w:left w:val="nil"/>
              <w:bottom w:val="nil"/>
              <w:right w:val="nil"/>
            </w:tcBorders>
            <w:shd w:val="clear" w:color="000000" w:fill="FCFCFC"/>
            <w:noWrap/>
            <w:vAlign w:val="bottom"/>
            <w:hideMark/>
          </w:tcPr>
          <w:p w14:paraId="045B253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0.238</w:t>
            </w:r>
          </w:p>
        </w:tc>
        <w:tc>
          <w:tcPr>
            <w:tcW w:w="699" w:type="dxa"/>
            <w:tcBorders>
              <w:top w:val="nil"/>
              <w:left w:val="nil"/>
              <w:bottom w:val="nil"/>
              <w:right w:val="nil"/>
            </w:tcBorders>
            <w:shd w:val="clear" w:color="000000" w:fill="A6A6A6"/>
            <w:noWrap/>
            <w:vAlign w:val="bottom"/>
            <w:hideMark/>
          </w:tcPr>
          <w:p w14:paraId="37AFC96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0.274</w:t>
            </w:r>
          </w:p>
        </w:tc>
        <w:tc>
          <w:tcPr>
            <w:tcW w:w="699" w:type="dxa"/>
            <w:tcBorders>
              <w:top w:val="nil"/>
              <w:left w:val="nil"/>
              <w:bottom w:val="nil"/>
              <w:right w:val="nil"/>
            </w:tcBorders>
            <w:shd w:val="clear" w:color="000000" w:fill="E2E2E2"/>
            <w:noWrap/>
            <w:vAlign w:val="bottom"/>
            <w:hideMark/>
          </w:tcPr>
          <w:p w14:paraId="6DCE827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0.249</w:t>
            </w:r>
          </w:p>
        </w:tc>
        <w:tc>
          <w:tcPr>
            <w:tcW w:w="222" w:type="dxa"/>
            <w:tcBorders>
              <w:top w:val="nil"/>
              <w:left w:val="nil"/>
              <w:bottom w:val="nil"/>
              <w:right w:val="nil"/>
            </w:tcBorders>
            <w:shd w:val="clear" w:color="auto" w:fill="auto"/>
            <w:noWrap/>
            <w:vAlign w:val="bottom"/>
            <w:hideMark/>
          </w:tcPr>
          <w:p w14:paraId="2670918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78B0690"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000000" w:fill="FFFFFF"/>
            <w:noWrap/>
            <w:vAlign w:val="bottom"/>
            <w:hideMark/>
          </w:tcPr>
          <w:p w14:paraId="3B87901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0.162</w:t>
            </w:r>
          </w:p>
        </w:tc>
        <w:tc>
          <w:tcPr>
            <w:tcW w:w="854" w:type="dxa"/>
            <w:tcBorders>
              <w:top w:val="nil"/>
              <w:left w:val="nil"/>
              <w:bottom w:val="nil"/>
              <w:right w:val="nil"/>
            </w:tcBorders>
            <w:shd w:val="clear" w:color="000000" w:fill="A6A6A6"/>
            <w:noWrap/>
            <w:vAlign w:val="bottom"/>
            <w:hideMark/>
          </w:tcPr>
          <w:p w14:paraId="5AAF8AA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0.269</w:t>
            </w:r>
          </w:p>
        </w:tc>
      </w:tr>
      <w:tr w:rsidR="007621E0" w:rsidRPr="00B87E87" w14:paraId="79ECFF62" w14:textId="77777777" w:rsidTr="00E420DC">
        <w:trPr>
          <w:trHeight w:val="255"/>
        </w:trPr>
        <w:tc>
          <w:tcPr>
            <w:tcW w:w="538" w:type="dxa"/>
            <w:tcBorders>
              <w:top w:val="nil"/>
              <w:left w:val="nil"/>
              <w:bottom w:val="nil"/>
              <w:right w:val="nil"/>
            </w:tcBorders>
            <w:shd w:val="clear" w:color="auto" w:fill="auto"/>
            <w:noWrap/>
            <w:vAlign w:val="bottom"/>
            <w:hideMark/>
          </w:tcPr>
          <w:p w14:paraId="66F84FB7"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auto" w:fill="auto"/>
            <w:noWrap/>
            <w:vAlign w:val="bottom"/>
            <w:hideMark/>
          </w:tcPr>
          <w:p w14:paraId="5F170921"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1C6152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7271F2F"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2E444F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A375B93"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38C1030D"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F9ECBE2"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A0085D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11BD37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38D2D5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A112EA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7037CAE1"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76F1080"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AD8D49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B6099BF"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3F6F5A6"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143AC32A"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2D5DDE47"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0525103B"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79EC5104"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r>
      <w:tr w:rsidR="007621E0" w:rsidRPr="00B87E87" w14:paraId="586030C9" w14:textId="77777777" w:rsidTr="00E420DC">
        <w:trPr>
          <w:trHeight w:val="255"/>
        </w:trPr>
        <w:tc>
          <w:tcPr>
            <w:tcW w:w="538" w:type="dxa"/>
            <w:tcBorders>
              <w:top w:val="nil"/>
              <w:left w:val="nil"/>
              <w:bottom w:val="nil"/>
              <w:right w:val="nil"/>
            </w:tcBorders>
            <w:shd w:val="clear" w:color="auto" w:fill="auto"/>
            <w:noWrap/>
            <w:vAlign w:val="bottom"/>
            <w:hideMark/>
          </w:tcPr>
          <w:p w14:paraId="140E596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05886F3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5E1EECDD"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371C55B"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1EAD238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7339BCD9"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90ECEDD"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1822BBD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078D12D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A1916AD"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1708" w:type="dxa"/>
            <w:gridSpan w:val="2"/>
            <w:tcBorders>
              <w:top w:val="nil"/>
              <w:left w:val="nil"/>
              <w:bottom w:val="single" w:sz="4" w:space="0" w:color="auto"/>
              <w:right w:val="nil"/>
            </w:tcBorders>
            <w:shd w:val="clear" w:color="auto" w:fill="auto"/>
            <w:noWrap/>
            <w:vAlign w:val="bottom"/>
            <w:hideMark/>
          </w:tcPr>
          <w:p w14:paraId="3F87D0C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r>
      <w:tr w:rsidR="007621E0" w:rsidRPr="00B87E87" w14:paraId="29FEC5B0" w14:textId="77777777" w:rsidTr="00E420DC">
        <w:trPr>
          <w:trHeight w:val="255"/>
        </w:trPr>
        <w:tc>
          <w:tcPr>
            <w:tcW w:w="538" w:type="dxa"/>
            <w:tcBorders>
              <w:top w:val="nil"/>
              <w:left w:val="nil"/>
              <w:bottom w:val="single" w:sz="4" w:space="0" w:color="auto"/>
              <w:right w:val="nil"/>
            </w:tcBorders>
            <w:shd w:val="clear" w:color="auto" w:fill="auto"/>
            <w:noWrap/>
            <w:vAlign w:val="bottom"/>
            <w:hideMark/>
          </w:tcPr>
          <w:p w14:paraId="7D3C8374"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single" w:sz="4" w:space="0" w:color="auto"/>
              <w:right w:val="nil"/>
            </w:tcBorders>
            <w:shd w:val="clear" w:color="000000" w:fill="FFFFFF"/>
            <w:noWrap/>
            <w:vAlign w:val="bottom"/>
            <w:hideMark/>
          </w:tcPr>
          <w:p w14:paraId="158C03B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0.689</w:t>
            </w:r>
          </w:p>
        </w:tc>
        <w:tc>
          <w:tcPr>
            <w:tcW w:w="699" w:type="dxa"/>
            <w:tcBorders>
              <w:top w:val="nil"/>
              <w:left w:val="nil"/>
              <w:bottom w:val="single" w:sz="4" w:space="0" w:color="auto"/>
              <w:right w:val="nil"/>
            </w:tcBorders>
            <w:shd w:val="clear" w:color="000000" w:fill="F2F2F2"/>
            <w:noWrap/>
            <w:vAlign w:val="bottom"/>
            <w:hideMark/>
          </w:tcPr>
          <w:p w14:paraId="377624D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0.695</w:t>
            </w:r>
          </w:p>
        </w:tc>
        <w:tc>
          <w:tcPr>
            <w:tcW w:w="699" w:type="dxa"/>
            <w:tcBorders>
              <w:top w:val="nil"/>
              <w:left w:val="nil"/>
              <w:bottom w:val="single" w:sz="4" w:space="0" w:color="auto"/>
              <w:right w:val="nil"/>
            </w:tcBorders>
            <w:shd w:val="clear" w:color="000000" w:fill="A6A6A6"/>
            <w:noWrap/>
            <w:vAlign w:val="bottom"/>
            <w:hideMark/>
          </w:tcPr>
          <w:p w14:paraId="4A713FC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0.732</w:t>
            </w:r>
          </w:p>
        </w:tc>
        <w:tc>
          <w:tcPr>
            <w:tcW w:w="699" w:type="dxa"/>
            <w:tcBorders>
              <w:top w:val="nil"/>
              <w:left w:val="nil"/>
              <w:bottom w:val="single" w:sz="4" w:space="0" w:color="auto"/>
              <w:right w:val="nil"/>
            </w:tcBorders>
            <w:shd w:val="clear" w:color="000000" w:fill="FDFDFD"/>
            <w:noWrap/>
            <w:vAlign w:val="bottom"/>
            <w:hideMark/>
          </w:tcPr>
          <w:p w14:paraId="75A7803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0.690</w:t>
            </w:r>
          </w:p>
        </w:tc>
        <w:tc>
          <w:tcPr>
            <w:tcW w:w="222" w:type="dxa"/>
            <w:tcBorders>
              <w:top w:val="nil"/>
              <w:left w:val="nil"/>
              <w:bottom w:val="single" w:sz="4" w:space="0" w:color="auto"/>
              <w:right w:val="nil"/>
            </w:tcBorders>
            <w:shd w:val="clear" w:color="auto" w:fill="auto"/>
            <w:noWrap/>
            <w:vAlign w:val="bottom"/>
            <w:hideMark/>
          </w:tcPr>
          <w:p w14:paraId="35EDB0A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7A9F5414"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000000" w:fill="FDFDFD"/>
            <w:noWrap/>
            <w:vAlign w:val="bottom"/>
            <w:hideMark/>
          </w:tcPr>
          <w:p w14:paraId="4D6979C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0.677</w:t>
            </w:r>
          </w:p>
        </w:tc>
        <w:tc>
          <w:tcPr>
            <w:tcW w:w="699" w:type="dxa"/>
            <w:tcBorders>
              <w:top w:val="nil"/>
              <w:left w:val="nil"/>
              <w:bottom w:val="single" w:sz="4" w:space="0" w:color="auto"/>
              <w:right w:val="nil"/>
            </w:tcBorders>
            <w:shd w:val="clear" w:color="000000" w:fill="FFFFFF"/>
            <w:noWrap/>
            <w:vAlign w:val="bottom"/>
            <w:hideMark/>
          </w:tcPr>
          <w:p w14:paraId="6272951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0.676</w:t>
            </w:r>
          </w:p>
        </w:tc>
        <w:tc>
          <w:tcPr>
            <w:tcW w:w="699" w:type="dxa"/>
            <w:tcBorders>
              <w:top w:val="nil"/>
              <w:left w:val="nil"/>
              <w:bottom w:val="single" w:sz="4" w:space="0" w:color="auto"/>
              <w:right w:val="nil"/>
            </w:tcBorders>
            <w:shd w:val="clear" w:color="000000" w:fill="A6A6A6"/>
            <w:noWrap/>
            <w:vAlign w:val="bottom"/>
            <w:hideMark/>
          </w:tcPr>
          <w:p w14:paraId="60CEC1F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0.706</w:t>
            </w:r>
          </w:p>
        </w:tc>
        <w:tc>
          <w:tcPr>
            <w:tcW w:w="699" w:type="dxa"/>
            <w:tcBorders>
              <w:top w:val="nil"/>
              <w:left w:val="nil"/>
              <w:bottom w:val="single" w:sz="4" w:space="0" w:color="auto"/>
              <w:right w:val="nil"/>
            </w:tcBorders>
            <w:shd w:val="clear" w:color="000000" w:fill="FCFCFC"/>
            <w:noWrap/>
            <w:vAlign w:val="bottom"/>
            <w:hideMark/>
          </w:tcPr>
          <w:p w14:paraId="76F2F69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0.677</w:t>
            </w:r>
          </w:p>
        </w:tc>
        <w:tc>
          <w:tcPr>
            <w:tcW w:w="222" w:type="dxa"/>
            <w:tcBorders>
              <w:top w:val="nil"/>
              <w:left w:val="nil"/>
              <w:bottom w:val="single" w:sz="4" w:space="0" w:color="auto"/>
              <w:right w:val="nil"/>
            </w:tcBorders>
            <w:shd w:val="clear" w:color="auto" w:fill="auto"/>
            <w:noWrap/>
            <w:vAlign w:val="bottom"/>
            <w:hideMark/>
          </w:tcPr>
          <w:p w14:paraId="61EA0578"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69E0C2E7"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000000" w:fill="E1E1E1"/>
            <w:noWrap/>
            <w:vAlign w:val="bottom"/>
            <w:hideMark/>
          </w:tcPr>
          <w:p w14:paraId="6EA210D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0.654</w:t>
            </w:r>
          </w:p>
        </w:tc>
        <w:tc>
          <w:tcPr>
            <w:tcW w:w="699" w:type="dxa"/>
            <w:tcBorders>
              <w:top w:val="nil"/>
              <w:left w:val="nil"/>
              <w:bottom w:val="single" w:sz="4" w:space="0" w:color="auto"/>
              <w:right w:val="nil"/>
            </w:tcBorders>
            <w:shd w:val="clear" w:color="000000" w:fill="C6C6C6"/>
            <w:noWrap/>
            <w:vAlign w:val="bottom"/>
            <w:hideMark/>
          </w:tcPr>
          <w:p w14:paraId="5A6D5B7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0.660</w:t>
            </w:r>
          </w:p>
        </w:tc>
        <w:tc>
          <w:tcPr>
            <w:tcW w:w="699" w:type="dxa"/>
            <w:tcBorders>
              <w:top w:val="nil"/>
              <w:left w:val="nil"/>
              <w:bottom w:val="single" w:sz="4" w:space="0" w:color="auto"/>
              <w:right w:val="nil"/>
            </w:tcBorders>
            <w:shd w:val="clear" w:color="000000" w:fill="A6A6A6"/>
            <w:noWrap/>
            <w:vAlign w:val="bottom"/>
            <w:hideMark/>
          </w:tcPr>
          <w:p w14:paraId="305B40E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0.666</w:t>
            </w:r>
          </w:p>
        </w:tc>
        <w:tc>
          <w:tcPr>
            <w:tcW w:w="699" w:type="dxa"/>
            <w:tcBorders>
              <w:top w:val="nil"/>
              <w:left w:val="nil"/>
              <w:bottom w:val="single" w:sz="4" w:space="0" w:color="auto"/>
              <w:right w:val="nil"/>
            </w:tcBorders>
            <w:shd w:val="clear" w:color="000000" w:fill="FFFFFF"/>
            <w:noWrap/>
            <w:vAlign w:val="bottom"/>
            <w:hideMark/>
          </w:tcPr>
          <w:p w14:paraId="37D5686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0.648</w:t>
            </w:r>
          </w:p>
        </w:tc>
        <w:tc>
          <w:tcPr>
            <w:tcW w:w="222" w:type="dxa"/>
            <w:tcBorders>
              <w:top w:val="nil"/>
              <w:left w:val="nil"/>
              <w:bottom w:val="single" w:sz="4" w:space="0" w:color="auto"/>
              <w:right w:val="nil"/>
            </w:tcBorders>
            <w:shd w:val="clear" w:color="auto" w:fill="auto"/>
            <w:noWrap/>
            <w:vAlign w:val="bottom"/>
            <w:hideMark/>
          </w:tcPr>
          <w:p w14:paraId="1113481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2BC203FC"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single" w:sz="4" w:space="0" w:color="auto"/>
              <w:right w:val="nil"/>
            </w:tcBorders>
            <w:shd w:val="clear" w:color="000000" w:fill="FFFFFF"/>
            <w:noWrap/>
            <w:vAlign w:val="bottom"/>
            <w:hideMark/>
          </w:tcPr>
          <w:p w14:paraId="4D1F9BA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0.448</w:t>
            </w:r>
          </w:p>
        </w:tc>
        <w:tc>
          <w:tcPr>
            <w:tcW w:w="854" w:type="dxa"/>
            <w:tcBorders>
              <w:top w:val="nil"/>
              <w:left w:val="nil"/>
              <w:bottom w:val="single" w:sz="4" w:space="0" w:color="auto"/>
              <w:right w:val="nil"/>
            </w:tcBorders>
            <w:shd w:val="clear" w:color="000000" w:fill="A6A6A6"/>
            <w:noWrap/>
            <w:vAlign w:val="bottom"/>
            <w:hideMark/>
          </w:tcPr>
          <w:p w14:paraId="50A3765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0.614</w:t>
            </w:r>
          </w:p>
        </w:tc>
      </w:tr>
      <w:tr w:rsidR="007621E0" w:rsidRPr="00B87E87" w14:paraId="5354C8C1" w14:textId="77777777" w:rsidTr="00E420DC">
        <w:trPr>
          <w:trHeight w:val="255"/>
        </w:trPr>
        <w:tc>
          <w:tcPr>
            <w:tcW w:w="12914" w:type="dxa"/>
            <w:gridSpan w:val="21"/>
            <w:tcBorders>
              <w:top w:val="single" w:sz="4" w:space="0" w:color="auto"/>
              <w:left w:val="nil"/>
              <w:bottom w:val="single" w:sz="4" w:space="0" w:color="auto"/>
              <w:right w:val="nil"/>
            </w:tcBorders>
            <w:shd w:val="clear" w:color="auto" w:fill="auto"/>
            <w:noWrap/>
            <w:vAlign w:val="bottom"/>
          </w:tcPr>
          <w:p w14:paraId="2DF2B69F" w14:textId="77777777" w:rsidR="007621E0" w:rsidRPr="00B87E87" w:rsidRDefault="007621E0" w:rsidP="00E420DC">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N=2,911 for all models.  Darker cell shades correspond to higher within-row values for each model.  Base, Indic. (Indicator Expansion), Inter. (Instrument Interaction), and Poly. (Polynomial) refer to variable sets.  Weighted kappa assigns a weight of 1 to students for whom predicted ratings were within 1 point of actual ratings (in addition to students </w:t>
            </w:r>
            <w:proofErr w:type="gramStart"/>
            <w:r>
              <w:rPr>
                <w:rFonts w:ascii="Calibri" w:eastAsia="Times New Roman" w:hAnsi="Calibri" w:cs="Calibri"/>
                <w:sz w:val="20"/>
                <w:szCs w:val="20"/>
              </w:rPr>
              <w:t>whose</w:t>
            </w:r>
            <w:proofErr w:type="gramEnd"/>
            <w:r>
              <w:rPr>
                <w:rFonts w:ascii="Calibri" w:eastAsia="Times New Roman" w:hAnsi="Calibri" w:cs="Calibri"/>
                <w:sz w:val="20"/>
                <w:szCs w:val="20"/>
              </w:rPr>
              <w:t xml:space="preserve"> actual and predicted ratings were equal).</w:t>
            </w:r>
          </w:p>
        </w:tc>
      </w:tr>
    </w:tbl>
    <w:p w14:paraId="3F010915" w14:textId="5C7D9653" w:rsidR="007621E0" w:rsidRPr="007621E0" w:rsidRDefault="007621E0" w:rsidP="007621E0">
      <w:pPr>
        <w:sectPr w:rsidR="007621E0" w:rsidRPr="007621E0" w:rsidSect="007621E0">
          <w:pgSz w:w="15840" w:h="12240" w:orient="landscape"/>
          <w:pgMar w:top="1440" w:right="1440" w:bottom="1440" w:left="1440" w:header="720" w:footer="720" w:gutter="0"/>
          <w:cols w:space="720"/>
          <w:docGrid w:linePitch="360"/>
        </w:sectPr>
      </w:pPr>
    </w:p>
    <w:p w14:paraId="33D73341" w14:textId="76A66987" w:rsidR="00030C0F" w:rsidRDefault="00030C0F"/>
    <w:tbl>
      <w:tblPr>
        <w:tblW w:w="11114" w:type="dxa"/>
        <w:jc w:val="center"/>
        <w:tblLook w:val="04A0" w:firstRow="1" w:lastRow="0" w:firstColumn="1" w:lastColumn="0" w:noHBand="0" w:noVBand="1"/>
      </w:tblPr>
      <w:tblGrid>
        <w:gridCol w:w="538"/>
        <w:gridCol w:w="672"/>
        <w:gridCol w:w="672"/>
        <w:gridCol w:w="730"/>
        <w:gridCol w:w="222"/>
        <w:gridCol w:w="538"/>
        <w:gridCol w:w="672"/>
        <w:gridCol w:w="672"/>
        <w:gridCol w:w="730"/>
        <w:gridCol w:w="222"/>
        <w:gridCol w:w="538"/>
        <w:gridCol w:w="672"/>
        <w:gridCol w:w="672"/>
        <w:gridCol w:w="730"/>
        <w:gridCol w:w="222"/>
        <w:gridCol w:w="538"/>
        <w:gridCol w:w="672"/>
        <w:gridCol w:w="672"/>
        <w:gridCol w:w="730"/>
      </w:tblGrid>
      <w:tr w:rsidR="00864442" w:rsidRPr="00030C0F" w14:paraId="214267C9" w14:textId="77777777" w:rsidTr="00864442">
        <w:trPr>
          <w:trHeight w:val="270"/>
          <w:jc w:val="center"/>
        </w:trPr>
        <w:tc>
          <w:tcPr>
            <w:tcW w:w="11114" w:type="dxa"/>
            <w:gridSpan w:val="19"/>
            <w:tcBorders>
              <w:top w:val="nil"/>
              <w:left w:val="nil"/>
              <w:bottom w:val="single" w:sz="4" w:space="0" w:color="auto"/>
              <w:right w:val="nil"/>
            </w:tcBorders>
            <w:shd w:val="clear" w:color="auto" w:fill="auto"/>
            <w:noWrap/>
            <w:vAlign w:val="bottom"/>
          </w:tcPr>
          <w:p w14:paraId="33500E53" w14:textId="63C1A3B6" w:rsidR="00864442" w:rsidRPr="00030C0F" w:rsidRDefault="00864442" w:rsidP="00864442">
            <w:pPr>
              <w:spacing w:after="0" w:line="240" w:lineRule="auto"/>
              <w:rPr>
                <w:rFonts w:ascii="Calibri" w:eastAsia="Times New Roman" w:hAnsi="Calibri" w:cs="Calibri"/>
                <w:sz w:val="20"/>
                <w:szCs w:val="20"/>
              </w:rPr>
            </w:pPr>
            <w:r>
              <w:rPr>
                <w:rFonts w:ascii="Calibri" w:eastAsia="Times New Roman" w:hAnsi="Calibri" w:cs="Calibri"/>
                <w:sz w:val="20"/>
                <w:szCs w:val="20"/>
              </w:rPr>
              <w:t>Table A2.  Prediction accuracy statistics by variable set and model type.</w:t>
            </w:r>
          </w:p>
        </w:tc>
      </w:tr>
      <w:tr w:rsidR="00030C0F" w:rsidRPr="00030C0F" w14:paraId="17F0E884" w14:textId="77777777" w:rsidTr="00864442">
        <w:trPr>
          <w:trHeight w:val="270"/>
          <w:jc w:val="center"/>
        </w:trPr>
        <w:tc>
          <w:tcPr>
            <w:tcW w:w="2612" w:type="dxa"/>
            <w:gridSpan w:val="4"/>
            <w:tcBorders>
              <w:top w:val="single" w:sz="4" w:space="0" w:color="auto"/>
              <w:left w:val="nil"/>
              <w:bottom w:val="double" w:sz="6" w:space="0" w:color="auto"/>
              <w:right w:val="nil"/>
            </w:tcBorders>
            <w:shd w:val="clear" w:color="auto" w:fill="auto"/>
            <w:noWrap/>
            <w:vAlign w:val="bottom"/>
            <w:hideMark/>
          </w:tcPr>
          <w:p w14:paraId="65397A3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Base</w:t>
            </w:r>
          </w:p>
        </w:tc>
        <w:tc>
          <w:tcPr>
            <w:tcW w:w="222" w:type="dxa"/>
            <w:tcBorders>
              <w:top w:val="single" w:sz="4" w:space="0" w:color="auto"/>
              <w:left w:val="nil"/>
              <w:bottom w:val="nil"/>
              <w:right w:val="nil"/>
            </w:tcBorders>
            <w:shd w:val="clear" w:color="auto" w:fill="auto"/>
            <w:noWrap/>
            <w:vAlign w:val="bottom"/>
            <w:hideMark/>
          </w:tcPr>
          <w:p w14:paraId="6912893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2612" w:type="dxa"/>
            <w:gridSpan w:val="4"/>
            <w:tcBorders>
              <w:top w:val="single" w:sz="4" w:space="0" w:color="auto"/>
              <w:left w:val="nil"/>
              <w:bottom w:val="double" w:sz="6" w:space="0" w:color="auto"/>
              <w:right w:val="nil"/>
            </w:tcBorders>
            <w:shd w:val="clear" w:color="auto" w:fill="auto"/>
            <w:noWrap/>
            <w:vAlign w:val="bottom"/>
            <w:hideMark/>
          </w:tcPr>
          <w:p w14:paraId="0726D8C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Indicator Expansion</w:t>
            </w:r>
          </w:p>
        </w:tc>
        <w:tc>
          <w:tcPr>
            <w:tcW w:w="222" w:type="dxa"/>
            <w:tcBorders>
              <w:top w:val="single" w:sz="4" w:space="0" w:color="auto"/>
              <w:left w:val="nil"/>
              <w:bottom w:val="nil"/>
              <w:right w:val="nil"/>
            </w:tcBorders>
            <w:shd w:val="clear" w:color="auto" w:fill="auto"/>
            <w:noWrap/>
            <w:vAlign w:val="bottom"/>
            <w:hideMark/>
          </w:tcPr>
          <w:p w14:paraId="7856FCF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2612" w:type="dxa"/>
            <w:gridSpan w:val="4"/>
            <w:tcBorders>
              <w:top w:val="single" w:sz="4" w:space="0" w:color="auto"/>
              <w:left w:val="nil"/>
              <w:bottom w:val="double" w:sz="6" w:space="0" w:color="auto"/>
              <w:right w:val="nil"/>
            </w:tcBorders>
            <w:shd w:val="clear" w:color="auto" w:fill="auto"/>
            <w:noWrap/>
            <w:vAlign w:val="bottom"/>
            <w:hideMark/>
          </w:tcPr>
          <w:p w14:paraId="3C32A1A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Instrument Interaction</w:t>
            </w:r>
          </w:p>
        </w:tc>
        <w:tc>
          <w:tcPr>
            <w:tcW w:w="222" w:type="dxa"/>
            <w:tcBorders>
              <w:top w:val="single" w:sz="4" w:space="0" w:color="auto"/>
              <w:left w:val="nil"/>
              <w:bottom w:val="nil"/>
              <w:right w:val="nil"/>
            </w:tcBorders>
            <w:shd w:val="clear" w:color="auto" w:fill="auto"/>
            <w:noWrap/>
            <w:vAlign w:val="bottom"/>
            <w:hideMark/>
          </w:tcPr>
          <w:p w14:paraId="7D70B0D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2612" w:type="dxa"/>
            <w:gridSpan w:val="4"/>
            <w:tcBorders>
              <w:top w:val="single" w:sz="4" w:space="0" w:color="auto"/>
              <w:left w:val="nil"/>
              <w:bottom w:val="double" w:sz="6" w:space="0" w:color="auto"/>
              <w:right w:val="nil"/>
            </w:tcBorders>
            <w:shd w:val="clear" w:color="auto" w:fill="auto"/>
            <w:noWrap/>
            <w:vAlign w:val="bottom"/>
            <w:hideMark/>
          </w:tcPr>
          <w:p w14:paraId="673C861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Polynomial</w:t>
            </w:r>
          </w:p>
        </w:tc>
      </w:tr>
      <w:tr w:rsidR="00030C0F" w:rsidRPr="00030C0F" w14:paraId="4EE614EC" w14:textId="77777777" w:rsidTr="00864442">
        <w:trPr>
          <w:trHeight w:val="270"/>
          <w:jc w:val="center"/>
        </w:trPr>
        <w:tc>
          <w:tcPr>
            <w:tcW w:w="538" w:type="dxa"/>
            <w:tcBorders>
              <w:top w:val="nil"/>
              <w:left w:val="nil"/>
              <w:bottom w:val="nil"/>
              <w:right w:val="nil"/>
            </w:tcBorders>
            <w:shd w:val="clear" w:color="auto" w:fill="auto"/>
            <w:noWrap/>
            <w:vAlign w:val="bottom"/>
            <w:hideMark/>
          </w:tcPr>
          <w:p w14:paraId="1014C05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single" w:sz="4" w:space="0" w:color="auto"/>
              <w:right w:val="nil"/>
            </w:tcBorders>
            <w:shd w:val="clear" w:color="auto" w:fill="auto"/>
            <w:noWrap/>
            <w:vAlign w:val="bottom"/>
            <w:hideMark/>
          </w:tcPr>
          <w:p w14:paraId="072449F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16353EB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13B4247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c>
          <w:tcPr>
            <w:tcW w:w="222" w:type="dxa"/>
            <w:tcBorders>
              <w:top w:val="nil"/>
              <w:left w:val="nil"/>
              <w:bottom w:val="nil"/>
              <w:right w:val="nil"/>
            </w:tcBorders>
            <w:shd w:val="clear" w:color="auto" w:fill="auto"/>
            <w:noWrap/>
            <w:vAlign w:val="bottom"/>
            <w:hideMark/>
          </w:tcPr>
          <w:p w14:paraId="00E69F6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A7CF2A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auto" w:fill="auto"/>
            <w:noWrap/>
            <w:vAlign w:val="bottom"/>
            <w:hideMark/>
          </w:tcPr>
          <w:p w14:paraId="1676B7A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6370811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6E14EB0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c>
          <w:tcPr>
            <w:tcW w:w="222" w:type="dxa"/>
            <w:tcBorders>
              <w:top w:val="nil"/>
              <w:left w:val="nil"/>
              <w:bottom w:val="nil"/>
              <w:right w:val="nil"/>
            </w:tcBorders>
            <w:shd w:val="clear" w:color="auto" w:fill="auto"/>
            <w:noWrap/>
            <w:vAlign w:val="bottom"/>
            <w:hideMark/>
          </w:tcPr>
          <w:p w14:paraId="3389D01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00430A"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auto" w:fill="auto"/>
            <w:noWrap/>
            <w:vAlign w:val="bottom"/>
            <w:hideMark/>
          </w:tcPr>
          <w:p w14:paraId="2A18C42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132AE19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6F1E3A1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c>
          <w:tcPr>
            <w:tcW w:w="222" w:type="dxa"/>
            <w:tcBorders>
              <w:top w:val="nil"/>
              <w:left w:val="nil"/>
              <w:bottom w:val="nil"/>
              <w:right w:val="nil"/>
            </w:tcBorders>
            <w:shd w:val="clear" w:color="auto" w:fill="auto"/>
            <w:noWrap/>
            <w:vAlign w:val="bottom"/>
            <w:hideMark/>
          </w:tcPr>
          <w:p w14:paraId="75A89B4A"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05A529A"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auto" w:fill="auto"/>
            <w:noWrap/>
            <w:vAlign w:val="bottom"/>
            <w:hideMark/>
          </w:tcPr>
          <w:p w14:paraId="041FCD5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5316467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18995F3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r>
      <w:tr w:rsidR="00030C0F" w:rsidRPr="00030C0F" w14:paraId="35546C03" w14:textId="77777777" w:rsidTr="00864442">
        <w:trPr>
          <w:trHeight w:val="255"/>
          <w:jc w:val="center"/>
        </w:trPr>
        <w:tc>
          <w:tcPr>
            <w:tcW w:w="538" w:type="dxa"/>
            <w:tcBorders>
              <w:top w:val="nil"/>
              <w:left w:val="nil"/>
              <w:bottom w:val="single" w:sz="4" w:space="0" w:color="auto"/>
              <w:right w:val="nil"/>
            </w:tcBorders>
            <w:shd w:val="clear" w:color="auto" w:fill="auto"/>
            <w:noWrap/>
            <w:vAlign w:val="bottom"/>
            <w:hideMark/>
          </w:tcPr>
          <w:p w14:paraId="6BBD8310"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6059FB2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7704778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0169917E"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49FF4B8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6201D2E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7B042707"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695A2C3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435EC00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24FA818D"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3948B4F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r>
      <w:tr w:rsidR="00030C0F" w:rsidRPr="00030C0F" w14:paraId="4BC3CFA4"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02C06C9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2B13550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0.227</w:t>
            </w:r>
          </w:p>
        </w:tc>
        <w:tc>
          <w:tcPr>
            <w:tcW w:w="672" w:type="dxa"/>
            <w:tcBorders>
              <w:top w:val="nil"/>
              <w:left w:val="nil"/>
              <w:bottom w:val="nil"/>
              <w:right w:val="nil"/>
            </w:tcBorders>
            <w:shd w:val="clear" w:color="000000" w:fill="CECECE"/>
            <w:noWrap/>
            <w:vAlign w:val="bottom"/>
            <w:hideMark/>
          </w:tcPr>
          <w:p w14:paraId="1FB16B1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0.299</w:t>
            </w:r>
          </w:p>
        </w:tc>
        <w:tc>
          <w:tcPr>
            <w:tcW w:w="730" w:type="dxa"/>
            <w:tcBorders>
              <w:top w:val="nil"/>
              <w:left w:val="nil"/>
              <w:bottom w:val="nil"/>
              <w:right w:val="nil"/>
            </w:tcBorders>
            <w:shd w:val="clear" w:color="000000" w:fill="A6A6A6"/>
            <w:noWrap/>
            <w:vAlign w:val="bottom"/>
            <w:hideMark/>
          </w:tcPr>
          <w:p w14:paraId="7465829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0.357</w:t>
            </w:r>
          </w:p>
        </w:tc>
        <w:tc>
          <w:tcPr>
            <w:tcW w:w="222" w:type="dxa"/>
            <w:tcBorders>
              <w:top w:val="nil"/>
              <w:left w:val="nil"/>
              <w:bottom w:val="nil"/>
              <w:right w:val="nil"/>
            </w:tcBorders>
            <w:shd w:val="clear" w:color="auto" w:fill="auto"/>
            <w:noWrap/>
            <w:vAlign w:val="bottom"/>
            <w:hideMark/>
          </w:tcPr>
          <w:p w14:paraId="755051D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55FB32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63683B6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0.211</w:t>
            </w:r>
          </w:p>
        </w:tc>
        <w:tc>
          <w:tcPr>
            <w:tcW w:w="672" w:type="dxa"/>
            <w:tcBorders>
              <w:top w:val="nil"/>
              <w:left w:val="nil"/>
              <w:bottom w:val="nil"/>
              <w:right w:val="nil"/>
            </w:tcBorders>
            <w:shd w:val="clear" w:color="000000" w:fill="D1D1D1"/>
            <w:noWrap/>
            <w:vAlign w:val="bottom"/>
            <w:hideMark/>
          </w:tcPr>
          <w:p w14:paraId="30BCAC2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0.285</w:t>
            </w:r>
          </w:p>
        </w:tc>
        <w:tc>
          <w:tcPr>
            <w:tcW w:w="730" w:type="dxa"/>
            <w:tcBorders>
              <w:top w:val="nil"/>
              <w:left w:val="nil"/>
              <w:bottom w:val="nil"/>
              <w:right w:val="nil"/>
            </w:tcBorders>
            <w:shd w:val="clear" w:color="000000" w:fill="A6A6A6"/>
            <w:noWrap/>
            <w:vAlign w:val="bottom"/>
            <w:hideMark/>
          </w:tcPr>
          <w:p w14:paraId="512508B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0.353</w:t>
            </w:r>
          </w:p>
        </w:tc>
        <w:tc>
          <w:tcPr>
            <w:tcW w:w="222" w:type="dxa"/>
            <w:tcBorders>
              <w:top w:val="nil"/>
              <w:left w:val="nil"/>
              <w:bottom w:val="nil"/>
              <w:right w:val="nil"/>
            </w:tcBorders>
            <w:shd w:val="clear" w:color="auto" w:fill="auto"/>
            <w:noWrap/>
            <w:vAlign w:val="bottom"/>
            <w:hideMark/>
          </w:tcPr>
          <w:p w14:paraId="14CB54C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78128E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110AACA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0.219</w:t>
            </w:r>
          </w:p>
        </w:tc>
        <w:tc>
          <w:tcPr>
            <w:tcW w:w="672" w:type="dxa"/>
            <w:tcBorders>
              <w:top w:val="nil"/>
              <w:left w:val="nil"/>
              <w:bottom w:val="nil"/>
              <w:right w:val="nil"/>
            </w:tcBorders>
            <w:shd w:val="clear" w:color="000000" w:fill="DEDEDE"/>
            <w:noWrap/>
            <w:vAlign w:val="bottom"/>
            <w:hideMark/>
          </w:tcPr>
          <w:p w14:paraId="618EB69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0.279</w:t>
            </w:r>
          </w:p>
        </w:tc>
        <w:tc>
          <w:tcPr>
            <w:tcW w:w="730" w:type="dxa"/>
            <w:tcBorders>
              <w:top w:val="nil"/>
              <w:left w:val="nil"/>
              <w:bottom w:val="nil"/>
              <w:right w:val="nil"/>
            </w:tcBorders>
            <w:shd w:val="clear" w:color="000000" w:fill="A6A6A6"/>
            <w:noWrap/>
            <w:vAlign w:val="bottom"/>
            <w:hideMark/>
          </w:tcPr>
          <w:p w14:paraId="3AFEDD7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0.376</w:t>
            </w:r>
          </w:p>
        </w:tc>
        <w:tc>
          <w:tcPr>
            <w:tcW w:w="222" w:type="dxa"/>
            <w:tcBorders>
              <w:top w:val="nil"/>
              <w:left w:val="nil"/>
              <w:bottom w:val="nil"/>
              <w:right w:val="nil"/>
            </w:tcBorders>
            <w:shd w:val="clear" w:color="auto" w:fill="auto"/>
            <w:noWrap/>
            <w:vAlign w:val="bottom"/>
            <w:hideMark/>
          </w:tcPr>
          <w:p w14:paraId="5E82598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B12DD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2D395C5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0.155</w:t>
            </w:r>
          </w:p>
        </w:tc>
        <w:tc>
          <w:tcPr>
            <w:tcW w:w="672" w:type="dxa"/>
            <w:tcBorders>
              <w:top w:val="nil"/>
              <w:left w:val="nil"/>
              <w:bottom w:val="nil"/>
              <w:right w:val="nil"/>
            </w:tcBorders>
            <w:shd w:val="clear" w:color="000000" w:fill="C8C8C8"/>
            <w:noWrap/>
            <w:vAlign w:val="bottom"/>
            <w:hideMark/>
          </w:tcPr>
          <w:p w14:paraId="0C9936E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0.275</w:t>
            </w:r>
          </w:p>
        </w:tc>
        <w:tc>
          <w:tcPr>
            <w:tcW w:w="730" w:type="dxa"/>
            <w:tcBorders>
              <w:top w:val="nil"/>
              <w:left w:val="nil"/>
              <w:bottom w:val="nil"/>
              <w:right w:val="nil"/>
            </w:tcBorders>
            <w:shd w:val="clear" w:color="000000" w:fill="A6A6A6"/>
            <w:noWrap/>
            <w:vAlign w:val="bottom"/>
            <w:hideMark/>
          </w:tcPr>
          <w:p w14:paraId="6CDBEA9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0.349</w:t>
            </w:r>
          </w:p>
        </w:tc>
      </w:tr>
      <w:tr w:rsidR="00030C0F" w:rsidRPr="00030C0F" w14:paraId="65A84461"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32019B53"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02B0835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0.601</w:t>
            </w:r>
          </w:p>
        </w:tc>
        <w:tc>
          <w:tcPr>
            <w:tcW w:w="672" w:type="dxa"/>
            <w:tcBorders>
              <w:top w:val="nil"/>
              <w:left w:val="nil"/>
              <w:bottom w:val="nil"/>
              <w:right w:val="nil"/>
            </w:tcBorders>
            <w:shd w:val="clear" w:color="000000" w:fill="A6A6A6"/>
            <w:noWrap/>
            <w:vAlign w:val="bottom"/>
            <w:hideMark/>
          </w:tcPr>
          <w:p w14:paraId="48AB5F5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0.715</w:t>
            </w:r>
          </w:p>
        </w:tc>
        <w:tc>
          <w:tcPr>
            <w:tcW w:w="730" w:type="dxa"/>
            <w:tcBorders>
              <w:top w:val="nil"/>
              <w:left w:val="nil"/>
              <w:bottom w:val="nil"/>
              <w:right w:val="nil"/>
            </w:tcBorders>
            <w:shd w:val="clear" w:color="000000" w:fill="AAAAAA"/>
            <w:noWrap/>
            <w:vAlign w:val="bottom"/>
            <w:hideMark/>
          </w:tcPr>
          <w:p w14:paraId="7174A7E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0.711</w:t>
            </w:r>
          </w:p>
        </w:tc>
        <w:tc>
          <w:tcPr>
            <w:tcW w:w="222" w:type="dxa"/>
            <w:tcBorders>
              <w:top w:val="nil"/>
              <w:left w:val="nil"/>
              <w:bottom w:val="nil"/>
              <w:right w:val="nil"/>
            </w:tcBorders>
            <w:shd w:val="clear" w:color="auto" w:fill="auto"/>
            <w:noWrap/>
            <w:vAlign w:val="bottom"/>
            <w:hideMark/>
          </w:tcPr>
          <w:p w14:paraId="235A34F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6AEBEDF"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08DD545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0.614</w:t>
            </w:r>
          </w:p>
        </w:tc>
        <w:tc>
          <w:tcPr>
            <w:tcW w:w="672" w:type="dxa"/>
            <w:tcBorders>
              <w:top w:val="nil"/>
              <w:left w:val="nil"/>
              <w:bottom w:val="nil"/>
              <w:right w:val="nil"/>
            </w:tcBorders>
            <w:shd w:val="clear" w:color="000000" w:fill="A6A6A6"/>
            <w:noWrap/>
            <w:vAlign w:val="bottom"/>
            <w:hideMark/>
          </w:tcPr>
          <w:p w14:paraId="2DFA6E7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0.717</w:t>
            </w:r>
          </w:p>
        </w:tc>
        <w:tc>
          <w:tcPr>
            <w:tcW w:w="730" w:type="dxa"/>
            <w:tcBorders>
              <w:top w:val="nil"/>
              <w:left w:val="nil"/>
              <w:bottom w:val="nil"/>
              <w:right w:val="nil"/>
            </w:tcBorders>
            <w:shd w:val="clear" w:color="000000" w:fill="B0B0B0"/>
            <w:noWrap/>
            <w:vAlign w:val="bottom"/>
            <w:hideMark/>
          </w:tcPr>
          <w:p w14:paraId="7B6BCC2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0.706</w:t>
            </w:r>
          </w:p>
        </w:tc>
        <w:tc>
          <w:tcPr>
            <w:tcW w:w="222" w:type="dxa"/>
            <w:tcBorders>
              <w:top w:val="nil"/>
              <w:left w:val="nil"/>
              <w:bottom w:val="nil"/>
              <w:right w:val="nil"/>
            </w:tcBorders>
            <w:shd w:val="clear" w:color="auto" w:fill="auto"/>
            <w:noWrap/>
            <w:vAlign w:val="bottom"/>
            <w:hideMark/>
          </w:tcPr>
          <w:p w14:paraId="7183CB9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826F89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3A1C69E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0.651</w:t>
            </w:r>
          </w:p>
        </w:tc>
        <w:tc>
          <w:tcPr>
            <w:tcW w:w="672" w:type="dxa"/>
            <w:tcBorders>
              <w:top w:val="nil"/>
              <w:left w:val="nil"/>
              <w:bottom w:val="nil"/>
              <w:right w:val="nil"/>
            </w:tcBorders>
            <w:shd w:val="clear" w:color="000000" w:fill="A6A6A6"/>
            <w:noWrap/>
            <w:vAlign w:val="bottom"/>
            <w:hideMark/>
          </w:tcPr>
          <w:p w14:paraId="6F1714E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0.743</w:t>
            </w:r>
          </w:p>
        </w:tc>
        <w:tc>
          <w:tcPr>
            <w:tcW w:w="730" w:type="dxa"/>
            <w:tcBorders>
              <w:top w:val="nil"/>
              <w:left w:val="nil"/>
              <w:bottom w:val="nil"/>
              <w:right w:val="nil"/>
            </w:tcBorders>
            <w:shd w:val="clear" w:color="000000" w:fill="C5C5C5"/>
            <w:noWrap/>
            <w:vAlign w:val="bottom"/>
            <w:hideMark/>
          </w:tcPr>
          <w:p w14:paraId="638A1A9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0.711</w:t>
            </w:r>
          </w:p>
        </w:tc>
        <w:tc>
          <w:tcPr>
            <w:tcW w:w="222" w:type="dxa"/>
            <w:tcBorders>
              <w:top w:val="nil"/>
              <w:left w:val="nil"/>
              <w:bottom w:val="nil"/>
              <w:right w:val="nil"/>
            </w:tcBorders>
            <w:shd w:val="clear" w:color="auto" w:fill="auto"/>
            <w:noWrap/>
            <w:vAlign w:val="bottom"/>
            <w:hideMark/>
          </w:tcPr>
          <w:p w14:paraId="442BEF7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48FBBA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791E80F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0.643</w:t>
            </w:r>
          </w:p>
        </w:tc>
        <w:tc>
          <w:tcPr>
            <w:tcW w:w="672" w:type="dxa"/>
            <w:tcBorders>
              <w:top w:val="nil"/>
              <w:left w:val="nil"/>
              <w:bottom w:val="nil"/>
              <w:right w:val="nil"/>
            </w:tcBorders>
            <w:shd w:val="clear" w:color="000000" w:fill="A6A6A6"/>
            <w:noWrap/>
            <w:vAlign w:val="bottom"/>
            <w:hideMark/>
          </w:tcPr>
          <w:p w14:paraId="2247076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0.728</w:t>
            </w:r>
          </w:p>
        </w:tc>
        <w:tc>
          <w:tcPr>
            <w:tcW w:w="730" w:type="dxa"/>
            <w:tcBorders>
              <w:top w:val="nil"/>
              <w:left w:val="nil"/>
              <w:bottom w:val="nil"/>
              <w:right w:val="nil"/>
            </w:tcBorders>
            <w:shd w:val="clear" w:color="000000" w:fill="B5B5B5"/>
            <w:noWrap/>
            <w:vAlign w:val="bottom"/>
            <w:hideMark/>
          </w:tcPr>
          <w:p w14:paraId="19F4F6A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0.714</w:t>
            </w:r>
          </w:p>
        </w:tc>
      </w:tr>
      <w:tr w:rsidR="00030C0F" w:rsidRPr="00030C0F" w14:paraId="6D8EF7D5"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03542EE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4F9842D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0.530</w:t>
            </w:r>
          </w:p>
        </w:tc>
        <w:tc>
          <w:tcPr>
            <w:tcW w:w="672" w:type="dxa"/>
            <w:tcBorders>
              <w:top w:val="nil"/>
              <w:left w:val="nil"/>
              <w:bottom w:val="nil"/>
              <w:right w:val="nil"/>
            </w:tcBorders>
            <w:shd w:val="clear" w:color="000000" w:fill="E9E9E9"/>
            <w:noWrap/>
            <w:vAlign w:val="bottom"/>
            <w:hideMark/>
          </w:tcPr>
          <w:p w14:paraId="1F47F8D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0.388</w:t>
            </w:r>
          </w:p>
        </w:tc>
        <w:tc>
          <w:tcPr>
            <w:tcW w:w="730" w:type="dxa"/>
            <w:tcBorders>
              <w:top w:val="nil"/>
              <w:left w:val="nil"/>
              <w:bottom w:val="nil"/>
              <w:right w:val="nil"/>
            </w:tcBorders>
            <w:shd w:val="clear" w:color="000000" w:fill="FFFFFF"/>
            <w:noWrap/>
            <w:vAlign w:val="bottom"/>
            <w:hideMark/>
          </w:tcPr>
          <w:p w14:paraId="2721067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0.341</w:t>
            </w:r>
          </w:p>
        </w:tc>
        <w:tc>
          <w:tcPr>
            <w:tcW w:w="222" w:type="dxa"/>
            <w:tcBorders>
              <w:top w:val="nil"/>
              <w:left w:val="nil"/>
              <w:bottom w:val="nil"/>
              <w:right w:val="nil"/>
            </w:tcBorders>
            <w:shd w:val="clear" w:color="auto" w:fill="auto"/>
            <w:noWrap/>
            <w:vAlign w:val="bottom"/>
            <w:hideMark/>
          </w:tcPr>
          <w:p w14:paraId="390231AA"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4381B3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1778689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0.521</w:t>
            </w:r>
          </w:p>
        </w:tc>
        <w:tc>
          <w:tcPr>
            <w:tcW w:w="672" w:type="dxa"/>
            <w:tcBorders>
              <w:top w:val="nil"/>
              <w:left w:val="nil"/>
              <w:bottom w:val="nil"/>
              <w:right w:val="nil"/>
            </w:tcBorders>
            <w:shd w:val="clear" w:color="000000" w:fill="ECECEC"/>
            <w:noWrap/>
            <w:vAlign w:val="bottom"/>
            <w:hideMark/>
          </w:tcPr>
          <w:p w14:paraId="015051E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0.384</w:t>
            </w:r>
          </w:p>
        </w:tc>
        <w:tc>
          <w:tcPr>
            <w:tcW w:w="730" w:type="dxa"/>
            <w:tcBorders>
              <w:top w:val="nil"/>
              <w:left w:val="nil"/>
              <w:bottom w:val="nil"/>
              <w:right w:val="nil"/>
            </w:tcBorders>
            <w:shd w:val="clear" w:color="000000" w:fill="FFFFFF"/>
            <w:noWrap/>
            <w:vAlign w:val="bottom"/>
            <w:hideMark/>
          </w:tcPr>
          <w:p w14:paraId="0161D7F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0.346</w:t>
            </w:r>
          </w:p>
        </w:tc>
        <w:tc>
          <w:tcPr>
            <w:tcW w:w="222" w:type="dxa"/>
            <w:tcBorders>
              <w:top w:val="nil"/>
              <w:left w:val="nil"/>
              <w:bottom w:val="nil"/>
              <w:right w:val="nil"/>
            </w:tcBorders>
            <w:shd w:val="clear" w:color="auto" w:fill="auto"/>
            <w:noWrap/>
            <w:vAlign w:val="bottom"/>
            <w:hideMark/>
          </w:tcPr>
          <w:p w14:paraId="21A7E80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17DB8E3"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0F2AA13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0.486</w:t>
            </w:r>
          </w:p>
        </w:tc>
        <w:tc>
          <w:tcPr>
            <w:tcW w:w="672" w:type="dxa"/>
            <w:tcBorders>
              <w:top w:val="nil"/>
              <w:left w:val="nil"/>
              <w:bottom w:val="nil"/>
              <w:right w:val="nil"/>
            </w:tcBorders>
            <w:shd w:val="clear" w:color="000000" w:fill="FBFBFB"/>
            <w:noWrap/>
            <w:vAlign w:val="bottom"/>
            <w:hideMark/>
          </w:tcPr>
          <w:p w14:paraId="7177745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0.377</w:t>
            </w:r>
          </w:p>
        </w:tc>
        <w:tc>
          <w:tcPr>
            <w:tcW w:w="730" w:type="dxa"/>
            <w:tcBorders>
              <w:top w:val="nil"/>
              <w:left w:val="nil"/>
              <w:bottom w:val="nil"/>
              <w:right w:val="nil"/>
            </w:tcBorders>
            <w:shd w:val="clear" w:color="000000" w:fill="FFFFFF"/>
            <w:noWrap/>
            <w:vAlign w:val="bottom"/>
            <w:hideMark/>
          </w:tcPr>
          <w:p w14:paraId="0EB865F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0.370</w:t>
            </w:r>
          </w:p>
        </w:tc>
        <w:tc>
          <w:tcPr>
            <w:tcW w:w="222" w:type="dxa"/>
            <w:tcBorders>
              <w:top w:val="nil"/>
              <w:left w:val="nil"/>
              <w:bottom w:val="nil"/>
              <w:right w:val="nil"/>
            </w:tcBorders>
            <w:shd w:val="clear" w:color="auto" w:fill="auto"/>
            <w:noWrap/>
            <w:vAlign w:val="bottom"/>
            <w:hideMark/>
          </w:tcPr>
          <w:p w14:paraId="532C552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6CC6BC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4B4F6F4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0.491</w:t>
            </w:r>
          </w:p>
        </w:tc>
        <w:tc>
          <w:tcPr>
            <w:tcW w:w="672" w:type="dxa"/>
            <w:tcBorders>
              <w:top w:val="nil"/>
              <w:left w:val="nil"/>
              <w:bottom w:val="nil"/>
              <w:right w:val="nil"/>
            </w:tcBorders>
            <w:shd w:val="clear" w:color="000000" w:fill="EFEFEF"/>
            <w:noWrap/>
            <w:vAlign w:val="bottom"/>
            <w:hideMark/>
          </w:tcPr>
          <w:p w14:paraId="416C192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0.386</w:t>
            </w:r>
          </w:p>
        </w:tc>
        <w:tc>
          <w:tcPr>
            <w:tcW w:w="730" w:type="dxa"/>
            <w:tcBorders>
              <w:top w:val="nil"/>
              <w:left w:val="nil"/>
              <w:bottom w:val="nil"/>
              <w:right w:val="nil"/>
            </w:tcBorders>
            <w:shd w:val="clear" w:color="000000" w:fill="FFFFFF"/>
            <w:noWrap/>
            <w:vAlign w:val="bottom"/>
            <w:hideMark/>
          </w:tcPr>
          <w:p w14:paraId="6B0D053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0.361</w:t>
            </w:r>
          </w:p>
        </w:tc>
      </w:tr>
      <w:tr w:rsidR="00030C0F" w:rsidRPr="00030C0F" w14:paraId="155BA867"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20C69E31"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7EAF825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0.320</w:t>
            </w:r>
          </w:p>
        </w:tc>
        <w:tc>
          <w:tcPr>
            <w:tcW w:w="672" w:type="dxa"/>
            <w:tcBorders>
              <w:top w:val="nil"/>
              <w:left w:val="nil"/>
              <w:bottom w:val="nil"/>
              <w:right w:val="nil"/>
            </w:tcBorders>
            <w:shd w:val="clear" w:color="000000" w:fill="FFFFFF"/>
            <w:noWrap/>
            <w:vAlign w:val="bottom"/>
            <w:hideMark/>
          </w:tcPr>
          <w:p w14:paraId="2E28E4F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0.216</w:t>
            </w:r>
          </w:p>
        </w:tc>
        <w:tc>
          <w:tcPr>
            <w:tcW w:w="730" w:type="dxa"/>
            <w:tcBorders>
              <w:top w:val="nil"/>
              <w:left w:val="nil"/>
              <w:bottom w:val="nil"/>
              <w:right w:val="nil"/>
            </w:tcBorders>
            <w:shd w:val="clear" w:color="000000" w:fill="DEDEDE"/>
            <w:noWrap/>
            <w:vAlign w:val="bottom"/>
            <w:hideMark/>
          </w:tcPr>
          <w:p w14:paraId="71E537D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0.254</w:t>
            </w:r>
          </w:p>
        </w:tc>
        <w:tc>
          <w:tcPr>
            <w:tcW w:w="222" w:type="dxa"/>
            <w:tcBorders>
              <w:top w:val="nil"/>
              <w:left w:val="nil"/>
              <w:bottom w:val="nil"/>
              <w:right w:val="nil"/>
            </w:tcBorders>
            <w:shd w:val="clear" w:color="auto" w:fill="auto"/>
            <w:noWrap/>
            <w:vAlign w:val="bottom"/>
            <w:hideMark/>
          </w:tcPr>
          <w:p w14:paraId="019C17F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C4FFEB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03EBEE8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0.311</w:t>
            </w:r>
          </w:p>
        </w:tc>
        <w:tc>
          <w:tcPr>
            <w:tcW w:w="672" w:type="dxa"/>
            <w:tcBorders>
              <w:top w:val="nil"/>
              <w:left w:val="nil"/>
              <w:bottom w:val="nil"/>
              <w:right w:val="nil"/>
            </w:tcBorders>
            <w:shd w:val="clear" w:color="000000" w:fill="FFFFFF"/>
            <w:noWrap/>
            <w:vAlign w:val="bottom"/>
            <w:hideMark/>
          </w:tcPr>
          <w:p w14:paraId="0D2B796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0.210</w:t>
            </w:r>
          </w:p>
        </w:tc>
        <w:tc>
          <w:tcPr>
            <w:tcW w:w="730" w:type="dxa"/>
            <w:tcBorders>
              <w:top w:val="nil"/>
              <w:left w:val="nil"/>
              <w:bottom w:val="nil"/>
              <w:right w:val="nil"/>
            </w:tcBorders>
            <w:shd w:val="clear" w:color="000000" w:fill="C6C6C6"/>
            <w:noWrap/>
            <w:vAlign w:val="bottom"/>
            <w:hideMark/>
          </w:tcPr>
          <w:p w14:paraId="57DC562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0.275</w:t>
            </w:r>
          </w:p>
        </w:tc>
        <w:tc>
          <w:tcPr>
            <w:tcW w:w="222" w:type="dxa"/>
            <w:tcBorders>
              <w:top w:val="nil"/>
              <w:left w:val="nil"/>
              <w:bottom w:val="nil"/>
              <w:right w:val="nil"/>
            </w:tcBorders>
            <w:shd w:val="clear" w:color="auto" w:fill="auto"/>
            <w:noWrap/>
            <w:vAlign w:val="bottom"/>
            <w:hideMark/>
          </w:tcPr>
          <w:p w14:paraId="3AE10C4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6A1B76B"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65066EB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0.317</w:t>
            </w:r>
          </w:p>
        </w:tc>
        <w:tc>
          <w:tcPr>
            <w:tcW w:w="672" w:type="dxa"/>
            <w:tcBorders>
              <w:top w:val="nil"/>
              <w:left w:val="nil"/>
              <w:bottom w:val="nil"/>
              <w:right w:val="nil"/>
            </w:tcBorders>
            <w:shd w:val="clear" w:color="000000" w:fill="FFFFFF"/>
            <w:noWrap/>
            <w:vAlign w:val="bottom"/>
            <w:hideMark/>
          </w:tcPr>
          <w:p w14:paraId="42D2636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0.210</w:t>
            </w:r>
          </w:p>
        </w:tc>
        <w:tc>
          <w:tcPr>
            <w:tcW w:w="730" w:type="dxa"/>
            <w:tcBorders>
              <w:top w:val="nil"/>
              <w:left w:val="nil"/>
              <w:bottom w:val="nil"/>
              <w:right w:val="nil"/>
            </w:tcBorders>
            <w:shd w:val="clear" w:color="000000" w:fill="BFBFBF"/>
            <w:noWrap/>
            <w:vAlign w:val="bottom"/>
            <w:hideMark/>
          </w:tcPr>
          <w:p w14:paraId="1C3D63F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0.287</w:t>
            </w:r>
          </w:p>
        </w:tc>
        <w:tc>
          <w:tcPr>
            <w:tcW w:w="222" w:type="dxa"/>
            <w:tcBorders>
              <w:top w:val="nil"/>
              <w:left w:val="nil"/>
              <w:bottom w:val="nil"/>
              <w:right w:val="nil"/>
            </w:tcBorders>
            <w:shd w:val="clear" w:color="auto" w:fill="auto"/>
            <w:noWrap/>
            <w:vAlign w:val="bottom"/>
            <w:hideMark/>
          </w:tcPr>
          <w:p w14:paraId="7A305E2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C9A030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2B73B26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0.308</w:t>
            </w:r>
          </w:p>
        </w:tc>
        <w:tc>
          <w:tcPr>
            <w:tcW w:w="672" w:type="dxa"/>
            <w:tcBorders>
              <w:top w:val="nil"/>
              <w:left w:val="nil"/>
              <w:bottom w:val="nil"/>
              <w:right w:val="nil"/>
            </w:tcBorders>
            <w:shd w:val="clear" w:color="000000" w:fill="FFFFFF"/>
            <w:noWrap/>
            <w:vAlign w:val="bottom"/>
            <w:hideMark/>
          </w:tcPr>
          <w:p w14:paraId="109031D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0.231</w:t>
            </w:r>
          </w:p>
        </w:tc>
        <w:tc>
          <w:tcPr>
            <w:tcW w:w="730" w:type="dxa"/>
            <w:tcBorders>
              <w:top w:val="nil"/>
              <w:left w:val="nil"/>
              <w:bottom w:val="nil"/>
              <w:right w:val="nil"/>
            </w:tcBorders>
            <w:shd w:val="clear" w:color="000000" w:fill="CCCCCC"/>
            <w:noWrap/>
            <w:vAlign w:val="bottom"/>
            <w:hideMark/>
          </w:tcPr>
          <w:p w14:paraId="06D430A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0.275</w:t>
            </w:r>
          </w:p>
        </w:tc>
      </w:tr>
      <w:tr w:rsidR="00030C0F" w:rsidRPr="00030C0F" w14:paraId="27206EE2"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858253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6897EEB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0.083</w:t>
            </w:r>
          </w:p>
        </w:tc>
        <w:tc>
          <w:tcPr>
            <w:tcW w:w="672" w:type="dxa"/>
            <w:tcBorders>
              <w:top w:val="nil"/>
              <w:left w:val="nil"/>
              <w:bottom w:val="nil"/>
              <w:right w:val="nil"/>
            </w:tcBorders>
            <w:shd w:val="clear" w:color="000000" w:fill="EEEEEE"/>
            <w:noWrap/>
            <w:vAlign w:val="bottom"/>
            <w:hideMark/>
          </w:tcPr>
          <w:p w14:paraId="27ACDC2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0.098</w:t>
            </w:r>
          </w:p>
        </w:tc>
        <w:tc>
          <w:tcPr>
            <w:tcW w:w="730" w:type="dxa"/>
            <w:tcBorders>
              <w:top w:val="nil"/>
              <w:left w:val="nil"/>
              <w:bottom w:val="nil"/>
              <w:right w:val="nil"/>
            </w:tcBorders>
            <w:shd w:val="clear" w:color="000000" w:fill="A6A6A6"/>
            <w:noWrap/>
            <w:vAlign w:val="bottom"/>
            <w:hideMark/>
          </w:tcPr>
          <w:p w14:paraId="2D85EA6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0.158</w:t>
            </w:r>
          </w:p>
        </w:tc>
        <w:tc>
          <w:tcPr>
            <w:tcW w:w="222" w:type="dxa"/>
            <w:tcBorders>
              <w:top w:val="nil"/>
              <w:left w:val="nil"/>
              <w:bottom w:val="nil"/>
              <w:right w:val="nil"/>
            </w:tcBorders>
            <w:shd w:val="clear" w:color="auto" w:fill="auto"/>
            <w:noWrap/>
            <w:vAlign w:val="bottom"/>
            <w:hideMark/>
          </w:tcPr>
          <w:p w14:paraId="057E5A6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B5E9A8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575AEB9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0.105</w:t>
            </w:r>
          </w:p>
        </w:tc>
        <w:tc>
          <w:tcPr>
            <w:tcW w:w="672" w:type="dxa"/>
            <w:tcBorders>
              <w:top w:val="nil"/>
              <w:left w:val="nil"/>
              <w:bottom w:val="nil"/>
              <w:right w:val="nil"/>
            </w:tcBorders>
            <w:shd w:val="clear" w:color="000000" w:fill="F4F4F4"/>
            <w:noWrap/>
            <w:vAlign w:val="bottom"/>
            <w:hideMark/>
          </w:tcPr>
          <w:p w14:paraId="560D8CD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0.113</w:t>
            </w:r>
          </w:p>
        </w:tc>
        <w:tc>
          <w:tcPr>
            <w:tcW w:w="730" w:type="dxa"/>
            <w:tcBorders>
              <w:top w:val="nil"/>
              <w:left w:val="nil"/>
              <w:bottom w:val="nil"/>
              <w:right w:val="nil"/>
            </w:tcBorders>
            <w:shd w:val="clear" w:color="000000" w:fill="A6A6A6"/>
            <w:noWrap/>
            <w:vAlign w:val="bottom"/>
            <w:hideMark/>
          </w:tcPr>
          <w:p w14:paraId="60E13E1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0.165</w:t>
            </w:r>
          </w:p>
        </w:tc>
        <w:tc>
          <w:tcPr>
            <w:tcW w:w="222" w:type="dxa"/>
            <w:tcBorders>
              <w:top w:val="nil"/>
              <w:left w:val="nil"/>
              <w:bottom w:val="nil"/>
              <w:right w:val="nil"/>
            </w:tcBorders>
            <w:shd w:val="clear" w:color="auto" w:fill="auto"/>
            <w:noWrap/>
            <w:vAlign w:val="bottom"/>
            <w:hideMark/>
          </w:tcPr>
          <w:p w14:paraId="3C18E43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1F7A0E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33E42A4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0.143</w:t>
            </w:r>
          </w:p>
        </w:tc>
        <w:tc>
          <w:tcPr>
            <w:tcW w:w="672" w:type="dxa"/>
            <w:tcBorders>
              <w:top w:val="nil"/>
              <w:left w:val="nil"/>
              <w:bottom w:val="nil"/>
              <w:right w:val="nil"/>
            </w:tcBorders>
            <w:shd w:val="clear" w:color="000000" w:fill="F7F7F7"/>
            <w:noWrap/>
            <w:vAlign w:val="bottom"/>
            <w:hideMark/>
          </w:tcPr>
          <w:p w14:paraId="53371C1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0.158</w:t>
            </w:r>
          </w:p>
        </w:tc>
        <w:tc>
          <w:tcPr>
            <w:tcW w:w="730" w:type="dxa"/>
            <w:tcBorders>
              <w:top w:val="nil"/>
              <w:left w:val="nil"/>
              <w:bottom w:val="nil"/>
              <w:right w:val="nil"/>
            </w:tcBorders>
            <w:shd w:val="clear" w:color="000000" w:fill="A6A6A6"/>
            <w:noWrap/>
            <w:vAlign w:val="bottom"/>
            <w:hideMark/>
          </w:tcPr>
          <w:p w14:paraId="043D9BF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0.293</w:t>
            </w:r>
          </w:p>
        </w:tc>
        <w:tc>
          <w:tcPr>
            <w:tcW w:w="222" w:type="dxa"/>
            <w:tcBorders>
              <w:top w:val="nil"/>
              <w:left w:val="nil"/>
              <w:bottom w:val="nil"/>
              <w:right w:val="nil"/>
            </w:tcBorders>
            <w:shd w:val="clear" w:color="auto" w:fill="auto"/>
            <w:noWrap/>
            <w:vAlign w:val="bottom"/>
            <w:hideMark/>
          </w:tcPr>
          <w:p w14:paraId="4A940A2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C5623FB"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7FAF154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0.128</w:t>
            </w:r>
          </w:p>
        </w:tc>
        <w:tc>
          <w:tcPr>
            <w:tcW w:w="672" w:type="dxa"/>
            <w:tcBorders>
              <w:top w:val="nil"/>
              <w:left w:val="nil"/>
              <w:bottom w:val="nil"/>
              <w:right w:val="nil"/>
            </w:tcBorders>
            <w:shd w:val="clear" w:color="000000" w:fill="FFFFFF"/>
            <w:noWrap/>
            <w:vAlign w:val="bottom"/>
            <w:hideMark/>
          </w:tcPr>
          <w:p w14:paraId="7AD0D88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0.128</w:t>
            </w:r>
          </w:p>
        </w:tc>
        <w:tc>
          <w:tcPr>
            <w:tcW w:w="730" w:type="dxa"/>
            <w:tcBorders>
              <w:top w:val="nil"/>
              <w:left w:val="nil"/>
              <w:bottom w:val="nil"/>
              <w:right w:val="nil"/>
            </w:tcBorders>
            <w:shd w:val="clear" w:color="000000" w:fill="A6A6A6"/>
            <w:noWrap/>
            <w:vAlign w:val="bottom"/>
            <w:hideMark/>
          </w:tcPr>
          <w:p w14:paraId="390F9DA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0.173</w:t>
            </w:r>
          </w:p>
        </w:tc>
      </w:tr>
      <w:tr w:rsidR="00030C0F" w:rsidRPr="00030C0F" w14:paraId="0667D078"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224A8BB3"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20DE235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E4E4E4"/>
            <w:noWrap/>
            <w:vAlign w:val="bottom"/>
            <w:hideMark/>
          </w:tcPr>
          <w:p w14:paraId="04FE041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0.091</w:t>
            </w:r>
          </w:p>
        </w:tc>
        <w:tc>
          <w:tcPr>
            <w:tcW w:w="730" w:type="dxa"/>
            <w:tcBorders>
              <w:top w:val="nil"/>
              <w:left w:val="nil"/>
              <w:bottom w:val="nil"/>
              <w:right w:val="nil"/>
            </w:tcBorders>
            <w:shd w:val="clear" w:color="000000" w:fill="A6A6A6"/>
            <w:noWrap/>
            <w:vAlign w:val="bottom"/>
            <w:hideMark/>
          </w:tcPr>
          <w:p w14:paraId="1FEEBCA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0.295</w:t>
            </w:r>
          </w:p>
        </w:tc>
        <w:tc>
          <w:tcPr>
            <w:tcW w:w="222" w:type="dxa"/>
            <w:tcBorders>
              <w:top w:val="nil"/>
              <w:left w:val="nil"/>
              <w:bottom w:val="nil"/>
              <w:right w:val="nil"/>
            </w:tcBorders>
            <w:shd w:val="clear" w:color="auto" w:fill="auto"/>
            <w:noWrap/>
            <w:vAlign w:val="bottom"/>
            <w:hideMark/>
          </w:tcPr>
          <w:p w14:paraId="24C7CFD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07C88E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649BCE3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E2E2E2"/>
            <w:noWrap/>
            <w:vAlign w:val="bottom"/>
            <w:hideMark/>
          </w:tcPr>
          <w:p w14:paraId="48421F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0.091</w:t>
            </w:r>
          </w:p>
        </w:tc>
        <w:tc>
          <w:tcPr>
            <w:tcW w:w="730" w:type="dxa"/>
            <w:tcBorders>
              <w:top w:val="nil"/>
              <w:left w:val="nil"/>
              <w:bottom w:val="nil"/>
              <w:right w:val="nil"/>
            </w:tcBorders>
            <w:shd w:val="clear" w:color="000000" w:fill="A6A6A6"/>
            <w:noWrap/>
            <w:vAlign w:val="bottom"/>
            <w:hideMark/>
          </w:tcPr>
          <w:p w14:paraId="2BB8476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0.273</w:t>
            </w:r>
          </w:p>
        </w:tc>
        <w:tc>
          <w:tcPr>
            <w:tcW w:w="222" w:type="dxa"/>
            <w:tcBorders>
              <w:top w:val="nil"/>
              <w:left w:val="nil"/>
              <w:bottom w:val="nil"/>
              <w:right w:val="nil"/>
            </w:tcBorders>
            <w:shd w:val="clear" w:color="auto" w:fill="auto"/>
            <w:noWrap/>
            <w:vAlign w:val="bottom"/>
            <w:hideMark/>
          </w:tcPr>
          <w:p w14:paraId="5797561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3CE81E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0459603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0.023</w:t>
            </w:r>
          </w:p>
        </w:tc>
        <w:tc>
          <w:tcPr>
            <w:tcW w:w="672" w:type="dxa"/>
            <w:tcBorders>
              <w:top w:val="nil"/>
              <w:left w:val="nil"/>
              <w:bottom w:val="nil"/>
              <w:right w:val="nil"/>
            </w:tcBorders>
            <w:shd w:val="clear" w:color="000000" w:fill="EBEBEB"/>
            <w:noWrap/>
            <w:vAlign w:val="bottom"/>
            <w:hideMark/>
          </w:tcPr>
          <w:p w14:paraId="73CC0E4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0.114</w:t>
            </w:r>
          </w:p>
        </w:tc>
        <w:tc>
          <w:tcPr>
            <w:tcW w:w="730" w:type="dxa"/>
            <w:tcBorders>
              <w:top w:val="nil"/>
              <w:left w:val="nil"/>
              <w:bottom w:val="nil"/>
              <w:right w:val="nil"/>
            </w:tcBorders>
            <w:shd w:val="clear" w:color="000000" w:fill="A6A6A6"/>
            <w:noWrap/>
            <w:vAlign w:val="bottom"/>
            <w:hideMark/>
          </w:tcPr>
          <w:p w14:paraId="764C381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0.409</w:t>
            </w:r>
          </w:p>
        </w:tc>
        <w:tc>
          <w:tcPr>
            <w:tcW w:w="222" w:type="dxa"/>
            <w:tcBorders>
              <w:top w:val="nil"/>
              <w:left w:val="nil"/>
              <w:bottom w:val="nil"/>
              <w:right w:val="nil"/>
            </w:tcBorders>
            <w:shd w:val="clear" w:color="auto" w:fill="auto"/>
            <w:noWrap/>
            <w:vAlign w:val="bottom"/>
            <w:hideMark/>
          </w:tcPr>
          <w:p w14:paraId="650FDDA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CB67AA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6F8B1FB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0.023</w:t>
            </w:r>
          </w:p>
        </w:tc>
        <w:tc>
          <w:tcPr>
            <w:tcW w:w="672" w:type="dxa"/>
            <w:tcBorders>
              <w:top w:val="nil"/>
              <w:left w:val="nil"/>
              <w:bottom w:val="nil"/>
              <w:right w:val="nil"/>
            </w:tcBorders>
            <w:shd w:val="clear" w:color="000000" w:fill="EBEBEB"/>
            <w:noWrap/>
            <w:vAlign w:val="bottom"/>
            <w:hideMark/>
          </w:tcPr>
          <w:p w14:paraId="474DB12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0.091</w:t>
            </w:r>
          </w:p>
        </w:tc>
        <w:tc>
          <w:tcPr>
            <w:tcW w:w="730" w:type="dxa"/>
            <w:tcBorders>
              <w:top w:val="nil"/>
              <w:left w:val="nil"/>
              <w:bottom w:val="nil"/>
              <w:right w:val="nil"/>
            </w:tcBorders>
            <w:shd w:val="clear" w:color="000000" w:fill="A6A6A6"/>
            <w:noWrap/>
            <w:vAlign w:val="bottom"/>
            <w:hideMark/>
          </w:tcPr>
          <w:p w14:paraId="0A9161F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0.318</w:t>
            </w:r>
          </w:p>
        </w:tc>
      </w:tr>
      <w:tr w:rsidR="00030C0F" w:rsidRPr="00030C0F" w14:paraId="5EB34880"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57B5449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auto" w:fill="auto"/>
            <w:noWrap/>
            <w:vAlign w:val="bottom"/>
            <w:hideMark/>
          </w:tcPr>
          <w:p w14:paraId="60161DA4"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B7BF7E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6DE2B5F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D6B4BB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843E7D3"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0213C4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6134E16"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2DA75BFD"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0880C30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4EC63C94"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60EE89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4FD8EC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2E5AF1F6"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2012E66"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325DFC9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AAEDD61"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16FAD8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345FEA7B"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6A60D623"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1EF13759"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6E50F3A"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C85D8E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75DEA53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97497D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8F1751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224A09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2314FB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78CB11C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176601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5550B61B"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146717A8"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2034672"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62B2690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173A3F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7C66B2BD"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AE405DC"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68C16C8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5F6CC22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31CC3B03"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2003EE9C"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51E58DB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6E7B9F44"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799ED77"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0737A82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7D3AA34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D97B79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506ABDA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29FA601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544796B"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2EF2C06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r>
      <w:tr w:rsidR="00030C0F" w:rsidRPr="00030C0F" w14:paraId="25376C6F"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0300A4C8"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BDBDBD"/>
            <w:noWrap/>
            <w:vAlign w:val="bottom"/>
            <w:hideMark/>
          </w:tcPr>
          <w:p w14:paraId="4ABE331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0.582</w:t>
            </w:r>
          </w:p>
        </w:tc>
        <w:tc>
          <w:tcPr>
            <w:tcW w:w="672" w:type="dxa"/>
            <w:tcBorders>
              <w:top w:val="nil"/>
              <w:left w:val="nil"/>
              <w:bottom w:val="nil"/>
              <w:right w:val="nil"/>
            </w:tcBorders>
            <w:shd w:val="clear" w:color="000000" w:fill="A6A6A6"/>
            <w:noWrap/>
            <w:vAlign w:val="bottom"/>
            <w:hideMark/>
          </w:tcPr>
          <w:p w14:paraId="7DBB008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0.591</w:t>
            </w:r>
          </w:p>
        </w:tc>
        <w:tc>
          <w:tcPr>
            <w:tcW w:w="730" w:type="dxa"/>
            <w:tcBorders>
              <w:top w:val="nil"/>
              <w:left w:val="nil"/>
              <w:bottom w:val="nil"/>
              <w:right w:val="nil"/>
            </w:tcBorders>
            <w:shd w:val="clear" w:color="000000" w:fill="FFFFFF"/>
            <w:noWrap/>
            <w:vAlign w:val="bottom"/>
            <w:hideMark/>
          </w:tcPr>
          <w:p w14:paraId="0A101F9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0.556</w:t>
            </w:r>
          </w:p>
        </w:tc>
        <w:tc>
          <w:tcPr>
            <w:tcW w:w="222" w:type="dxa"/>
            <w:tcBorders>
              <w:top w:val="nil"/>
              <w:left w:val="nil"/>
              <w:bottom w:val="nil"/>
              <w:right w:val="nil"/>
            </w:tcBorders>
            <w:shd w:val="clear" w:color="auto" w:fill="auto"/>
            <w:noWrap/>
            <w:vAlign w:val="bottom"/>
            <w:hideMark/>
          </w:tcPr>
          <w:p w14:paraId="2799016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3D8B26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A6A6A6"/>
            <w:noWrap/>
            <w:vAlign w:val="bottom"/>
            <w:hideMark/>
          </w:tcPr>
          <w:p w14:paraId="1B41D4C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0.596</w:t>
            </w:r>
          </w:p>
        </w:tc>
        <w:tc>
          <w:tcPr>
            <w:tcW w:w="672" w:type="dxa"/>
            <w:tcBorders>
              <w:top w:val="nil"/>
              <w:left w:val="nil"/>
              <w:bottom w:val="nil"/>
              <w:right w:val="nil"/>
            </w:tcBorders>
            <w:shd w:val="clear" w:color="000000" w:fill="B9B9B9"/>
            <w:noWrap/>
            <w:vAlign w:val="bottom"/>
            <w:hideMark/>
          </w:tcPr>
          <w:p w14:paraId="478D376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0.588</w:t>
            </w:r>
          </w:p>
        </w:tc>
        <w:tc>
          <w:tcPr>
            <w:tcW w:w="730" w:type="dxa"/>
            <w:tcBorders>
              <w:top w:val="nil"/>
              <w:left w:val="nil"/>
              <w:bottom w:val="nil"/>
              <w:right w:val="nil"/>
            </w:tcBorders>
            <w:shd w:val="clear" w:color="000000" w:fill="FFFFFF"/>
            <w:noWrap/>
            <w:vAlign w:val="bottom"/>
            <w:hideMark/>
          </w:tcPr>
          <w:p w14:paraId="0F92509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0.562</w:t>
            </w:r>
          </w:p>
        </w:tc>
        <w:tc>
          <w:tcPr>
            <w:tcW w:w="222" w:type="dxa"/>
            <w:tcBorders>
              <w:top w:val="nil"/>
              <w:left w:val="nil"/>
              <w:bottom w:val="nil"/>
              <w:right w:val="nil"/>
            </w:tcBorders>
            <w:shd w:val="clear" w:color="auto" w:fill="auto"/>
            <w:noWrap/>
            <w:vAlign w:val="bottom"/>
            <w:hideMark/>
          </w:tcPr>
          <w:p w14:paraId="7B2A8E3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A9EBA4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A6A6A6"/>
            <w:noWrap/>
            <w:vAlign w:val="bottom"/>
            <w:hideMark/>
          </w:tcPr>
          <w:p w14:paraId="265C4D9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0.655</w:t>
            </w:r>
          </w:p>
        </w:tc>
        <w:tc>
          <w:tcPr>
            <w:tcW w:w="672" w:type="dxa"/>
            <w:tcBorders>
              <w:top w:val="nil"/>
              <w:left w:val="nil"/>
              <w:bottom w:val="nil"/>
              <w:right w:val="nil"/>
            </w:tcBorders>
            <w:shd w:val="clear" w:color="000000" w:fill="DADADA"/>
            <w:noWrap/>
            <w:vAlign w:val="bottom"/>
            <w:hideMark/>
          </w:tcPr>
          <w:p w14:paraId="3E189A7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0.601</w:t>
            </w:r>
          </w:p>
        </w:tc>
        <w:tc>
          <w:tcPr>
            <w:tcW w:w="730" w:type="dxa"/>
            <w:tcBorders>
              <w:top w:val="nil"/>
              <w:left w:val="nil"/>
              <w:bottom w:val="nil"/>
              <w:right w:val="nil"/>
            </w:tcBorders>
            <w:shd w:val="clear" w:color="000000" w:fill="FFFFFF"/>
            <w:noWrap/>
            <w:vAlign w:val="bottom"/>
            <w:hideMark/>
          </w:tcPr>
          <w:p w14:paraId="50EB1C4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0.561</w:t>
            </w:r>
          </w:p>
        </w:tc>
        <w:tc>
          <w:tcPr>
            <w:tcW w:w="222" w:type="dxa"/>
            <w:tcBorders>
              <w:top w:val="nil"/>
              <w:left w:val="nil"/>
              <w:bottom w:val="nil"/>
              <w:right w:val="nil"/>
            </w:tcBorders>
            <w:shd w:val="clear" w:color="auto" w:fill="auto"/>
            <w:noWrap/>
            <w:vAlign w:val="bottom"/>
            <w:hideMark/>
          </w:tcPr>
          <w:p w14:paraId="66A7AC99"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95524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E5E5E5"/>
            <w:noWrap/>
            <w:vAlign w:val="bottom"/>
            <w:hideMark/>
          </w:tcPr>
          <w:p w14:paraId="00817E4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0.553</w:t>
            </w:r>
          </w:p>
        </w:tc>
        <w:tc>
          <w:tcPr>
            <w:tcW w:w="672" w:type="dxa"/>
            <w:tcBorders>
              <w:top w:val="nil"/>
              <w:left w:val="nil"/>
              <w:bottom w:val="nil"/>
              <w:right w:val="nil"/>
            </w:tcBorders>
            <w:shd w:val="clear" w:color="000000" w:fill="A6A6A6"/>
            <w:noWrap/>
            <w:vAlign w:val="bottom"/>
            <w:hideMark/>
          </w:tcPr>
          <w:p w14:paraId="02D71F0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0.573</w:t>
            </w:r>
          </w:p>
        </w:tc>
        <w:tc>
          <w:tcPr>
            <w:tcW w:w="730" w:type="dxa"/>
            <w:tcBorders>
              <w:top w:val="nil"/>
              <w:left w:val="nil"/>
              <w:bottom w:val="nil"/>
              <w:right w:val="nil"/>
            </w:tcBorders>
            <w:shd w:val="clear" w:color="000000" w:fill="FFFFFF"/>
            <w:noWrap/>
            <w:vAlign w:val="bottom"/>
            <w:hideMark/>
          </w:tcPr>
          <w:p w14:paraId="11CDF4D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0.545</w:t>
            </w:r>
          </w:p>
        </w:tc>
      </w:tr>
      <w:tr w:rsidR="00030C0F" w:rsidRPr="00030C0F" w14:paraId="462BD96D"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5A47949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C1C1C1"/>
            <w:noWrap/>
            <w:vAlign w:val="bottom"/>
            <w:hideMark/>
          </w:tcPr>
          <w:p w14:paraId="071D024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0.503</w:t>
            </w:r>
          </w:p>
        </w:tc>
        <w:tc>
          <w:tcPr>
            <w:tcW w:w="672" w:type="dxa"/>
            <w:tcBorders>
              <w:top w:val="nil"/>
              <w:left w:val="nil"/>
              <w:bottom w:val="nil"/>
              <w:right w:val="nil"/>
            </w:tcBorders>
            <w:shd w:val="clear" w:color="000000" w:fill="FFFFFF"/>
            <w:noWrap/>
            <w:vAlign w:val="bottom"/>
            <w:hideMark/>
          </w:tcPr>
          <w:p w14:paraId="7EEDE2B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0.491</w:t>
            </w:r>
          </w:p>
        </w:tc>
        <w:tc>
          <w:tcPr>
            <w:tcW w:w="730" w:type="dxa"/>
            <w:tcBorders>
              <w:top w:val="nil"/>
              <w:left w:val="nil"/>
              <w:bottom w:val="nil"/>
              <w:right w:val="nil"/>
            </w:tcBorders>
            <w:shd w:val="clear" w:color="000000" w:fill="A6A6A6"/>
            <w:noWrap/>
            <w:vAlign w:val="bottom"/>
            <w:hideMark/>
          </w:tcPr>
          <w:p w14:paraId="071E8C4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0.507</w:t>
            </w:r>
          </w:p>
        </w:tc>
        <w:tc>
          <w:tcPr>
            <w:tcW w:w="222" w:type="dxa"/>
            <w:tcBorders>
              <w:top w:val="nil"/>
              <w:left w:val="nil"/>
              <w:bottom w:val="nil"/>
              <w:right w:val="nil"/>
            </w:tcBorders>
            <w:shd w:val="clear" w:color="auto" w:fill="auto"/>
            <w:noWrap/>
            <w:vAlign w:val="bottom"/>
            <w:hideMark/>
          </w:tcPr>
          <w:p w14:paraId="39F8298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05E008E"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A6A6A6"/>
            <w:noWrap/>
            <w:vAlign w:val="bottom"/>
            <w:hideMark/>
          </w:tcPr>
          <w:p w14:paraId="3147F94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0.501</w:t>
            </w:r>
          </w:p>
        </w:tc>
        <w:tc>
          <w:tcPr>
            <w:tcW w:w="672" w:type="dxa"/>
            <w:tcBorders>
              <w:top w:val="nil"/>
              <w:left w:val="nil"/>
              <w:bottom w:val="nil"/>
              <w:right w:val="nil"/>
            </w:tcBorders>
            <w:shd w:val="clear" w:color="000000" w:fill="FFFFFF"/>
            <w:noWrap/>
            <w:vAlign w:val="bottom"/>
            <w:hideMark/>
          </w:tcPr>
          <w:p w14:paraId="3132699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0.487</w:t>
            </w:r>
          </w:p>
        </w:tc>
        <w:tc>
          <w:tcPr>
            <w:tcW w:w="730" w:type="dxa"/>
            <w:tcBorders>
              <w:top w:val="nil"/>
              <w:left w:val="nil"/>
              <w:bottom w:val="nil"/>
              <w:right w:val="nil"/>
            </w:tcBorders>
            <w:shd w:val="clear" w:color="000000" w:fill="A7A7A7"/>
            <w:noWrap/>
            <w:vAlign w:val="bottom"/>
            <w:hideMark/>
          </w:tcPr>
          <w:p w14:paraId="76099D7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0.501</w:t>
            </w:r>
          </w:p>
        </w:tc>
        <w:tc>
          <w:tcPr>
            <w:tcW w:w="222" w:type="dxa"/>
            <w:tcBorders>
              <w:top w:val="nil"/>
              <w:left w:val="nil"/>
              <w:bottom w:val="nil"/>
              <w:right w:val="nil"/>
            </w:tcBorders>
            <w:shd w:val="clear" w:color="auto" w:fill="auto"/>
            <w:noWrap/>
            <w:vAlign w:val="bottom"/>
            <w:hideMark/>
          </w:tcPr>
          <w:p w14:paraId="69EA053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1D6F0E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DADADA"/>
            <w:noWrap/>
            <w:vAlign w:val="bottom"/>
            <w:hideMark/>
          </w:tcPr>
          <w:p w14:paraId="3DE503F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0.505</w:t>
            </w:r>
          </w:p>
        </w:tc>
        <w:tc>
          <w:tcPr>
            <w:tcW w:w="672" w:type="dxa"/>
            <w:tcBorders>
              <w:top w:val="nil"/>
              <w:left w:val="nil"/>
              <w:bottom w:val="nil"/>
              <w:right w:val="nil"/>
            </w:tcBorders>
            <w:shd w:val="clear" w:color="000000" w:fill="FFFFFF"/>
            <w:noWrap/>
            <w:vAlign w:val="bottom"/>
            <w:hideMark/>
          </w:tcPr>
          <w:p w14:paraId="15D70FF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0.498</w:t>
            </w:r>
          </w:p>
        </w:tc>
        <w:tc>
          <w:tcPr>
            <w:tcW w:w="730" w:type="dxa"/>
            <w:tcBorders>
              <w:top w:val="nil"/>
              <w:left w:val="nil"/>
              <w:bottom w:val="nil"/>
              <w:right w:val="nil"/>
            </w:tcBorders>
            <w:shd w:val="clear" w:color="000000" w:fill="A6A6A6"/>
            <w:noWrap/>
            <w:vAlign w:val="bottom"/>
            <w:hideMark/>
          </w:tcPr>
          <w:p w14:paraId="768BAD9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0.514</w:t>
            </w:r>
          </w:p>
        </w:tc>
        <w:tc>
          <w:tcPr>
            <w:tcW w:w="222" w:type="dxa"/>
            <w:tcBorders>
              <w:top w:val="nil"/>
              <w:left w:val="nil"/>
              <w:bottom w:val="nil"/>
              <w:right w:val="nil"/>
            </w:tcBorders>
            <w:shd w:val="clear" w:color="auto" w:fill="auto"/>
            <w:noWrap/>
            <w:vAlign w:val="bottom"/>
            <w:hideMark/>
          </w:tcPr>
          <w:p w14:paraId="678FBBF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02BF16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E5E5E5"/>
            <w:noWrap/>
            <w:vAlign w:val="bottom"/>
            <w:hideMark/>
          </w:tcPr>
          <w:p w14:paraId="00D8554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0.494</w:t>
            </w:r>
          </w:p>
        </w:tc>
        <w:tc>
          <w:tcPr>
            <w:tcW w:w="672" w:type="dxa"/>
            <w:tcBorders>
              <w:top w:val="nil"/>
              <w:left w:val="nil"/>
              <w:bottom w:val="nil"/>
              <w:right w:val="nil"/>
            </w:tcBorders>
            <w:shd w:val="clear" w:color="000000" w:fill="FFFFFF"/>
            <w:noWrap/>
            <w:vAlign w:val="bottom"/>
            <w:hideMark/>
          </w:tcPr>
          <w:p w14:paraId="064D723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0.490</w:t>
            </w:r>
          </w:p>
        </w:tc>
        <w:tc>
          <w:tcPr>
            <w:tcW w:w="730" w:type="dxa"/>
            <w:tcBorders>
              <w:top w:val="nil"/>
              <w:left w:val="nil"/>
              <w:bottom w:val="nil"/>
              <w:right w:val="nil"/>
            </w:tcBorders>
            <w:shd w:val="clear" w:color="000000" w:fill="A6A6A6"/>
            <w:noWrap/>
            <w:vAlign w:val="bottom"/>
            <w:hideMark/>
          </w:tcPr>
          <w:p w14:paraId="6423A2D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0.505</w:t>
            </w:r>
          </w:p>
        </w:tc>
      </w:tr>
      <w:tr w:rsidR="00030C0F" w:rsidRPr="00030C0F" w14:paraId="4BB86DC9"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1B40FCB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272BFBA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0.382</w:t>
            </w:r>
          </w:p>
        </w:tc>
        <w:tc>
          <w:tcPr>
            <w:tcW w:w="672" w:type="dxa"/>
            <w:tcBorders>
              <w:top w:val="nil"/>
              <w:left w:val="nil"/>
              <w:bottom w:val="nil"/>
              <w:right w:val="nil"/>
            </w:tcBorders>
            <w:shd w:val="clear" w:color="000000" w:fill="FFFFFF"/>
            <w:noWrap/>
            <w:vAlign w:val="bottom"/>
            <w:hideMark/>
          </w:tcPr>
          <w:p w14:paraId="5D631E1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0.368</w:t>
            </w:r>
          </w:p>
        </w:tc>
        <w:tc>
          <w:tcPr>
            <w:tcW w:w="730" w:type="dxa"/>
            <w:tcBorders>
              <w:top w:val="nil"/>
              <w:left w:val="nil"/>
              <w:bottom w:val="nil"/>
              <w:right w:val="nil"/>
            </w:tcBorders>
            <w:shd w:val="clear" w:color="000000" w:fill="FEFEFE"/>
            <w:noWrap/>
            <w:vAlign w:val="bottom"/>
            <w:hideMark/>
          </w:tcPr>
          <w:p w14:paraId="3E858CE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0.369</w:t>
            </w:r>
          </w:p>
        </w:tc>
        <w:tc>
          <w:tcPr>
            <w:tcW w:w="222" w:type="dxa"/>
            <w:tcBorders>
              <w:top w:val="nil"/>
              <w:left w:val="nil"/>
              <w:bottom w:val="nil"/>
              <w:right w:val="nil"/>
            </w:tcBorders>
            <w:shd w:val="clear" w:color="auto" w:fill="auto"/>
            <w:noWrap/>
            <w:vAlign w:val="bottom"/>
            <w:hideMark/>
          </w:tcPr>
          <w:p w14:paraId="247B572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ACA655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319E274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0.381</w:t>
            </w:r>
          </w:p>
        </w:tc>
        <w:tc>
          <w:tcPr>
            <w:tcW w:w="672" w:type="dxa"/>
            <w:tcBorders>
              <w:top w:val="nil"/>
              <w:left w:val="nil"/>
              <w:bottom w:val="nil"/>
              <w:right w:val="nil"/>
            </w:tcBorders>
            <w:shd w:val="clear" w:color="000000" w:fill="FFFFFF"/>
            <w:noWrap/>
            <w:vAlign w:val="bottom"/>
            <w:hideMark/>
          </w:tcPr>
          <w:p w14:paraId="1B55878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0.372</w:t>
            </w:r>
          </w:p>
        </w:tc>
        <w:tc>
          <w:tcPr>
            <w:tcW w:w="730" w:type="dxa"/>
            <w:tcBorders>
              <w:top w:val="nil"/>
              <w:left w:val="nil"/>
              <w:bottom w:val="nil"/>
              <w:right w:val="nil"/>
            </w:tcBorders>
            <w:shd w:val="clear" w:color="000000" w:fill="D2D2D2"/>
            <w:noWrap/>
            <w:vAlign w:val="bottom"/>
            <w:hideMark/>
          </w:tcPr>
          <w:p w14:paraId="3B3C99B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0.377</w:t>
            </w:r>
          </w:p>
        </w:tc>
        <w:tc>
          <w:tcPr>
            <w:tcW w:w="222" w:type="dxa"/>
            <w:tcBorders>
              <w:top w:val="nil"/>
              <w:left w:val="nil"/>
              <w:bottom w:val="nil"/>
              <w:right w:val="nil"/>
            </w:tcBorders>
            <w:shd w:val="clear" w:color="auto" w:fill="auto"/>
            <w:noWrap/>
            <w:vAlign w:val="bottom"/>
            <w:hideMark/>
          </w:tcPr>
          <w:p w14:paraId="1EE0BA6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E5B9D2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F9F9F9"/>
            <w:noWrap/>
            <w:vAlign w:val="bottom"/>
            <w:hideMark/>
          </w:tcPr>
          <w:p w14:paraId="0BA84FD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0.390</w:t>
            </w:r>
          </w:p>
        </w:tc>
        <w:tc>
          <w:tcPr>
            <w:tcW w:w="672" w:type="dxa"/>
            <w:tcBorders>
              <w:top w:val="nil"/>
              <w:left w:val="nil"/>
              <w:bottom w:val="nil"/>
              <w:right w:val="nil"/>
            </w:tcBorders>
            <w:shd w:val="clear" w:color="000000" w:fill="FFFFFF"/>
            <w:noWrap/>
            <w:vAlign w:val="bottom"/>
            <w:hideMark/>
          </w:tcPr>
          <w:p w14:paraId="530C865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0.389</w:t>
            </w:r>
          </w:p>
        </w:tc>
        <w:tc>
          <w:tcPr>
            <w:tcW w:w="730" w:type="dxa"/>
            <w:tcBorders>
              <w:top w:val="nil"/>
              <w:left w:val="nil"/>
              <w:bottom w:val="nil"/>
              <w:right w:val="nil"/>
            </w:tcBorders>
            <w:shd w:val="clear" w:color="000000" w:fill="A6A6A6"/>
            <w:noWrap/>
            <w:vAlign w:val="bottom"/>
            <w:hideMark/>
          </w:tcPr>
          <w:p w14:paraId="228A5BC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0.417</w:t>
            </w:r>
          </w:p>
        </w:tc>
        <w:tc>
          <w:tcPr>
            <w:tcW w:w="222" w:type="dxa"/>
            <w:tcBorders>
              <w:top w:val="nil"/>
              <w:left w:val="nil"/>
              <w:bottom w:val="nil"/>
              <w:right w:val="nil"/>
            </w:tcBorders>
            <w:shd w:val="clear" w:color="auto" w:fill="auto"/>
            <w:noWrap/>
            <w:vAlign w:val="bottom"/>
            <w:hideMark/>
          </w:tcPr>
          <w:p w14:paraId="30F070A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31FBFAB"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FFFFFF"/>
            <w:noWrap/>
            <w:vAlign w:val="bottom"/>
            <w:hideMark/>
          </w:tcPr>
          <w:p w14:paraId="4408D1A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0.381</w:t>
            </w:r>
          </w:p>
        </w:tc>
        <w:tc>
          <w:tcPr>
            <w:tcW w:w="672" w:type="dxa"/>
            <w:tcBorders>
              <w:top w:val="nil"/>
              <w:left w:val="nil"/>
              <w:bottom w:val="nil"/>
              <w:right w:val="nil"/>
            </w:tcBorders>
            <w:shd w:val="clear" w:color="000000" w:fill="E4E4E4"/>
            <w:noWrap/>
            <w:vAlign w:val="bottom"/>
            <w:hideMark/>
          </w:tcPr>
          <w:p w14:paraId="215F8E9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0.387</w:t>
            </w:r>
          </w:p>
        </w:tc>
        <w:tc>
          <w:tcPr>
            <w:tcW w:w="730" w:type="dxa"/>
            <w:tcBorders>
              <w:top w:val="nil"/>
              <w:left w:val="nil"/>
              <w:bottom w:val="nil"/>
              <w:right w:val="nil"/>
            </w:tcBorders>
            <w:shd w:val="clear" w:color="000000" w:fill="A6A6A6"/>
            <w:noWrap/>
            <w:vAlign w:val="bottom"/>
            <w:hideMark/>
          </w:tcPr>
          <w:p w14:paraId="69ED328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0.401</w:t>
            </w:r>
          </w:p>
        </w:tc>
      </w:tr>
      <w:tr w:rsidR="00030C0F" w:rsidRPr="00030C0F" w14:paraId="571F30DE"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D58A4D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DFDFD"/>
            <w:noWrap/>
            <w:vAlign w:val="bottom"/>
            <w:hideMark/>
          </w:tcPr>
          <w:p w14:paraId="4CB7B5E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0.382</w:t>
            </w:r>
          </w:p>
        </w:tc>
        <w:tc>
          <w:tcPr>
            <w:tcW w:w="672" w:type="dxa"/>
            <w:tcBorders>
              <w:top w:val="nil"/>
              <w:left w:val="nil"/>
              <w:bottom w:val="nil"/>
              <w:right w:val="nil"/>
            </w:tcBorders>
            <w:shd w:val="clear" w:color="000000" w:fill="A6A6A6"/>
            <w:noWrap/>
            <w:vAlign w:val="bottom"/>
            <w:hideMark/>
          </w:tcPr>
          <w:p w14:paraId="3EC9250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0.415</w:t>
            </w:r>
          </w:p>
        </w:tc>
        <w:tc>
          <w:tcPr>
            <w:tcW w:w="730" w:type="dxa"/>
            <w:tcBorders>
              <w:top w:val="nil"/>
              <w:left w:val="nil"/>
              <w:bottom w:val="nil"/>
              <w:right w:val="nil"/>
            </w:tcBorders>
            <w:shd w:val="clear" w:color="000000" w:fill="FFFFFF"/>
            <w:noWrap/>
            <w:vAlign w:val="bottom"/>
            <w:hideMark/>
          </w:tcPr>
          <w:p w14:paraId="459E181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0.381</w:t>
            </w:r>
          </w:p>
        </w:tc>
        <w:tc>
          <w:tcPr>
            <w:tcW w:w="222" w:type="dxa"/>
            <w:tcBorders>
              <w:top w:val="nil"/>
              <w:left w:val="nil"/>
              <w:bottom w:val="nil"/>
              <w:right w:val="nil"/>
            </w:tcBorders>
            <w:shd w:val="clear" w:color="auto" w:fill="auto"/>
            <w:noWrap/>
            <w:vAlign w:val="bottom"/>
            <w:hideMark/>
          </w:tcPr>
          <w:p w14:paraId="5D0E298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35CFD3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FFFFF"/>
            <w:noWrap/>
            <w:vAlign w:val="bottom"/>
            <w:hideMark/>
          </w:tcPr>
          <w:p w14:paraId="216AC52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0.378</w:t>
            </w:r>
          </w:p>
        </w:tc>
        <w:tc>
          <w:tcPr>
            <w:tcW w:w="672" w:type="dxa"/>
            <w:tcBorders>
              <w:top w:val="nil"/>
              <w:left w:val="nil"/>
              <w:bottom w:val="nil"/>
              <w:right w:val="nil"/>
            </w:tcBorders>
            <w:shd w:val="clear" w:color="000000" w:fill="B7B7B7"/>
            <w:noWrap/>
            <w:vAlign w:val="bottom"/>
            <w:hideMark/>
          </w:tcPr>
          <w:p w14:paraId="181B30E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0.397</w:t>
            </w:r>
          </w:p>
        </w:tc>
        <w:tc>
          <w:tcPr>
            <w:tcW w:w="730" w:type="dxa"/>
            <w:tcBorders>
              <w:top w:val="nil"/>
              <w:left w:val="nil"/>
              <w:bottom w:val="nil"/>
              <w:right w:val="nil"/>
            </w:tcBorders>
            <w:shd w:val="clear" w:color="000000" w:fill="A6A6A6"/>
            <w:noWrap/>
            <w:vAlign w:val="bottom"/>
            <w:hideMark/>
          </w:tcPr>
          <w:p w14:paraId="662FFAC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0.401</w:t>
            </w:r>
          </w:p>
        </w:tc>
        <w:tc>
          <w:tcPr>
            <w:tcW w:w="222" w:type="dxa"/>
            <w:tcBorders>
              <w:top w:val="nil"/>
              <w:left w:val="nil"/>
              <w:bottom w:val="nil"/>
              <w:right w:val="nil"/>
            </w:tcBorders>
            <w:shd w:val="clear" w:color="auto" w:fill="auto"/>
            <w:noWrap/>
            <w:vAlign w:val="bottom"/>
            <w:hideMark/>
          </w:tcPr>
          <w:p w14:paraId="59B4EE4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D26CE6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FFFFF"/>
            <w:noWrap/>
            <w:vAlign w:val="bottom"/>
            <w:hideMark/>
          </w:tcPr>
          <w:p w14:paraId="24C9E5E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0.369</w:t>
            </w:r>
          </w:p>
        </w:tc>
        <w:tc>
          <w:tcPr>
            <w:tcW w:w="672" w:type="dxa"/>
            <w:tcBorders>
              <w:top w:val="nil"/>
              <w:left w:val="nil"/>
              <w:bottom w:val="nil"/>
              <w:right w:val="nil"/>
            </w:tcBorders>
            <w:shd w:val="clear" w:color="000000" w:fill="F6F6F6"/>
            <w:noWrap/>
            <w:vAlign w:val="bottom"/>
            <w:hideMark/>
          </w:tcPr>
          <w:p w14:paraId="708541C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0.378</w:t>
            </w:r>
          </w:p>
        </w:tc>
        <w:tc>
          <w:tcPr>
            <w:tcW w:w="730" w:type="dxa"/>
            <w:tcBorders>
              <w:top w:val="nil"/>
              <w:left w:val="nil"/>
              <w:bottom w:val="nil"/>
              <w:right w:val="nil"/>
            </w:tcBorders>
            <w:shd w:val="clear" w:color="000000" w:fill="A6A6A6"/>
            <w:noWrap/>
            <w:vAlign w:val="bottom"/>
            <w:hideMark/>
          </w:tcPr>
          <w:p w14:paraId="433A5DD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0.449</w:t>
            </w:r>
          </w:p>
        </w:tc>
        <w:tc>
          <w:tcPr>
            <w:tcW w:w="222" w:type="dxa"/>
            <w:tcBorders>
              <w:top w:val="nil"/>
              <w:left w:val="nil"/>
              <w:bottom w:val="nil"/>
              <w:right w:val="nil"/>
            </w:tcBorders>
            <w:shd w:val="clear" w:color="auto" w:fill="auto"/>
            <w:noWrap/>
            <w:vAlign w:val="bottom"/>
            <w:hideMark/>
          </w:tcPr>
          <w:p w14:paraId="312EF16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0F0A0C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FFFFF"/>
            <w:noWrap/>
            <w:vAlign w:val="bottom"/>
            <w:hideMark/>
          </w:tcPr>
          <w:p w14:paraId="5A55361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0.369</w:t>
            </w:r>
          </w:p>
        </w:tc>
        <w:tc>
          <w:tcPr>
            <w:tcW w:w="672" w:type="dxa"/>
            <w:tcBorders>
              <w:top w:val="nil"/>
              <w:left w:val="nil"/>
              <w:bottom w:val="nil"/>
              <w:right w:val="nil"/>
            </w:tcBorders>
            <w:shd w:val="clear" w:color="000000" w:fill="A6A6A6"/>
            <w:noWrap/>
            <w:vAlign w:val="bottom"/>
            <w:hideMark/>
          </w:tcPr>
          <w:p w14:paraId="12088F3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0.415</w:t>
            </w:r>
          </w:p>
        </w:tc>
        <w:tc>
          <w:tcPr>
            <w:tcW w:w="730" w:type="dxa"/>
            <w:tcBorders>
              <w:top w:val="nil"/>
              <w:left w:val="nil"/>
              <w:bottom w:val="nil"/>
              <w:right w:val="nil"/>
            </w:tcBorders>
            <w:shd w:val="clear" w:color="000000" w:fill="BBBBBB"/>
            <w:noWrap/>
            <w:vAlign w:val="bottom"/>
            <w:hideMark/>
          </w:tcPr>
          <w:p w14:paraId="6D6BAED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0.404</w:t>
            </w:r>
          </w:p>
        </w:tc>
      </w:tr>
      <w:tr w:rsidR="00030C0F" w:rsidRPr="00030C0F" w14:paraId="343E88E3"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62A2887E"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A6A6A6"/>
            <w:noWrap/>
            <w:vAlign w:val="bottom"/>
            <w:hideMark/>
          </w:tcPr>
          <w:p w14:paraId="105B2D6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0.611</w:t>
            </w:r>
          </w:p>
        </w:tc>
        <w:tc>
          <w:tcPr>
            <w:tcW w:w="672" w:type="dxa"/>
            <w:tcBorders>
              <w:top w:val="nil"/>
              <w:left w:val="nil"/>
              <w:bottom w:val="nil"/>
              <w:right w:val="nil"/>
            </w:tcBorders>
            <w:shd w:val="clear" w:color="000000" w:fill="E6E6E6"/>
            <w:noWrap/>
            <w:vAlign w:val="bottom"/>
            <w:hideMark/>
          </w:tcPr>
          <w:p w14:paraId="14EA9EC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0.481</w:t>
            </w:r>
          </w:p>
        </w:tc>
        <w:tc>
          <w:tcPr>
            <w:tcW w:w="730" w:type="dxa"/>
            <w:tcBorders>
              <w:top w:val="nil"/>
              <w:left w:val="nil"/>
              <w:bottom w:val="nil"/>
              <w:right w:val="nil"/>
            </w:tcBorders>
            <w:shd w:val="clear" w:color="000000" w:fill="FFFFFF"/>
            <w:noWrap/>
            <w:vAlign w:val="bottom"/>
            <w:hideMark/>
          </w:tcPr>
          <w:p w14:paraId="07D99BD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0.429</w:t>
            </w:r>
          </w:p>
        </w:tc>
        <w:tc>
          <w:tcPr>
            <w:tcW w:w="222" w:type="dxa"/>
            <w:tcBorders>
              <w:top w:val="nil"/>
              <w:left w:val="nil"/>
              <w:bottom w:val="nil"/>
              <w:right w:val="nil"/>
            </w:tcBorders>
            <w:shd w:val="clear" w:color="auto" w:fill="auto"/>
            <w:noWrap/>
            <w:vAlign w:val="bottom"/>
            <w:hideMark/>
          </w:tcPr>
          <w:p w14:paraId="423BA03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47EC237"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A6A6A6"/>
            <w:noWrap/>
            <w:vAlign w:val="bottom"/>
            <w:hideMark/>
          </w:tcPr>
          <w:p w14:paraId="0DED761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0.560</w:t>
            </w:r>
          </w:p>
        </w:tc>
        <w:tc>
          <w:tcPr>
            <w:tcW w:w="672" w:type="dxa"/>
            <w:tcBorders>
              <w:top w:val="nil"/>
              <w:left w:val="nil"/>
              <w:bottom w:val="nil"/>
              <w:right w:val="nil"/>
            </w:tcBorders>
            <w:shd w:val="clear" w:color="000000" w:fill="FFFFFF"/>
            <w:noWrap/>
            <w:vAlign w:val="bottom"/>
            <w:hideMark/>
          </w:tcPr>
          <w:p w14:paraId="69D866C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0.469</w:t>
            </w:r>
          </w:p>
        </w:tc>
        <w:tc>
          <w:tcPr>
            <w:tcW w:w="730" w:type="dxa"/>
            <w:tcBorders>
              <w:top w:val="nil"/>
              <w:left w:val="nil"/>
              <w:bottom w:val="nil"/>
              <w:right w:val="nil"/>
            </w:tcBorders>
            <w:shd w:val="clear" w:color="000000" w:fill="F6F6F6"/>
            <w:noWrap/>
            <w:vAlign w:val="bottom"/>
            <w:hideMark/>
          </w:tcPr>
          <w:p w14:paraId="2DED093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0.478</w:t>
            </w:r>
          </w:p>
        </w:tc>
        <w:tc>
          <w:tcPr>
            <w:tcW w:w="222" w:type="dxa"/>
            <w:tcBorders>
              <w:top w:val="nil"/>
              <w:left w:val="nil"/>
              <w:bottom w:val="nil"/>
              <w:right w:val="nil"/>
            </w:tcBorders>
            <w:shd w:val="clear" w:color="auto" w:fill="auto"/>
            <w:noWrap/>
            <w:vAlign w:val="bottom"/>
            <w:hideMark/>
          </w:tcPr>
          <w:p w14:paraId="798739A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3BC929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B1B1B1"/>
            <w:noWrap/>
            <w:vAlign w:val="bottom"/>
            <w:hideMark/>
          </w:tcPr>
          <w:p w14:paraId="0451791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0.442</w:t>
            </w:r>
          </w:p>
        </w:tc>
        <w:tc>
          <w:tcPr>
            <w:tcW w:w="672" w:type="dxa"/>
            <w:tcBorders>
              <w:top w:val="nil"/>
              <w:left w:val="nil"/>
              <w:bottom w:val="nil"/>
              <w:right w:val="nil"/>
            </w:tcBorders>
            <w:shd w:val="clear" w:color="000000" w:fill="FFFFFF"/>
            <w:noWrap/>
            <w:vAlign w:val="bottom"/>
            <w:hideMark/>
          </w:tcPr>
          <w:p w14:paraId="44A00C7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0.356</w:t>
            </w:r>
          </w:p>
        </w:tc>
        <w:tc>
          <w:tcPr>
            <w:tcW w:w="730" w:type="dxa"/>
            <w:tcBorders>
              <w:top w:val="nil"/>
              <w:left w:val="nil"/>
              <w:bottom w:val="nil"/>
              <w:right w:val="nil"/>
            </w:tcBorders>
            <w:shd w:val="clear" w:color="000000" w:fill="A6A6A6"/>
            <w:noWrap/>
            <w:vAlign w:val="bottom"/>
            <w:hideMark/>
          </w:tcPr>
          <w:p w14:paraId="4B0B6DF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0.453</w:t>
            </w:r>
          </w:p>
        </w:tc>
        <w:tc>
          <w:tcPr>
            <w:tcW w:w="222" w:type="dxa"/>
            <w:tcBorders>
              <w:top w:val="nil"/>
              <w:left w:val="nil"/>
              <w:bottom w:val="nil"/>
              <w:right w:val="nil"/>
            </w:tcBorders>
            <w:shd w:val="clear" w:color="auto" w:fill="auto"/>
            <w:noWrap/>
            <w:vAlign w:val="bottom"/>
            <w:hideMark/>
          </w:tcPr>
          <w:p w14:paraId="1086D88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02C87AF"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A6A6A6"/>
            <w:noWrap/>
            <w:vAlign w:val="bottom"/>
            <w:hideMark/>
          </w:tcPr>
          <w:p w14:paraId="675E0E9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0.531</w:t>
            </w:r>
          </w:p>
        </w:tc>
        <w:tc>
          <w:tcPr>
            <w:tcW w:w="672" w:type="dxa"/>
            <w:tcBorders>
              <w:top w:val="nil"/>
              <w:left w:val="nil"/>
              <w:bottom w:val="nil"/>
              <w:right w:val="nil"/>
            </w:tcBorders>
            <w:shd w:val="clear" w:color="000000" w:fill="FFFFFF"/>
            <w:noWrap/>
            <w:vAlign w:val="bottom"/>
            <w:hideMark/>
          </w:tcPr>
          <w:p w14:paraId="1E63157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0.425</w:t>
            </w:r>
          </w:p>
        </w:tc>
        <w:tc>
          <w:tcPr>
            <w:tcW w:w="730" w:type="dxa"/>
            <w:tcBorders>
              <w:top w:val="nil"/>
              <w:left w:val="nil"/>
              <w:bottom w:val="nil"/>
              <w:right w:val="nil"/>
            </w:tcBorders>
            <w:shd w:val="clear" w:color="000000" w:fill="E2E2E2"/>
            <w:noWrap/>
            <w:vAlign w:val="bottom"/>
            <w:hideMark/>
          </w:tcPr>
          <w:p w14:paraId="5A3B692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0.460</w:t>
            </w:r>
          </w:p>
        </w:tc>
      </w:tr>
      <w:tr w:rsidR="00030C0F" w:rsidRPr="00030C0F" w14:paraId="43CF24D7"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5E164661"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1796CFE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A8A8A8"/>
            <w:noWrap/>
            <w:vAlign w:val="bottom"/>
            <w:hideMark/>
          </w:tcPr>
          <w:p w14:paraId="0FB1C00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0.400</w:t>
            </w:r>
          </w:p>
        </w:tc>
        <w:tc>
          <w:tcPr>
            <w:tcW w:w="730" w:type="dxa"/>
            <w:tcBorders>
              <w:top w:val="nil"/>
              <w:left w:val="nil"/>
              <w:bottom w:val="nil"/>
              <w:right w:val="nil"/>
            </w:tcBorders>
            <w:shd w:val="clear" w:color="000000" w:fill="A6A6A6"/>
            <w:noWrap/>
            <w:vAlign w:val="bottom"/>
            <w:hideMark/>
          </w:tcPr>
          <w:p w14:paraId="311FDB5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0.406</w:t>
            </w:r>
          </w:p>
        </w:tc>
        <w:tc>
          <w:tcPr>
            <w:tcW w:w="222" w:type="dxa"/>
            <w:tcBorders>
              <w:top w:val="nil"/>
              <w:left w:val="nil"/>
              <w:bottom w:val="nil"/>
              <w:right w:val="nil"/>
            </w:tcBorders>
            <w:shd w:val="clear" w:color="auto" w:fill="auto"/>
            <w:noWrap/>
            <w:vAlign w:val="bottom"/>
            <w:hideMark/>
          </w:tcPr>
          <w:p w14:paraId="2E2DEDB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306962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1EBA060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ACACAC"/>
            <w:noWrap/>
            <w:vAlign w:val="bottom"/>
            <w:hideMark/>
          </w:tcPr>
          <w:p w14:paraId="6185B0B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0.364</w:t>
            </w:r>
          </w:p>
        </w:tc>
        <w:tc>
          <w:tcPr>
            <w:tcW w:w="730" w:type="dxa"/>
            <w:tcBorders>
              <w:top w:val="nil"/>
              <w:left w:val="nil"/>
              <w:bottom w:val="nil"/>
              <w:right w:val="nil"/>
            </w:tcBorders>
            <w:shd w:val="clear" w:color="000000" w:fill="A6A6A6"/>
            <w:noWrap/>
            <w:vAlign w:val="bottom"/>
            <w:hideMark/>
          </w:tcPr>
          <w:p w14:paraId="60D9B14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0.387</w:t>
            </w:r>
          </w:p>
        </w:tc>
        <w:tc>
          <w:tcPr>
            <w:tcW w:w="222" w:type="dxa"/>
            <w:tcBorders>
              <w:top w:val="nil"/>
              <w:left w:val="nil"/>
              <w:bottom w:val="nil"/>
              <w:right w:val="nil"/>
            </w:tcBorders>
            <w:shd w:val="clear" w:color="auto" w:fill="auto"/>
            <w:noWrap/>
            <w:vAlign w:val="bottom"/>
            <w:hideMark/>
          </w:tcPr>
          <w:p w14:paraId="1A72C53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00583D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AFAFAF"/>
            <w:noWrap/>
            <w:vAlign w:val="bottom"/>
            <w:hideMark/>
          </w:tcPr>
          <w:p w14:paraId="2E9F77F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0.500</w:t>
            </w:r>
          </w:p>
        </w:tc>
        <w:tc>
          <w:tcPr>
            <w:tcW w:w="672" w:type="dxa"/>
            <w:tcBorders>
              <w:top w:val="nil"/>
              <w:left w:val="nil"/>
              <w:bottom w:val="nil"/>
              <w:right w:val="nil"/>
            </w:tcBorders>
            <w:shd w:val="clear" w:color="000000" w:fill="FFFFFF"/>
            <w:noWrap/>
            <w:vAlign w:val="bottom"/>
            <w:hideMark/>
          </w:tcPr>
          <w:p w14:paraId="36C9322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0.357</w:t>
            </w:r>
          </w:p>
        </w:tc>
        <w:tc>
          <w:tcPr>
            <w:tcW w:w="730" w:type="dxa"/>
            <w:tcBorders>
              <w:top w:val="nil"/>
              <w:left w:val="nil"/>
              <w:bottom w:val="nil"/>
              <w:right w:val="nil"/>
            </w:tcBorders>
            <w:shd w:val="clear" w:color="000000" w:fill="A6A6A6"/>
            <w:noWrap/>
            <w:vAlign w:val="bottom"/>
            <w:hideMark/>
          </w:tcPr>
          <w:p w14:paraId="5F96586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0.514</w:t>
            </w:r>
          </w:p>
        </w:tc>
        <w:tc>
          <w:tcPr>
            <w:tcW w:w="222" w:type="dxa"/>
            <w:tcBorders>
              <w:top w:val="nil"/>
              <w:left w:val="nil"/>
              <w:bottom w:val="nil"/>
              <w:right w:val="nil"/>
            </w:tcBorders>
            <w:shd w:val="clear" w:color="auto" w:fill="auto"/>
            <w:noWrap/>
            <w:vAlign w:val="bottom"/>
            <w:hideMark/>
          </w:tcPr>
          <w:p w14:paraId="25C9B3B8"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60066F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A6A6A6"/>
            <w:noWrap/>
            <w:vAlign w:val="bottom"/>
            <w:hideMark/>
          </w:tcPr>
          <w:p w14:paraId="187A283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1.000</w:t>
            </w:r>
          </w:p>
        </w:tc>
        <w:tc>
          <w:tcPr>
            <w:tcW w:w="672" w:type="dxa"/>
            <w:tcBorders>
              <w:top w:val="nil"/>
              <w:left w:val="nil"/>
              <w:bottom w:val="nil"/>
              <w:right w:val="nil"/>
            </w:tcBorders>
            <w:shd w:val="clear" w:color="000000" w:fill="FFFFFF"/>
            <w:noWrap/>
            <w:vAlign w:val="bottom"/>
            <w:hideMark/>
          </w:tcPr>
          <w:p w14:paraId="216642D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0.400</w:t>
            </w:r>
          </w:p>
        </w:tc>
        <w:tc>
          <w:tcPr>
            <w:tcW w:w="730" w:type="dxa"/>
            <w:tcBorders>
              <w:top w:val="nil"/>
              <w:left w:val="nil"/>
              <w:bottom w:val="nil"/>
              <w:right w:val="nil"/>
            </w:tcBorders>
            <w:shd w:val="clear" w:color="000000" w:fill="F8F8F8"/>
            <w:noWrap/>
            <w:vAlign w:val="bottom"/>
            <w:hideMark/>
          </w:tcPr>
          <w:p w14:paraId="6B1FF38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0.452</w:t>
            </w:r>
          </w:p>
        </w:tc>
      </w:tr>
      <w:tr w:rsidR="00030C0F" w:rsidRPr="00030C0F" w14:paraId="7C340A3D"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CC523F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auto" w:fill="auto"/>
            <w:noWrap/>
            <w:vAlign w:val="bottom"/>
            <w:hideMark/>
          </w:tcPr>
          <w:p w14:paraId="3202C9F3"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00A40B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1461E40F"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0A76C7AE"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9D7027B"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1886D8DD"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83A684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43BE7AE0"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D7CC77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36FD86F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72E6327"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99EB15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2805950C"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933A34E"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4D0CDF2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1D9795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F11C658"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37F2E47B"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4C27F718"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379B1E7"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1EAAF2E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1F35C890"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D5BEFB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7B080A2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7E7B8AA8"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4834A49"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1BC5CB1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0E0CA21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5B26448"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77BDEC8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r>
      <w:tr w:rsidR="00030C0F" w:rsidRPr="00030C0F" w14:paraId="460DE69E"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343F3DE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000000" w:fill="F0F0F0"/>
            <w:noWrap/>
            <w:vAlign w:val="bottom"/>
            <w:hideMark/>
          </w:tcPr>
          <w:p w14:paraId="79363C6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0.219</w:t>
            </w:r>
          </w:p>
        </w:tc>
        <w:tc>
          <w:tcPr>
            <w:tcW w:w="672" w:type="dxa"/>
            <w:tcBorders>
              <w:top w:val="nil"/>
              <w:left w:val="nil"/>
              <w:bottom w:val="nil"/>
              <w:right w:val="nil"/>
            </w:tcBorders>
            <w:shd w:val="clear" w:color="000000" w:fill="FFFFFF"/>
            <w:noWrap/>
            <w:vAlign w:val="bottom"/>
            <w:hideMark/>
          </w:tcPr>
          <w:p w14:paraId="30B911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0.216</w:t>
            </w:r>
          </w:p>
        </w:tc>
        <w:tc>
          <w:tcPr>
            <w:tcW w:w="730" w:type="dxa"/>
            <w:tcBorders>
              <w:top w:val="nil"/>
              <w:left w:val="nil"/>
              <w:bottom w:val="nil"/>
              <w:right w:val="nil"/>
            </w:tcBorders>
            <w:shd w:val="clear" w:color="000000" w:fill="A6A6A6"/>
            <w:noWrap/>
            <w:vAlign w:val="bottom"/>
            <w:hideMark/>
          </w:tcPr>
          <w:p w14:paraId="46DA23A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0.236</w:t>
            </w:r>
          </w:p>
        </w:tc>
        <w:tc>
          <w:tcPr>
            <w:tcW w:w="222" w:type="dxa"/>
            <w:tcBorders>
              <w:top w:val="nil"/>
              <w:left w:val="nil"/>
              <w:bottom w:val="nil"/>
              <w:right w:val="nil"/>
            </w:tcBorders>
            <w:shd w:val="clear" w:color="auto" w:fill="auto"/>
            <w:noWrap/>
            <w:vAlign w:val="bottom"/>
            <w:hideMark/>
          </w:tcPr>
          <w:p w14:paraId="39974FC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CDB89E2"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000000" w:fill="ECECEC"/>
            <w:noWrap/>
            <w:vAlign w:val="bottom"/>
            <w:hideMark/>
          </w:tcPr>
          <w:p w14:paraId="0D459D1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0.217</w:t>
            </w:r>
          </w:p>
        </w:tc>
        <w:tc>
          <w:tcPr>
            <w:tcW w:w="672" w:type="dxa"/>
            <w:tcBorders>
              <w:top w:val="nil"/>
              <w:left w:val="nil"/>
              <w:bottom w:val="nil"/>
              <w:right w:val="nil"/>
            </w:tcBorders>
            <w:shd w:val="clear" w:color="000000" w:fill="FFFFFF"/>
            <w:noWrap/>
            <w:vAlign w:val="bottom"/>
            <w:hideMark/>
          </w:tcPr>
          <w:p w14:paraId="42A823B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0.211</w:t>
            </w:r>
          </w:p>
        </w:tc>
        <w:tc>
          <w:tcPr>
            <w:tcW w:w="730" w:type="dxa"/>
            <w:tcBorders>
              <w:top w:val="nil"/>
              <w:left w:val="nil"/>
              <w:bottom w:val="nil"/>
              <w:right w:val="nil"/>
            </w:tcBorders>
            <w:shd w:val="clear" w:color="000000" w:fill="A6A6A6"/>
            <w:noWrap/>
            <w:vAlign w:val="bottom"/>
            <w:hideMark/>
          </w:tcPr>
          <w:p w14:paraId="4770063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0.238</w:t>
            </w:r>
          </w:p>
        </w:tc>
        <w:tc>
          <w:tcPr>
            <w:tcW w:w="222" w:type="dxa"/>
            <w:tcBorders>
              <w:top w:val="nil"/>
              <w:left w:val="nil"/>
              <w:bottom w:val="nil"/>
              <w:right w:val="nil"/>
            </w:tcBorders>
            <w:shd w:val="clear" w:color="auto" w:fill="auto"/>
            <w:noWrap/>
            <w:vAlign w:val="bottom"/>
            <w:hideMark/>
          </w:tcPr>
          <w:p w14:paraId="2FAA5B4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57D2FC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000000" w:fill="FBFBFB"/>
            <w:noWrap/>
            <w:vAlign w:val="bottom"/>
            <w:hideMark/>
          </w:tcPr>
          <w:p w14:paraId="1E9DBAF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0.229</w:t>
            </w:r>
          </w:p>
        </w:tc>
        <w:tc>
          <w:tcPr>
            <w:tcW w:w="672" w:type="dxa"/>
            <w:tcBorders>
              <w:top w:val="nil"/>
              <w:left w:val="nil"/>
              <w:bottom w:val="nil"/>
              <w:right w:val="nil"/>
            </w:tcBorders>
            <w:shd w:val="clear" w:color="000000" w:fill="FFFFFF"/>
            <w:noWrap/>
            <w:vAlign w:val="bottom"/>
            <w:hideMark/>
          </w:tcPr>
          <w:p w14:paraId="241B0E0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0.227</w:t>
            </w:r>
          </w:p>
        </w:tc>
        <w:tc>
          <w:tcPr>
            <w:tcW w:w="730" w:type="dxa"/>
            <w:tcBorders>
              <w:top w:val="nil"/>
              <w:left w:val="nil"/>
              <w:bottom w:val="nil"/>
              <w:right w:val="nil"/>
            </w:tcBorders>
            <w:shd w:val="clear" w:color="000000" w:fill="A6A6A6"/>
            <w:noWrap/>
            <w:vAlign w:val="bottom"/>
            <w:hideMark/>
          </w:tcPr>
          <w:p w14:paraId="3CF6943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0.274</w:t>
            </w:r>
          </w:p>
        </w:tc>
        <w:tc>
          <w:tcPr>
            <w:tcW w:w="222" w:type="dxa"/>
            <w:tcBorders>
              <w:top w:val="nil"/>
              <w:left w:val="nil"/>
              <w:bottom w:val="nil"/>
              <w:right w:val="nil"/>
            </w:tcBorders>
            <w:shd w:val="clear" w:color="auto" w:fill="auto"/>
            <w:noWrap/>
            <w:vAlign w:val="bottom"/>
            <w:hideMark/>
          </w:tcPr>
          <w:p w14:paraId="5A9FC74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EAC164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000000" w:fill="FFFFFF"/>
            <w:noWrap/>
            <w:vAlign w:val="bottom"/>
            <w:hideMark/>
          </w:tcPr>
          <w:p w14:paraId="6AE074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0.206</w:t>
            </w:r>
          </w:p>
        </w:tc>
        <w:tc>
          <w:tcPr>
            <w:tcW w:w="672" w:type="dxa"/>
            <w:tcBorders>
              <w:top w:val="nil"/>
              <w:left w:val="nil"/>
              <w:bottom w:val="nil"/>
              <w:right w:val="nil"/>
            </w:tcBorders>
            <w:shd w:val="clear" w:color="000000" w:fill="E1E1E1"/>
            <w:noWrap/>
            <w:vAlign w:val="bottom"/>
            <w:hideMark/>
          </w:tcPr>
          <w:p w14:paraId="3FDB3A4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0.220</w:t>
            </w:r>
          </w:p>
        </w:tc>
        <w:tc>
          <w:tcPr>
            <w:tcW w:w="730" w:type="dxa"/>
            <w:tcBorders>
              <w:top w:val="nil"/>
              <w:left w:val="nil"/>
              <w:bottom w:val="nil"/>
              <w:right w:val="nil"/>
            </w:tcBorders>
            <w:shd w:val="clear" w:color="000000" w:fill="A6A6A6"/>
            <w:noWrap/>
            <w:vAlign w:val="bottom"/>
            <w:hideMark/>
          </w:tcPr>
          <w:p w14:paraId="5858144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0.249</w:t>
            </w:r>
          </w:p>
        </w:tc>
      </w:tr>
      <w:tr w:rsidR="00030C0F" w:rsidRPr="00030C0F" w14:paraId="42168D37"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1E550F8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auto" w:fill="auto"/>
            <w:noWrap/>
            <w:vAlign w:val="bottom"/>
            <w:hideMark/>
          </w:tcPr>
          <w:p w14:paraId="404220A9"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3EBD31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490D7E62"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5B6407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5BD38D9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DEB9F7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351684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55195F27"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4964375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24AB7B64"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61A9780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D6F8AED"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7B3177C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3CC99F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4B3B1A4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56CF50F"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002084F"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59057997"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5C8482AD"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6345E6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5215A28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2309EA0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E64744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7ECD77D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2B7A9DB0"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A00401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16A722A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24E8020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3A3BA2F"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6B2A9AE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r>
      <w:tr w:rsidR="00030C0F" w:rsidRPr="00030C0F" w14:paraId="5B7DB1B1" w14:textId="77777777" w:rsidTr="00D06409">
        <w:trPr>
          <w:trHeight w:val="255"/>
          <w:jc w:val="center"/>
        </w:trPr>
        <w:tc>
          <w:tcPr>
            <w:tcW w:w="538" w:type="dxa"/>
            <w:tcBorders>
              <w:top w:val="nil"/>
              <w:left w:val="nil"/>
              <w:bottom w:val="single" w:sz="4" w:space="0" w:color="auto"/>
              <w:right w:val="nil"/>
            </w:tcBorders>
            <w:shd w:val="clear" w:color="auto" w:fill="auto"/>
            <w:noWrap/>
            <w:vAlign w:val="bottom"/>
            <w:hideMark/>
          </w:tcPr>
          <w:p w14:paraId="62961810"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single" w:sz="4" w:space="0" w:color="auto"/>
              <w:right w:val="nil"/>
            </w:tcBorders>
            <w:shd w:val="clear" w:color="000000" w:fill="A6A6A6"/>
            <w:noWrap/>
            <w:vAlign w:val="bottom"/>
            <w:hideMark/>
          </w:tcPr>
          <w:p w14:paraId="3326094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0.689</w:t>
            </w:r>
          </w:p>
        </w:tc>
        <w:tc>
          <w:tcPr>
            <w:tcW w:w="672" w:type="dxa"/>
            <w:tcBorders>
              <w:top w:val="nil"/>
              <w:left w:val="nil"/>
              <w:bottom w:val="single" w:sz="4" w:space="0" w:color="auto"/>
              <w:right w:val="nil"/>
            </w:tcBorders>
            <w:shd w:val="clear" w:color="000000" w:fill="C6C6C6"/>
            <w:noWrap/>
            <w:vAlign w:val="bottom"/>
            <w:hideMark/>
          </w:tcPr>
          <w:p w14:paraId="553E14F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0.677</w:t>
            </w:r>
          </w:p>
        </w:tc>
        <w:tc>
          <w:tcPr>
            <w:tcW w:w="730" w:type="dxa"/>
            <w:tcBorders>
              <w:top w:val="nil"/>
              <w:left w:val="nil"/>
              <w:bottom w:val="single" w:sz="4" w:space="0" w:color="auto"/>
              <w:right w:val="nil"/>
            </w:tcBorders>
            <w:shd w:val="clear" w:color="000000" w:fill="FFFFFF"/>
            <w:noWrap/>
            <w:vAlign w:val="bottom"/>
            <w:hideMark/>
          </w:tcPr>
          <w:p w14:paraId="49B67E4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0.654</w:t>
            </w:r>
          </w:p>
        </w:tc>
        <w:tc>
          <w:tcPr>
            <w:tcW w:w="222" w:type="dxa"/>
            <w:tcBorders>
              <w:top w:val="nil"/>
              <w:left w:val="nil"/>
              <w:bottom w:val="single" w:sz="4" w:space="0" w:color="auto"/>
              <w:right w:val="nil"/>
            </w:tcBorders>
            <w:shd w:val="clear" w:color="auto" w:fill="auto"/>
            <w:noWrap/>
            <w:vAlign w:val="bottom"/>
            <w:hideMark/>
          </w:tcPr>
          <w:p w14:paraId="7918298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2EFD62C1"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000000" w:fill="A6A6A6"/>
            <w:noWrap/>
            <w:vAlign w:val="bottom"/>
            <w:hideMark/>
          </w:tcPr>
          <w:p w14:paraId="49C249C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0.695</w:t>
            </w:r>
          </w:p>
        </w:tc>
        <w:tc>
          <w:tcPr>
            <w:tcW w:w="672" w:type="dxa"/>
            <w:tcBorders>
              <w:top w:val="nil"/>
              <w:left w:val="nil"/>
              <w:bottom w:val="single" w:sz="4" w:space="0" w:color="auto"/>
              <w:right w:val="nil"/>
            </w:tcBorders>
            <w:shd w:val="clear" w:color="000000" w:fill="D7D7D7"/>
            <w:noWrap/>
            <w:vAlign w:val="bottom"/>
            <w:hideMark/>
          </w:tcPr>
          <w:p w14:paraId="3D950B9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0.676</w:t>
            </w:r>
          </w:p>
        </w:tc>
        <w:tc>
          <w:tcPr>
            <w:tcW w:w="730" w:type="dxa"/>
            <w:tcBorders>
              <w:top w:val="nil"/>
              <w:left w:val="nil"/>
              <w:bottom w:val="single" w:sz="4" w:space="0" w:color="auto"/>
              <w:right w:val="nil"/>
            </w:tcBorders>
            <w:shd w:val="clear" w:color="000000" w:fill="FFFFFF"/>
            <w:noWrap/>
            <w:vAlign w:val="bottom"/>
            <w:hideMark/>
          </w:tcPr>
          <w:p w14:paraId="19EA97D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0.660</w:t>
            </w:r>
          </w:p>
        </w:tc>
        <w:tc>
          <w:tcPr>
            <w:tcW w:w="222" w:type="dxa"/>
            <w:tcBorders>
              <w:top w:val="nil"/>
              <w:left w:val="nil"/>
              <w:bottom w:val="single" w:sz="4" w:space="0" w:color="auto"/>
              <w:right w:val="nil"/>
            </w:tcBorders>
            <w:shd w:val="clear" w:color="auto" w:fill="auto"/>
            <w:noWrap/>
            <w:vAlign w:val="bottom"/>
            <w:hideMark/>
          </w:tcPr>
          <w:p w14:paraId="57CEFF59"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3B26CBA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000000" w:fill="A6A6A6"/>
            <w:noWrap/>
            <w:vAlign w:val="bottom"/>
            <w:hideMark/>
          </w:tcPr>
          <w:p w14:paraId="5A609D9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0.732</w:t>
            </w:r>
          </w:p>
        </w:tc>
        <w:tc>
          <w:tcPr>
            <w:tcW w:w="672" w:type="dxa"/>
            <w:tcBorders>
              <w:top w:val="nil"/>
              <w:left w:val="nil"/>
              <w:bottom w:val="single" w:sz="4" w:space="0" w:color="auto"/>
              <w:right w:val="nil"/>
            </w:tcBorders>
            <w:shd w:val="clear" w:color="000000" w:fill="C9C9C9"/>
            <w:noWrap/>
            <w:vAlign w:val="bottom"/>
            <w:hideMark/>
          </w:tcPr>
          <w:p w14:paraId="478A795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0.706</w:t>
            </w:r>
          </w:p>
        </w:tc>
        <w:tc>
          <w:tcPr>
            <w:tcW w:w="730" w:type="dxa"/>
            <w:tcBorders>
              <w:top w:val="nil"/>
              <w:left w:val="nil"/>
              <w:bottom w:val="single" w:sz="4" w:space="0" w:color="auto"/>
              <w:right w:val="nil"/>
            </w:tcBorders>
            <w:shd w:val="clear" w:color="000000" w:fill="FFFFFF"/>
            <w:noWrap/>
            <w:vAlign w:val="bottom"/>
            <w:hideMark/>
          </w:tcPr>
          <w:p w14:paraId="265E672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0.666</w:t>
            </w:r>
          </w:p>
        </w:tc>
        <w:tc>
          <w:tcPr>
            <w:tcW w:w="222" w:type="dxa"/>
            <w:tcBorders>
              <w:top w:val="nil"/>
              <w:left w:val="nil"/>
              <w:bottom w:val="single" w:sz="4" w:space="0" w:color="auto"/>
              <w:right w:val="nil"/>
            </w:tcBorders>
            <w:shd w:val="clear" w:color="auto" w:fill="auto"/>
            <w:noWrap/>
            <w:vAlign w:val="bottom"/>
            <w:hideMark/>
          </w:tcPr>
          <w:p w14:paraId="0EA948B9"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0F57A219"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000000" w:fill="A6A6A6"/>
            <w:noWrap/>
            <w:vAlign w:val="bottom"/>
            <w:hideMark/>
          </w:tcPr>
          <w:p w14:paraId="2FF2581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0.690</w:t>
            </w:r>
          </w:p>
        </w:tc>
        <w:tc>
          <w:tcPr>
            <w:tcW w:w="672" w:type="dxa"/>
            <w:tcBorders>
              <w:top w:val="nil"/>
              <w:left w:val="nil"/>
              <w:bottom w:val="single" w:sz="4" w:space="0" w:color="auto"/>
              <w:right w:val="nil"/>
            </w:tcBorders>
            <w:shd w:val="clear" w:color="000000" w:fill="C2C2C2"/>
            <w:noWrap/>
            <w:vAlign w:val="bottom"/>
            <w:hideMark/>
          </w:tcPr>
          <w:p w14:paraId="7F2A87B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0.677</w:t>
            </w:r>
          </w:p>
        </w:tc>
        <w:tc>
          <w:tcPr>
            <w:tcW w:w="730" w:type="dxa"/>
            <w:tcBorders>
              <w:top w:val="nil"/>
              <w:left w:val="nil"/>
              <w:bottom w:val="single" w:sz="4" w:space="0" w:color="auto"/>
              <w:right w:val="nil"/>
            </w:tcBorders>
            <w:shd w:val="clear" w:color="000000" w:fill="FFFFFF"/>
            <w:noWrap/>
            <w:vAlign w:val="bottom"/>
            <w:hideMark/>
          </w:tcPr>
          <w:p w14:paraId="1DA4EF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0.648</w:t>
            </w:r>
          </w:p>
        </w:tc>
      </w:tr>
      <w:tr w:rsidR="00E06A0A" w:rsidRPr="00030C0F" w14:paraId="301B409D" w14:textId="77777777" w:rsidTr="00D06409">
        <w:trPr>
          <w:trHeight w:val="255"/>
          <w:jc w:val="center"/>
        </w:trPr>
        <w:tc>
          <w:tcPr>
            <w:tcW w:w="11114" w:type="dxa"/>
            <w:gridSpan w:val="19"/>
            <w:tcBorders>
              <w:top w:val="single" w:sz="4" w:space="0" w:color="auto"/>
              <w:left w:val="nil"/>
              <w:bottom w:val="single" w:sz="4" w:space="0" w:color="auto"/>
              <w:right w:val="nil"/>
            </w:tcBorders>
            <w:shd w:val="clear" w:color="auto" w:fill="auto"/>
            <w:noWrap/>
            <w:vAlign w:val="bottom"/>
          </w:tcPr>
          <w:p w14:paraId="75A75956" w14:textId="22814B3D" w:rsidR="00E06A0A" w:rsidRPr="00030C0F" w:rsidRDefault="00E06A0A" w:rsidP="00E06A0A">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N=2,911 for all models.  OLS = Ordinary least squares.  OP = Ordered </w:t>
            </w:r>
            <w:proofErr w:type="spellStart"/>
            <w:r>
              <w:rPr>
                <w:rFonts w:ascii="Calibri" w:eastAsia="Times New Roman" w:hAnsi="Calibri" w:cs="Calibri"/>
                <w:sz w:val="20"/>
                <w:szCs w:val="20"/>
              </w:rPr>
              <w:t>probit</w:t>
            </w:r>
            <w:proofErr w:type="spellEnd"/>
            <w:r>
              <w:rPr>
                <w:rFonts w:ascii="Calibri" w:eastAsia="Times New Roman" w:hAnsi="Calibri" w:cs="Calibri"/>
                <w:sz w:val="20"/>
                <w:szCs w:val="20"/>
              </w:rPr>
              <w:t>.  MLOG = Multinomial logistic.</w:t>
            </w:r>
            <w:r w:rsidR="00183B3E">
              <w:rPr>
                <w:rFonts w:ascii="Calibri" w:eastAsia="Times New Roman" w:hAnsi="Calibri" w:cs="Calibri"/>
                <w:sz w:val="20"/>
                <w:szCs w:val="20"/>
              </w:rPr>
              <w:t xml:space="preserve">  Darker cell shades correspond to higher within-row values for each model. </w:t>
            </w:r>
            <w:r>
              <w:rPr>
                <w:rFonts w:ascii="Calibri" w:eastAsia="Times New Roman" w:hAnsi="Calibri" w:cs="Calibri"/>
                <w:sz w:val="20"/>
                <w:szCs w:val="20"/>
              </w:rPr>
              <w:t xml:space="preserve"> Weighted kappa assigns a weight of 1 to students for whom predicted ratings were within 1 point of actual ratings (in addition to students </w:t>
            </w:r>
            <w:proofErr w:type="gramStart"/>
            <w:r>
              <w:rPr>
                <w:rFonts w:ascii="Calibri" w:eastAsia="Times New Roman" w:hAnsi="Calibri" w:cs="Calibri"/>
                <w:sz w:val="20"/>
                <w:szCs w:val="20"/>
              </w:rPr>
              <w:t>whose</w:t>
            </w:r>
            <w:proofErr w:type="gramEnd"/>
            <w:r>
              <w:rPr>
                <w:rFonts w:ascii="Calibri" w:eastAsia="Times New Roman" w:hAnsi="Calibri" w:cs="Calibri"/>
                <w:sz w:val="20"/>
                <w:szCs w:val="20"/>
              </w:rPr>
              <w:t xml:space="preserve"> actual and predicted ratings were equal).</w:t>
            </w:r>
          </w:p>
        </w:tc>
      </w:tr>
    </w:tbl>
    <w:p w14:paraId="41A6064F" w14:textId="13EE6510" w:rsidR="00D06409" w:rsidRDefault="00D06409" w:rsidP="00BF3F53"/>
    <w:p w14:paraId="3BA7C02C" w14:textId="77777777" w:rsidR="00D06409" w:rsidRDefault="00D06409">
      <w:r>
        <w:br w:type="page"/>
      </w:r>
    </w:p>
    <w:tbl>
      <w:tblPr>
        <w:tblW w:w="12199" w:type="dxa"/>
        <w:tblLook w:val="04A0" w:firstRow="1" w:lastRow="0" w:firstColumn="1" w:lastColumn="0" w:noHBand="0" w:noVBand="1"/>
      </w:tblPr>
      <w:tblGrid>
        <w:gridCol w:w="584"/>
        <w:gridCol w:w="745"/>
        <w:gridCol w:w="745"/>
        <w:gridCol w:w="795"/>
        <w:gridCol w:w="241"/>
        <w:gridCol w:w="584"/>
        <w:gridCol w:w="745"/>
        <w:gridCol w:w="745"/>
        <w:gridCol w:w="795"/>
        <w:gridCol w:w="241"/>
        <w:gridCol w:w="584"/>
        <w:gridCol w:w="745"/>
        <w:gridCol w:w="745"/>
        <w:gridCol w:w="795"/>
        <w:gridCol w:w="241"/>
        <w:gridCol w:w="584"/>
        <w:gridCol w:w="745"/>
        <w:gridCol w:w="745"/>
        <w:gridCol w:w="795"/>
      </w:tblGrid>
      <w:tr w:rsidR="00D06409" w:rsidRPr="00D06409" w14:paraId="2427E102" w14:textId="77777777" w:rsidTr="009A7593">
        <w:trPr>
          <w:trHeight w:val="275"/>
        </w:trPr>
        <w:tc>
          <w:tcPr>
            <w:tcW w:w="12199" w:type="dxa"/>
            <w:gridSpan w:val="19"/>
            <w:tcBorders>
              <w:top w:val="nil"/>
              <w:left w:val="nil"/>
              <w:bottom w:val="single" w:sz="4" w:space="0" w:color="auto"/>
              <w:right w:val="nil"/>
            </w:tcBorders>
            <w:shd w:val="clear" w:color="auto" w:fill="auto"/>
            <w:noWrap/>
            <w:vAlign w:val="bottom"/>
          </w:tcPr>
          <w:p w14:paraId="6089DE74" w14:textId="60A4AB85" w:rsidR="00D06409" w:rsidRPr="00D06409" w:rsidRDefault="00D06409" w:rsidP="00D06409">
            <w:pPr>
              <w:spacing w:after="0" w:line="240" w:lineRule="auto"/>
              <w:rPr>
                <w:rFonts w:ascii="Calibri" w:eastAsia="Times New Roman" w:hAnsi="Calibri" w:cs="Calibri"/>
                <w:sz w:val="20"/>
                <w:szCs w:val="20"/>
              </w:rPr>
            </w:pPr>
            <w:r>
              <w:rPr>
                <w:rFonts w:ascii="Calibri" w:eastAsia="Times New Roman" w:hAnsi="Calibri" w:cs="Calibri"/>
                <w:sz w:val="20"/>
                <w:szCs w:val="20"/>
              </w:rPr>
              <w:lastRenderedPageBreak/>
              <w:t xml:space="preserve">Table A3.  Mean differences between primary and </w:t>
            </w:r>
            <w:r w:rsidR="001763F2">
              <w:rPr>
                <w:rFonts w:ascii="Calibri" w:eastAsia="Times New Roman" w:hAnsi="Calibri" w:cs="Calibri"/>
                <w:sz w:val="20"/>
                <w:szCs w:val="20"/>
              </w:rPr>
              <w:t xml:space="preserve">5-fold </w:t>
            </w:r>
            <w:r>
              <w:rPr>
                <w:rFonts w:ascii="Calibri" w:eastAsia="Times New Roman" w:hAnsi="Calibri" w:cs="Calibri"/>
                <w:sz w:val="20"/>
                <w:szCs w:val="20"/>
              </w:rPr>
              <w:t>cross-validated fit statistics, by variable set and model type.</w:t>
            </w:r>
          </w:p>
        </w:tc>
      </w:tr>
      <w:tr w:rsidR="00D06409" w:rsidRPr="00D06409" w14:paraId="5E2586E3" w14:textId="77777777" w:rsidTr="00D06409">
        <w:trPr>
          <w:trHeight w:val="275"/>
        </w:trPr>
        <w:tc>
          <w:tcPr>
            <w:tcW w:w="2869" w:type="dxa"/>
            <w:gridSpan w:val="4"/>
            <w:tcBorders>
              <w:top w:val="single" w:sz="4" w:space="0" w:color="auto"/>
              <w:left w:val="nil"/>
              <w:bottom w:val="double" w:sz="6" w:space="0" w:color="auto"/>
              <w:right w:val="nil"/>
            </w:tcBorders>
            <w:shd w:val="clear" w:color="auto" w:fill="auto"/>
            <w:noWrap/>
            <w:vAlign w:val="bottom"/>
            <w:hideMark/>
          </w:tcPr>
          <w:p w14:paraId="5027750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Base</w:t>
            </w:r>
          </w:p>
        </w:tc>
        <w:tc>
          <w:tcPr>
            <w:tcW w:w="241" w:type="dxa"/>
            <w:tcBorders>
              <w:top w:val="single" w:sz="4" w:space="0" w:color="auto"/>
              <w:left w:val="nil"/>
              <w:bottom w:val="nil"/>
              <w:right w:val="nil"/>
            </w:tcBorders>
            <w:shd w:val="clear" w:color="auto" w:fill="auto"/>
            <w:noWrap/>
            <w:vAlign w:val="bottom"/>
            <w:hideMark/>
          </w:tcPr>
          <w:p w14:paraId="14C14B3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2869" w:type="dxa"/>
            <w:gridSpan w:val="4"/>
            <w:tcBorders>
              <w:top w:val="single" w:sz="4" w:space="0" w:color="auto"/>
              <w:left w:val="nil"/>
              <w:bottom w:val="double" w:sz="6" w:space="0" w:color="auto"/>
              <w:right w:val="nil"/>
            </w:tcBorders>
            <w:shd w:val="clear" w:color="auto" w:fill="auto"/>
            <w:noWrap/>
            <w:vAlign w:val="bottom"/>
            <w:hideMark/>
          </w:tcPr>
          <w:p w14:paraId="566F1CE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Indicator Expansion</w:t>
            </w:r>
          </w:p>
        </w:tc>
        <w:tc>
          <w:tcPr>
            <w:tcW w:w="241" w:type="dxa"/>
            <w:tcBorders>
              <w:top w:val="single" w:sz="4" w:space="0" w:color="auto"/>
              <w:left w:val="nil"/>
              <w:bottom w:val="nil"/>
              <w:right w:val="nil"/>
            </w:tcBorders>
            <w:shd w:val="clear" w:color="auto" w:fill="auto"/>
            <w:noWrap/>
            <w:vAlign w:val="bottom"/>
            <w:hideMark/>
          </w:tcPr>
          <w:p w14:paraId="7FB48BE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2869" w:type="dxa"/>
            <w:gridSpan w:val="4"/>
            <w:tcBorders>
              <w:top w:val="single" w:sz="4" w:space="0" w:color="auto"/>
              <w:left w:val="nil"/>
              <w:bottom w:val="double" w:sz="6" w:space="0" w:color="auto"/>
              <w:right w:val="nil"/>
            </w:tcBorders>
            <w:shd w:val="clear" w:color="auto" w:fill="auto"/>
            <w:noWrap/>
            <w:vAlign w:val="bottom"/>
            <w:hideMark/>
          </w:tcPr>
          <w:p w14:paraId="4C69044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Instrument Interaction</w:t>
            </w:r>
          </w:p>
        </w:tc>
        <w:tc>
          <w:tcPr>
            <w:tcW w:w="241" w:type="dxa"/>
            <w:tcBorders>
              <w:top w:val="single" w:sz="4" w:space="0" w:color="auto"/>
              <w:left w:val="nil"/>
              <w:bottom w:val="nil"/>
              <w:right w:val="nil"/>
            </w:tcBorders>
            <w:shd w:val="clear" w:color="auto" w:fill="auto"/>
            <w:noWrap/>
            <w:vAlign w:val="bottom"/>
            <w:hideMark/>
          </w:tcPr>
          <w:p w14:paraId="73D5D0F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2869" w:type="dxa"/>
            <w:gridSpan w:val="4"/>
            <w:tcBorders>
              <w:top w:val="single" w:sz="4" w:space="0" w:color="auto"/>
              <w:left w:val="nil"/>
              <w:bottom w:val="double" w:sz="6" w:space="0" w:color="auto"/>
              <w:right w:val="nil"/>
            </w:tcBorders>
            <w:shd w:val="clear" w:color="auto" w:fill="auto"/>
            <w:noWrap/>
            <w:vAlign w:val="bottom"/>
            <w:hideMark/>
          </w:tcPr>
          <w:p w14:paraId="6CBE5DE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Polynomial</w:t>
            </w:r>
          </w:p>
        </w:tc>
      </w:tr>
      <w:tr w:rsidR="00D06409" w:rsidRPr="00D06409" w14:paraId="089E3F0D" w14:textId="77777777" w:rsidTr="00D06409">
        <w:trPr>
          <w:trHeight w:val="275"/>
        </w:trPr>
        <w:tc>
          <w:tcPr>
            <w:tcW w:w="584" w:type="dxa"/>
            <w:tcBorders>
              <w:top w:val="nil"/>
              <w:left w:val="nil"/>
              <w:bottom w:val="nil"/>
              <w:right w:val="nil"/>
            </w:tcBorders>
            <w:shd w:val="clear" w:color="auto" w:fill="auto"/>
            <w:noWrap/>
            <w:vAlign w:val="bottom"/>
            <w:hideMark/>
          </w:tcPr>
          <w:p w14:paraId="60B4AB2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single" w:sz="4" w:space="0" w:color="auto"/>
              <w:right w:val="nil"/>
            </w:tcBorders>
            <w:shd w:val="clear" w:color="auto" w:fill="auto"/>
            <w:noWrap/>
            <w:vAlign w:val="bottom"/>
            <w:hideMark/>
          </w:tcPr>
          <w:p w14:paraId="0E17A8B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3CB0B71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626BFCA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c>
          <w:tcPr>
            <w:tcW w:w="241" w:type="dxa"/>
            <w:tcBorders>
              <w:top w:val="nil"/>
              <w:left w:val="nil"/>
              <w:bottom w:val="nil"/>
              <w:right w:val="nil"/>
            </w:tcBorders>
            <w:shd w:val="clear" w:color="auto" w:fill="auto"/>
            <w:noWrap/>
            <w:vAlign w:val="bottom"/>
            <w:hideMark/>
          </w:tcPr>
          <w:p w14:paraId="63C8D867"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B22CEA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auto" w:fill="auto"/>
            <w:noWrap/>
            <w:vAlign w:val="bottom"/>
            <w:hideMark/>
          </w:tcPr>
          <w:p w14:paraId="715F5B7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72460E1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0498A63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c>
          <w:tcPr>
            <w:tcW w:w="241" w:type="dxa"/>
            <w:tcBorders>
              <w:top w:val="nil"/>
              <w:left w:val="nil"/>
              <w:bottom w:val="nil"/>
              <w:right w:val="nil"/>
            </w:tcBorders>
            <w:shd w:val="clear" w:color="auto" w:fill="auto"/>
            <w:noWrap/>
            <w:vAlign w:val="bottom"/>
            <w:hideMark/>
          </w:tcPr>
          <w:p w14:paraId="6F2C3AB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ED4FF3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auto" w:fill="auto"/>
            <w:noWrap/>
            <w:vAlign w:val="bottom"/>
            <w:hideMark/>
          </w:tcPr>
          <w:p w14:paraId="1C504D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4FB55F0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7C0A57E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c>
          <w:tcPr>
            <w:tcW w:w="241" w:type="dxa"/>
            <w:tcBorders>
              <w:top w:val="nil"/>
              <w:left w:val="nil"/>
              <w:bottom w:val="nil"/>
              <w:right w:val="nil"/>
            </w:tcBorders>
            <w:shd w:val="clear" w:color="auto" w:fill="auto"/>
            <w:noWrap/>
            <w:vAlign w:val="bottom"/>
            <w:hideMark/>
          </w:tcPr>
          <w:p w14:paraId="33DABE50"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9C3DFE5"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auto" w:fill="auto"/>
            <w:noWrap/>
            <w:vAlign w:val="bottom"/>
            <w:hideMark/>
          </w:tcPr>
          <w:p w14:paraId="1A71566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090D14E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55E68C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r>
      <w:tr w:rsidR="00D06409" w:rsidRPr="00D06409" w14:paraId="6E1918C9" w14:textId="77777777" w:rsidTr="00D06409">
        <w:trPr>
          <w:trHeight w:val="259"/>
        </w:trPr>
        <w:tc>
          <w:tcPr>
            <w:tcW w:w="584" w:type="dxa"/>
            <w:tcBorders>
              <w:top w:val="nil"/>
              <w:left w:val="nil"/>
              <w:bottom w:val="single" w:sz="4" w:space="0" w:color="auto"/>
              <w:right w:val="nil"/>
            </w:tcBorders>
            <w:shd w:val="clear" w:color="auto" w:fill="auto"/>
            <w:noWrap/>
            <w:vAlign w:val="bottom"/>
            <w:hideMark/>
          </w:tcPr>
          <w:p w14:paraId="39E58F1E"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36B050F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c>
          <w:tcPr>
            <w:tcW w:w="241" w:type="dxa"/>
            <w:tcBorders>
              <w:top w:val="nil"/>
              <w:left w:val="nil"/>
              <w:bottom w:val="nil"/>
              <w:right w:val="nil"/>
            </w:tcBorders>
            <w:shd w:val="clear" w:color="auto" w:fill="auto"/>
            <w:noWrap/>
            <w:vAlign w:val="bottom"/>
            <w:hideMark/>
          </w:tcPr>
          <w:p w14:paraId="251F9A4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486E819D"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526F4C7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c>
          <w:tcPr>
            <w:tcW w:w="241" w:type="dxa"/>
            <w:tcBorders>
              <w:top w:val="nil"/>
              <w:left w:val="nil"/>
              <w:bottom w:val="nil"/>
              <w:right w:val="nil"/>
            </w:tcBorders>
            <w:shd w:val="clear" w:color="auto" w:fill="auto"/>
            <w:noWrap/>
            <w:vAlign w:val="bottom"/>
            <w:hideMark/>
          </w:tcPr>
          <w:p w14:paraId="12D612D5"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399D2A6E"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5D71888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c>
          <w:tcPr>
            <w:tcW w:w="241" w:type="dxa"/>
            <w:tcBorders>
              <w:top w:val="nil"/>
              <w:left w:val="nil"/>
              <w:bottom w:val="nil"/>
              <w:right w:val="nil"/>
            </w:tcBorders>
            <w:shd w:val="clear" w:color="auto" w:fill="auto"/>
            <w:noWrap/>
            <w:vAlign w:val="bottom"/>
            <w:hideMark/>
          </w:tcPr>
          <w:p w14:paraId="678EFF8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73EDB422"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0124713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r>
      <w:tr w:rsidR="00D06409" w:rsidRPr="00D06409" w14:paraId="43978D17" w14:textId="77777777" w:rsidTr="00D06409">
        <w:trPr>
          <w:trHeight w:val="259"/>
        </w:trPr>
        <w:tc>
          <w:tcPr>
            <w:tcW w:w="584" w:type="dxa"/>
            <w:tcBorders>
              <w:top w:val="nil"/>
              <w:left w:val="nil"/>
              <w:bottom w:val="nil"/>
              <w:right w:val="nil"/>
            </w:tcBorders>
            <w:shd w:val="clear" w:color="auto" w:fill="auto"/>
            <w:noWrap/>
            <w:vAlign w:val="bottom"/>
            <w:hideMark/>
          </w:tcPr>
          <w:p w14:paraId="53D8B8E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D7D7D7"/>
            <w:noWrap/>
            <w:vAlign w:val="bottom"/>
            <w:hideMark/>
          </w:tcPr>
          <w:p w14:paraId="3C39574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45" w:type="dxa"/>
            <w:tcBorders>
              <w:top w:val="nil"/>
              <w:left w:val="nil"/>
              <w:bottom w:val="nil"/>
              <w:right w:val="nil"/>
            </w:tcBorders>
            <w:shd w:val="clear" w:color="000000" w:fill="FFFFFF"/>
            <w:noWrap/>
            <w:vAlign w:val="bottom"/>
            <w:hideMark/>
          </w:tcPr>
          <w:p w14:paraId="7ED6C3F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95" w:type="dxa"/>
            <w:tcBorders>
              <w:top w:val="nil"/>
              <w:left w:val="nil"/>
              <w:bottom w:val="nil"/>
              <w:right w:val="nil"/>
            </w:tcBorders>
            <w:shd w:val="clear" w:color="000000" w:fill="BFBFBF"/>
            <w:noWrap/>
            <w:vAlign w:val="bottom"/>
            <w:hideMark/>
          </w:tcPr>
          <w:p w14:paraId="1029C8C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-0.021</w:t>
            </w:r>
          </w:p>
        </w:tc>
        <w:tc>
          <w:tcPr>
            <w:tcW w:w="241" w:type="dxa"/>
            <w:tcBorders>
              <w:top w:val="nil"/>
              <w:left w:val="nil"/>
              <w:bottom w:val="nil"/>
              <w:right w:val="nil"/>
            </w:tcBorders>
            <w:shd w:val="clear" w:color="auto" w:fill="auto"/>
            <w:noWrap/>
            <w:vAlign w:val="bottom"/>
            <w:hideMark/>
          </w:tcPr>
          <w:p w14:paraId="2E077A1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FE3A65C"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2F2F2"/>
            <w:noWrap/>
            <w:vAlign w:val="bottom"/>
            <w:hideMark/>
          </w:tcPr>
          <w:p w14:paraId="0B7207B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FFFFF"/>
            <w:noWrap/>
            <w:vAlign w:val="bottom"/>
            <w:hideMark/>
          </w:tcPr>
          <w:p w14:paraId="309FC24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7BED688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-0.020</w:t>
            </w:r>
          </w:p>
        </w:tc>
        <w:tc>
          <w:tcPr>
            <w:tcW w:w="241" w:type="dxa"/>
            <w:tcBorders>
              <w:top w:val="nil"/>
              <w:left w:val="nil"/>
              <w:bottom w:val="nil"/>
              <w:right w:val="nil"/>
            </w:tcBorders>
            <w:shd w:val="clear" w:color="auto" w:fill="auto"/>
            <w:noWrap/>
            <w:vAlign w:val="bottom"/>
            <w:hideMark/>
          </w:tcPr>
          <w:p w14:paraId="5DD0B0A1"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A14EE6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BFBFB"/>
            <w:noWrap/>
            <w:vAlign w:val="bottom"/>
            <w:hideMark/>
          </w:tcPr>
          <w:p w14:paraId="0009A33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FFFFF"/>
            <w:noWrap/>
            <w:vAlign w:val="bottom"/>
            <w:hideMark/>
          </w:tcPr>
          <w:p w14:paraId="0CC6E2E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BFBFBF"/>
            <w:noWrap/>
            <w:vAlign w:val="bottom"/>
            <w:hideMark/>
          </w:tcPr>
          <w:p w14:paraId="44FC5A3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-0.026</w:t>
            </w:r>
          </w:p>
        </w:tc>
        <w:tc>
          <w:tcPr>
            <w:tcW w:w="241" w:type="dxa"/>
            <w:tcBorders>
              <w:top w:val="nil"/>
              <w:left w:val="nil"/>
              <w:bottom w:val="nil"/>
              <w:right w:val="nil"/>
            </w:tcBorders>
            <w:shd w:val="clear" w:color="auto" w:fill="auto"/>
            <w:noWrap/>
            <w:vAlign w:val="bottom"/>
            <w:hideMark/>
          </w:tcPr>
          <w:p w14:paraId="201CE4D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F84922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FFFFF"/>
            <w:noWrap/>
            <w:vAlign w:val="bottom"/>
            <w:hideMark/>
          </w:tcPr>
          <w:p w14:paraId="6BE6DD6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45" w:type="dxa"/>
            <w:tcBorders>
              <w:top w:val="nil"/>
              <w:left w:val="nil"/>
              <w:bottom w:val="nil"/>
              <w:right w:val="nil"/>
            </w:tcBorders>
            <w:shd w:val="clear" w:color="000000" w:fill="BFBFBF"/>
            <w:noWrap/>
            <w:vAlign w:val="bottom"/>
            <w:hideMark/>
          </w:tcPr>
          <w:p w14:paraId="12C84AA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E2E2E2"/>
            <w:noWrap/>
            <w:vAlign w:val="bottom"/>
            <w:hideMark/>
          </w:tcPr>
          <w:p w14:paraId="28E3BB5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r>
      <w:tr w:rsidR="00D06409" w:rsidRPr="00D06409" w14:paraId="152E3AB4" w14:textId="77777777" w:rsidTr="00D06409">
        <w:trPr>
          <w:trHeight w:val="259"/>
        </w:trPr>
        <w:tc>
          <w:tcPr>
            <w:tcW w:w="584" w:type="dxa"/>
            <w:tcBorders>
              <w:top w:val="nil"/>
              <w:left w:val="nil"/>
              <w:bottom w:val="nil"/>
              <w:right w:val="nil"/>
            </w:tcBorders>
            <w:shd w:val="clear" w:color="auto" w:fill="auto"/>
            <w:noWrap/>
            <w:vAlign w:val="bottom"/>
            <w:hideMark/>
          </w:tcPr>
          <w:p w14:paraId="280C8EF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E5E5E5"/>
            <w:noWrap/>
            <w:vAlign w:val="bottom"/>
            <w:hideMark/>
          </w:tcPr>
          <w:p w14:paraId="04D4500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FFFFFF"/>
            <w:noWrap/>
            <w:vAlign w:val="bottom"/>
            <w:hideMark/>
          </w:tcPr>
          <w:p w14:paraId="600ED0E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95" w:type="dxa"/>
            <w:tcBorders>
              <w:top w:val="nil"/>
              <w:left w:val="nil"/>
              <w:bottom w:val="nil"/>
              <w:right w:val="nil"/>
            </w:tcBorders>
            <w:shd w:val="clear" w:color="000000" w:fill="BFBFBF"/>
            <w:noWrap/>
            <w:vAlign w:val="bottom"/>
            <w:hideMark/>
          </w:tcPr>
          <w:p w14:paraId="33719FF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241" w:type="dxa"/>
            <w:tcBorders>
              <w:top w:val="nil"/>
              <w:left w:val="nil"/>
              <w:bottom w:val="nil"/>
              <w:right w:val="nil"/>
            </w:tcBorders>
            <w:shd w:val="clear" w:color="auto" w:fill="auto"/>
            <w:noWrap/>
            <w:vAlign w:val="bottom"/>
            <w:hideMark/>
          </w:tcPr>
          <w:p w14:paraId="2911887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0ADF62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4CC83E3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BFBFBF"/>
            <w:noWrap/>
            <w:vAlign w:val="bottom"/>
            <w:hideMark/>
          </w:tcPr>
          <w:p w14:paraId="3907588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C6C6C6"/>
            <w:noWrap/>
            <w:vAlign w:val="bottom"/>
            <w:hideMark/>
          </w:tcPr>
          <w:p w14:paraId="69DB6A9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241" w:type="dxa"/>
            <w:tcBorders>
              <w:top w:val="nil"/>
              <w:left w:val="nil"/>
              <w:bottom w:val="nil"/>
              <w:right w:val="nil"/>
            </w:tcBorders>
            <w:shd w:val="clear" w:color="auto" w:fill="auto"/>
            <w:noWrap/>
            <w:vAlign w:val="bottom"/>
            <w:hideMark/>
          </w:tcPr>
          <w:p w14:paraId="2194E3E5"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7F7952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202174D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DFDFDF"/>
            <w:noWrap/>
            <w:vAlign w:val="bottom"/>
            <w:hideMark/>
          </w:tcPr>
          <w:p w14:paraId="3E8B87F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-0.020</w:t>
            </w:r>
          </w:p>
        </w:tc>
        <w:tc>
          <w:tcPr>
            <w:tcW w:w="795" w:type="dxa"/>
            <w:tcBorders>
              <w:top w:val="nil"/>
              <w:left w:val="nil"/>
              <w:bottom w:val="nil"/>
              <w:right w:val="nil"/>
            </w:tcBorders>
            <w:shd w:val="clear" w:color="000000" w:fill="BFBFBF"/>
            <w:noWrap/>
            <w:vAlign w:val="bottom"/>
            <w:hideMark/>
          </w:tcPr>
          <w:p w14:paraId="09EBC2E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-0.034</w:t>
            </w:r>
          </w:p>
        </w:tc>
        <w:tc>
          <w:tcPr>
            <w:tcW w:w="241" w:type="dxa"/>
            <w:tcBorders>
              <w:top w:val="nil"/>
              <w:left w:val="nil"/>
              <w:bottom w:val="nil"/>
              <w:right w:val="nil"/>
            </w:tcBorders>
            <w:shd w:val="clear" w:color="auto" w:fill="auto"/>
            <w:noWrap/>
            <w:vAlign w:val="bottom"/>
            <w:hideMark/>
          </w:tcPr>
          <w:p w14:paraId="34A01BC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D55E28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62DF407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E2E2E2"/>
            <w:noWrap/>
            <w:vAlign w:val="bottom"/>
            <w:hideMark/>
          </w:tcPr>
          <w:p w14:paraId="29B8C15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95" w:type="dxa"/>
            <w:tcBorders>
              <w:top w:val="nil"/>
              <w:left w:val="nil"/>
              <w:bottom w:val="nil"/>
              <w:right w:val="nil"/>
            </w:tcBorders>
            <w:shd w:val="clear" w:color="000000" w:fill="BFBFBF"/>
            <w:noWrap/>
            <w:vAlign w:val="bottom"/>
            <w:hideMark/>
          </w:tcPr>
          <w:p w14:paraId="2FDEE61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-0.029</w:t>
            </w:r>
          </w:p>
        </w:tc>
      </w:tr>
      <w:tr w:rsidR="00D06409" w:rsidRPr="00D06409" w14:paraId="07C6AD44" w14:textId="77777777" w:rsidTr="00D06409">
        <w:trPr>
          <w:trHeight w:val="259"/>
        </w:trPr>
        <w:tc>
          <w:tcPr>
            <w:tcW w:w="584" w:type="dxa"/>
            <w:tcBorders>
              <w:top w:val="nil"/>
              <w:left w:val="nil"/>
              <w:bottom w:val="nil"/>
              <w:right w:val="nil"/>
            </w:tcBorders>
            <w:shd w:val="clear" w:color="auto" w:fill="auto"/>
            <w:noWrap/>
            <w:vAlign w:val="bottom"/>
            <w:hideMark/>
          </w:tcPr>
          <w:p w14:paraId="298EDB4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EEEEEE"/>
            <w:noWrap/>
            <w:vAlign w:val="bottom"/>
            <w:hideMark/>
          </w:tcPr>
          <w:p w14:paraId="687E8B4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FFFFF"/>
            <w:noWrap/>
            <w:vAlign w:val="bottom"/>
            <w:hideMark/>
          </w:tcPr>
          <w:p w14:paraId="59B313B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95" w:type="dxa"/>
            <w:tcBorders>
              <w:top w:val="nil"/>
              <w:left w:val="nil"/>
              <w:bottom w:val="nil"/>
              <w:right w:val="nil"/>
            </w:tcBorders>
            <w:shd w:val="clear" w:color="000000" w:fill="BFBFBF"/>
            <w:noWrap/>
            <w:vAlign w:val="bottom"/>
            <w:hideMark/>
          </w:tcPr>
          <w:p w14:paraId="460922C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-0.032</w:t>
            </w:r>
          </w:p>
        </w:tc>
        <w:tc>
          <w:tcPr>
            <w:tcW w:w="241" w:type="dxa"/>
            <w:tcBorders>
              <w:top w:val="nil"/>
              <w:left w:val="nil"/>
              <w:bottom w:val="nil"/>
              <w:right w:val="nil"/>
            </w:tcBorders>
            <w:shd w:val="clear" w:color="auto" w:fill="auto"/>
            <w:noWrap/>
            <w:vAlign w:val="bottom"/>
            <w:hideMark/>
          </w:tcPr>
          <w:p w14:paraId="67884CCA"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2F6BE1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D9D9D9"/>
            <w:noWrap/>
            <w:vAlign w:val="bottom"/>
            <w:hideMark/>
          </w:tcPr>
          <w:p w14:paraId="7EE6867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745" w:type="dxa"/>
            <w:tcBorders>
              <w:top w:val="nil"/>
              <w:left w:val="nil"/>
              <w:bottom w:val="nil"/>
              <w:right w:val="nil"/>
            </w:tcBorders>
            <w:shd w:val="clear" w:color="000000" w:fill="FFFFFF"/>
            <w:noWrap/>
            <w:vAlign w:val="bottom"/>
            <w:hideMark/>
          </w:tcPr>
          <w:p w14:paraId="6CC1597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BFBFBF"/>
            <w:noWrap/>
            <w:vAlign w:val="bottom"/>
            <w:hideMark/>
          </w:tcPr>
          <w:p w14:paraId="5092537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-0.032</w:t>
            </w:r>
          </w:p>
        </w:tc>
        <w:tc>
          <w:tcPr>
            <w:tcW w:w="241" w:type="dxa"/>
            <w:tcBorders>
              <w:top w:val="nil"/>
              <w:left w:val="nil"/>
              <w:bottom w:val="nil"/>
              <w:right w:val="nil"/>
            </w:tcBorders>
            <w:shd w:val="clear" w:color="auto" w:fill="auto"/>
            <w:noWrap/>
            <w:vAlign w:val="bottom"/>
            <w:hideMark/>
          </w:tcPr>
          <w:p w14:paraId="1899EF3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47A5CFA"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1F1F1"/>
            <w:noWrap/>
            <w:vAlign w:val="bottom"/>
            <w:hideMark/>
          </w:tcPr>
          <w:p w14:paraId="454DE0C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-0.012</w:t>
            </w:r>
          </w:p>
        </w:tc>
        <w:tc>
          <w:tcPr>
            <w:tcW w:w="745" w:type="dxa"/>
            <w:tcBorders>
              <w:top w:val="nil"/>
              <w:left w:val="nil"/>
              <w:bottom w:val="nil"/>
              <w:right w:val="nil"/>
            </w:tcBorders>
            <w:shd w:val="clear" w:color="000000" w:fill="FFFFFF"/>
            <w:noWrap/>
            <w:vAlign w:val="bottom"/>
            <w:hideMark/>
          </w:tcPr>
          <w:p w14:paraId="57B4F2B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95" w:type="dxa"/>
            <w:tcBorders>
              <w:top w:val="nil"/>
              <w:left w:val="nil"/>
              <w:bottom w:val="nil"/>
              <w:right w:val="nil"/>
            </w:tcBorders>
            <w:shd w:val="clear" w:color="000000" w:fill="BFBFBF"/>
            <w:noWrap/>
            <w:vAlign w:val="bottom"/>
            <w:hideMark/>
          </w:tcPr>
          <w:p w14:paraId="53D0D1D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-0.047</w:t>
            </w:r>
          </w:p>
        </w:tc>
        <w:tc>
          <w:tcPr>
            <w:tcW w:w="241" w:type="dxa"/>
            <w:tcBorders>
              <w:top w:val="nil"/>
              <w:left w:val="nil"/>
              <w:bottom w:val="nil"/>
              <w:right w:val="nil"/>
            </w:tcBorders>
            <w:shd w:val="clear" w:color="auto" w:fill="auto"/>
            <w:noWrap/>
            <w:vAlign w:val="bottom"/>
            <w:hideMark/>
          </w:tcPr>
          <w:p w14:paraId="0D0FF4A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828D38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FFFFF"/>
            <w:noWrap/>
            <w:vAlign w:val="bottom"/>
            <w:hideMark/>
          </w:tcPr>
          <w:p w14:paraId="1147B25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45" w:type="dxa"/>
            <w:tcBorders>
              <w:top w:val="nil"/>
              <w:left w:val="nil"/>
              <w:bottom w:val="nil"/>
              <w:right w:val="nil"/>
            </w:tcBorders>
            <w:shd w:val="clear" w:color="000000" w:fill="F1F1F1"/>
            <w:noWrap/>
            <w:vAlign w:val="bottom"/>
            <w:hideMark/>
          </w:tcPr>
          <w:p w14:paraId="06928F3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95" w:type="dxa"/>
            <w:tcBorders>
              <w:top w:val="nil"/>
              <w:left w:val="nil"/>
              <w:bottom w:val="nil"/>
              <w:right w:val="nil"/>
            </w:tcBorders>
            <w:shd w:val="clear" w:color="000000" w:fill="BFBFBF"/>
            <w:noWrap/>
            <w:vAlign w:val="bottom"/>
            <w:hideMark/>
          </w:tcPr>
          <w:p w14:paraId="3F8C633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-0.036</w:t>
            </w:r>
          </w:p>
        </w:tc>
      </w:tr>
      <w:tr w:rsidR="00D06409" w:rsidRPr="00D06409" w14:paraId="0E6D9E05" w14:textId="77777777" w:rsidTr="00D06409">
        <w:trPr>
          <w:trHeight w:val="259"/>
        </w:trPr>
        <w:tc>
          <w:tcPr>
            <w:tcW w:w="584" w:type="dxa"/>
            <w:tcBorders>
              <w:top w:val="nil"/>
              <w:left w:val="nil"/>
              <w:bottom w:val="nil"/>
              <w:right w:val="nil"/>
            </w:tcBorders>
            <w:shd w:val="clear" w:color="auto" w:fill="auto"/>
            <w:noWrap/>
            <w:vAlign w:val="bottom"/>
            <w:hideMark/>
          </w:tcPr>
          <w:p w14:paraId="6BF1C85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DEDEDE"/>
            <w:noWrap/>
            <w:vAlign w:val="bottom"/>
            <w:hideMark/>
          </w:tcPr>
          <w:p w14:paraId="359FAC1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FFFFFF"/>
            <w:noWrap/>
            <w:vAlign w:val="bottom"/>
            <w:hideMark/>
          </w:tcPr>
          <w:p w14:paraId="499AADC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95" w:type="dxa"/>
            <w:tcBorders>
              <w:top w:val="nil"/>
              <w:left w:val="nil"/>
              <w:bottom w:val="nil"/>
              <w:right w:val="nil"/>
            </w:tcBorders>
            <w:shd w:val="clear" w:color="000000" w:fill="BFBFBF"/>
            <w:noWrap/>
            <w:vAlign w:val="bottom"/>
            <w:hideMark/>
          </w:tcPr>
          <w:p w14:paraId="4E096B9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-0.018</w:t>
            </w:r>
          </w:p>
        </w:tc>
        <w:tc>
          <w:tcPr>
            <w:tcW w:w="241" w:type="dxa"/>
            <w:tcBorders>
              <w:top w:val="nil"/>
              <w:left w:val="nil"/>
              <w:bottom w:val="nil"/>
              <w:right w:val="nil"/>
            </w:tcBorders>
            <w:shd w:val="clear" w:color="auto" w:fill="auto"/>
            <w:noWrap/>
            <w:vAlign w:val="bottom"/>
            <w:hideMark/>
          </w:tcPr>
          <w:p w14:paraId="5A71071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D2B21DA"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C0C0C0"/>
            <w:noWrap/>
            <w:vAlign w:val="bottom"/>
            <w:hideMark/>
          </w:tcPr>
          <w:p w14:paraId="3ABE901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45" w:type="dxa"/>
            <w:tcBorders>
              <w:top w:val="nil"/>
              <w:left w:val="nil"/>
              <w:bottom w:val="nil"/>
              <w:right w:val="nil"/>
            </w:tcBorders>
            <w:shd w:val="clear" w:color="000000" w:fill="FFFFFF"/>
            <w:noWrap/>
            <w:vAlign w:val="bottom"/>
            <w:hideMark/>
          </w:tcPr>
          <w:p w14:paraId="3BABCCA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95" w:type="dxa"/>
            <w:tcBorders>
              <w:top w:val="nil"/>
              <w:left w:val="nil"/>
              <w:bottom w:val="nil"/>
              <w:right w:val="nil"/>
            </w:tcBorders>
            <w:shd w:val="clear" w:color="000000" w:fill="BFBFBF"/>
            <w:noWrap/>
            <w:vAlign w:val="bottom"/>
            <w:hideMark/>
          </w:tcPr>
          <w:p w14:paraId="48D60E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241" w:type="dxa"/>
            <w:tcBorders>
              <w:top w:val="nil"/>
              <w:left w:val="nil"/>
              <w:bottom w:val="nil"/>
              <w:right w:val="nil"/>
            </w:tcBorders>
            <w:shd w:val="clear" w:color="auto" w:fill="auto"/>
            <w:noWrap/>
            <w:vAlign w:val="bottom"/>
            <w:hideMark/>
          </w:tcPr>
          <w:p w14:paraId="56F2B3E5"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7EC406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F6F6F6"/>
            <w:noWrap/>
            <w:vAlign w:val="bottom"/>
            <w:hideMark/>
          </w:tcPr>
          <w:p w14:paraId="7D7015B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45" w:type="dxa"/>
            <w:tcBorders>
              <w:top w:val="nil"/>
              <w:left w:val="nil"/>
              <w:bottom w:val="nil"/>
              <w:right w:val="nil"/>
            </w:tcBorders>
            <w:shd w:val="clear" w:color="000000" w:fill="FFFFFF"/>
            <w:noWrap/>
            <w:vAlign w:val="bottom"/>
            <w:hideMark/>
          </w:tcPr>
          <w:p w14:paraId="4FFF282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95" w:type="dxa"/>
            <w:tcBorders>
              <w:top w:val="nil"/>
              <w:left w:val="nil"/>
              <w:bottom w:val="nil"/>
              <w:right w:val="nil"/>
            </w:tcBorders>
            <w:shd w:val="clear" w:color="000000" w:fill="BFBFBF"/>
            <w:noWrap/>
            <w:vAlign w:val="bottom"/>
            <w:hideMark/>
          </w:tcPr>
          <w:p w14:paraId="0AB49CC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-0.093</w:t>
            </w:r>
          </w:p>
        </w:tc>
        <w:tc>
          <w:tcPr>
            <w:tcW w:w="241" w:type="dxa"/>
            <w:tcBorders>
              <w:top w:val="nil"/>
              <w:left w:val="nil"/>
              <w:bottom w:val="nil"/>
              <w:right w:val="nil"/>
            </w:tcBorders>
            <w:shd w:val="clear" w:color="auto" w:fill="auto"/>
            <w:noWrap/>
            <w:vAlign w:val="bottom"/>
            <w:hideMark/>
          </w:tcPr>
          <w:p w14:paraId="4DEEC5F2"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C2CBE56"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ECECEC"/>
            <w:noWrap/>
            <w:vAlign w:val="bottom"/>
            <w:hideMark/>
          </w:tcPr>
          <w:p w14:paraId="3B8ED8E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45" w:type="dxa"/>
            <w:tcBorders>
              <w:top w:val="nil"/>
              <w:left w:val="nil"/>
              <w:bottom w:val="nil"/>
              <w:right w:val="nil"/>
            </w:tcBorders>
            <w:shd w:val="clear" w:color="000000" w:fill="BFBFBF"/>
            <w:noWrap/>
            <w:vAlign w:val="bottom"/>
            <w:hideMark/>
          </w:tcPr>
          <w:p w14:paraId="722348A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795" w:type="dxa"/>
            <w:tcBorders>
              <w:top w:val="nil"/>
              <w:left w:val="nil"/>
              <w:bottom w:val="nil"/>
              <w:right w:val="nil"/>
            </w:tcBorders>
            <w:shd w:val="clear" w:color="000000" w:fill="FFFFFF"/>
            <w:noWrap/>
            <w:vAlign w:val="bottom"/>
            <w:hideMark/>
          </w:tcPr>
          <w:p w14:paraId="4EA7978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r>
      <w:tr w:rsidR="00D06409" w:rsidRPr="00D06409" w14:paraId="733B93CD" w14:textId="77777777" w:rsidTr="00D06409">
        <w:trPr>
          <w:trHeight w:val="259"/>
        </w:trPr>
        <w:tc>
          <w:tcPr>
            <w:tcW w:w="584" w:type="dxa"/>
            <w:tcBorders>
              <w:top w:val="nil"/>
              <w:left w:val="nil"/>
              <w:bottom w:val="nil"/>
              <w:right w:val="nil"/>
            </w:tcBorders>
            <w:shd w:val="clear" w:color="auto" w:fill="auto"/>
            <w:noWrap/>
            <w:vAlign w:val="bottom"/>
            <w:hideMark/>
          </w:tcPr>
          <w:p w14:paraId="1E53D639"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D5D5D5"/>
            <w:noWrap/>
            <w:vAlign w:val="bottom"/>
            <w:hideMark/>
          </w:tcPr>
          <w:p w14:paraId="114E09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45" w:type="dxa"/>
            <w:tcBorders>
              <w:top w:val="nil"/>
              <w:left w:val="nil"/>
              <w:bottom w:val="nil"/>
              <w:right w:val="nil"/>
            </w:tcBorders>
            <w:shd w:val="clear" w:color="000000" w:fill="FFFFFF"/>
            <w:noWrap/>
            <w:vAlign w:val="bottom"/>
            <w:hideMark/>
          </w:tcPr>
          <w:p w14:paraId="79C4923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0.030</w:t>
            </w:r>
          </w:p>
        </w:tc>
        <w:tc>
          <w:tcPr>
            <w:tcW w:w="795" w:type="dxa"/>
            <w:tcBorders>
              <w:top w:val="nil"/>
              <w:left w:val="nil"/>
              <w:bottom w:val="nil"/>
              <w:right w:val="nil"/>
            </w:tcBorders>
            <w:shd w:val="clear" w:color="000000" w:fill="BFBFBF"/>
            <w:noWrap/>
            <w:vAlign w:val="bottom"/>
            <w:hideMark/>
          </w:tcPr>
          <w:p w14:paraId="052B39C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-0.029</w:t>
            </w:r>
          </w:p>
        </w:tc>
        <w:tc>
          <w:tcPr>
            <w:tcW w:w="241" w:type="dxa"/>
            <w:tcBorders>
              <w:top w:val="nil"/>
              <w:left w:val="nil"/>
              <w:bottom w:val="nil"/>
              <w:right w:val="nil"/>
            </w:tcBorders>
            <w:shd w:val="clear" w:color="auto" w:fill="auto"/>
            <w:noWrap/>
            <w:vAlign w:val="bottom"/>
            <w:hideMark/>
          </w:tcPr>
          <w:p w14:paraId="665363D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82B5C26"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E6E6E6"/>
            <w:noWrap/>
            <w:vAlign w:val="bottom"/>
            <w:hideMark/>
          </w:tcPr>
          <w:p w14:paraId="227AD42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FFFFFF"/>
            <w:noWrap/>
            <w:vAlign w:val="bottom"/>
            <w:hideMark/>
          </w:tcPr>
          <w:p w14:paraId="5D28C3E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0.019</w:t>
            </w:r>
          </w:p>
        </w:tc>
        <w:tc>
          <w:tcPr>
            <w:tcW w:w="795" w:type="dxa"/>
            <w:tcBorders>
              <w:top w:val="nil"/>
              <w:left w:val="nil"/>
              <w:bottom w:val="nil"/>
              <w:right w:val="nil"/>
            </w:tcBorders>
            <w:shd w:val="clear" w:color="000000" w:fill="BFBFBF"/>
            <w:noWrap/>
            <w:vAlign w:val="bottom"/>
            <w:hideMark/>
          </w:tcPr>
          <w:p w14:paraId="7FF0BE3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-0.034</w:t>
            </w:r>
          </w:p>
        </w:tc>
        <w:tc>
          <w:tcPr>
            <w:tcW w:w="241" w:type="dxa"/>
            <w:tcBorders>
              <w:top w:val="nil"/>
              <w:left w:val="nil"/>
              <w:bottom w:val="nil"/>
              <w:right w:val="nil"/>
            </w:tcBorders>
            <w:shd w:val="clear" w:color="auto" w:fill="auto"/>
            <w:noWrap/>
            <w:vAlign w:val="bottom"/>
            <w:hideMark/>
          </w:tcPr>
          <w:p w14:paraId="51BF79B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9AD1AA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EFEFE"/>
            <w:noWrap/>
            <w:vAlign w:val="bottom"/>
            <w:hideMark/>
          </w:tcPr>
          <w:p w14:paraId="40E442D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-0.023</w:t>
            </w:r>
          </w:p>
        </w:tc>
        <w:tc>
          <w:tcPr>
            <w:tcW w:w="745" w:type="dxa"/>
            <w:tcBorders>
              <w:top w:val="nil"/>
              <w:left w:val="nil"/>
              <w:bottom w:val="nil"/>
              <w:right w:val="nil"/>
            </w:tcBorders>
            <w:shd w:val="clear" w:color="000000" w:fill="FFFFFF"/>
            <w:noWrap/>
            <w:vAlign w:val="bottom"/>
            <w:hideMark/>
          </w:tcPr>
          <w:p w14:paraId="0FE551E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-0.022</w:t>
            </w:r>
          </w:p>
        </w:tc>
        <w:tc>
          <w:tcPr>
            <w:tcW w:w="795" w:type="dxa"/>
            <w:tcBorders>
              <w:top w:val="nil"/>
              <w:left w:val="nil"/>
              <w:bottom w:val="nil"/>
              <w:right w:val="nil"/>
            </w:tcBorders>
            <w:shd w:val="clear" w:color="000000" w:fill="BFBFBF"/>
            <w:noWrap/>
            <w:vAlign w:val="bottom"/>
            <w:hideMark/>
          </w:tcPr>
          <w:p w14:paraId="6B84DBC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-0.116</w:t>
            </w:r>
          </w:p>
        </w:tc>
        <w:tc>
          <w:tcPr>
            <w:tcW w:w="241" w:type="dxa"/>
            <w:tcBorders>
              <w:top w:val="nil"/>
              <w:left w:val="nil"/>
              <w:bottom w:val="nil"/>
              <w:right w:val="nil"/>
            </w:tcBorders>
            <w:shd w:val="clear" w:color="auto" w:fill="auto"/>
            <w:noWrap/>
            <w:vAlign w:val="bottom"/>
            <w:hideMark/>
          </w:tcPr>
          <w:p w14:paraId="62F0EDC2"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FDE24C9"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FFFFF"/>
            <w:noWrap/>
            <w:vAlign w:val="bottom"/>
            <w:hideMark/>
          </w:tcPr>
          <w:p w14:paraId="18360FC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F2F2F2"/>
            <w:noWrap/>
            <w:vAlign w:val="bottom"/>
            <w:hideMark/>
          </w:tcPr>
          <w:p w14:paraId="6D08408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95" w:type="dxa"/>
            <w:tcBorders>
              <w:top w:val="nil"/>
              <w:left w:val="nil"/>
              <w:bottom w:val="nil"/>
              <w:right w:val="nil"/>
            </w:tcBorders>
            <w:shd w:val="clear" w:color="000000" w:fill="BFBFBF"/>
            <w:noWrap/>
            <w:vAlign w:val="bottom"/>
            <w:hideMark/>
          </w:tcPr>
          <w:p w14:paraId="70A1335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-0.025</w:t>
            </w:r>
          </w:p>
        </w:tc>
      </w:tr>
      <w:tr w:rsidR="00D06409" w:rsidRPr="00D06409" w14:paraId="6DDC67D0" w14:textId="77777777" w:rsidTr="00D06409">
        <w:trPr>
          <w:trHeight w:val="259"/>
        </w:trPr>
        <w:tc>
          <w:tcPr>
            <w:tcW w:w="584" w:type="dxa"/>
            <w:tcBorders>
              <w:top w:val="nil"/>
              <w:left w:val="nil"/>
              <w:bottom w:val="nil"/>
              <w:right w:val="nil"/>
            </w:tcBorders>
            <w:shd w:val="clear" w:color="auto" w:fill="auto"/>
            <w:noWrap/>
            <w:vAlign w:val="bottom"/>
            <w:hideMark/>
          </w:tcPr>
          <w:p w14:paraId="4FA221C6"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19F67DF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45" w:type="dxa"/>
            <w:tcBorders>
              <w:top w:val="nil"/>
              <w:left w:val="nil"/>
              <w:bottom w:val="nil"/>
              <w:right w:val="nil"/>
            </w:tcBorders>
            <w:shd w:val="clear" w:color="000000" w:fill="F3F3F3"/>
            <w:noWrap/>
            <w:vAlign w:val="bottom"/>
            <w:hideMark/>
          </w:tcPr>
          <w:p w14:paraId="204B998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BFBFBF"/>
            <w:noWrap/>
            <w:vAlign w:val="bottom"/>
            <w:hideMark/>
          </w:tcPr>
          <w:p w14:paraId="0F4D318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-0.056</w:t>
            </w:r>
          </w:p>
        </w:tc>
        <w:tc>
          <w:tcPr>
            <w:tcW w:w="241" w:type="dxa"/>
            <w:tcBorders>
              <w:top w:val="nil"/>
              <w:left w:val="nil"/>
              <w:bottom w:val="nil"/>
              <w:right w:val="nil"/>
            </w:tcBorders>
            <w:shd w:val="clear" w:color="auto" w:fill="auto"/>
            <w:noWrap/>
            <w:vAlign w:val="bottom"/>
            <w:hideMark/>
          </w:tcPr>
          <w:p w14:paraId="1F72A479"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C1C7CE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3BF0F75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0.033</w:t>
            </w:r>
          </w:p>
        </w:tc>
        <w:tc>
          <w:tcPr>
            <w:tcW w:w="745" w:type="dxa"/>
            <w:tcBorders>
              <w:top w:val="nil"/>
              <w:left w:val="nil"/>
              <w:bottom w:val="nil"/>
              <w:right w:val="nil"/>
            </w:tcBorders>
            <w:shd w:val="clear" w:color="000000" w:fill="F5F5F5"/>
            <w:noWrap/>
            <w:vAlign w:val="bottom"/>
            <w:hideMark/>
          </w:tcPr>
          <w:p w14:paraId="264ED39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95" w:type="dxa"/>
            <w:tcBorders>
              <w:top w:val="nil"/>
              <w:left w:val="nil"/>
              <w:bottom w:val="nil"/>
              <w:right w:val="nil"/>
            </w:tcBorders>
            <w:shd w:val="clear" w:color="000000" w:fill="BFBFBF"/>
            <w:noWrap/>
            <w:vAlign w:val="bottom"/>
            <w:hideMark/>
          </w:tcPr>
          <w:p w14:paraId="3918777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-0.147</w:t>
            </w:r>
          </w:p>
        </w:tc>
        <w:tc>
          <w:tcPr>
            <w:tcW w:w="241" w:type="dxa"/>
            <w:tcBorders>
              <w:top w:val="nil"/>
              <w:left w:val="nil"/>
              <w:bottom w:val="nil"/>
              <w:right w:val="nil"/>
            </w:tcBorders>
            <w:shd w:val="clear" w:color="auto" w:fill="auto"/>
            <w:noWrap/>
            <w:vAlign w:val="bottom"/>
            <w:hideMark/>
          </w:tcPr>
          <w:p w14:paraId="7AACC741"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165087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2C01AC6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6F6F6"/>
            <w:noWrap/>
            <w:vAlign w:val="bottom"/>
            <w:hideMark/>
          </w:tcPr>
          <w:p w14:paraId="573F744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-0.033</w:t>
            </w:r>
          </w:p>
        </w:tc>
        <w:tc>
          <w:tcPr>
            <w:tcW w:w="795" w:type="dxa"/>
            <w:tcBorders>
              <w:top w:val="nil"/>
              <w:left w:val="nil"/>
              <w:bottom w:val="nil"/>
              <w:right w:val="nil"/>
            </w:tcBorders>
            <w:shd w:val="clear" w:color="000000" w:fill="BFBFBF"/>
            <w:noWrap/>
            <w:vAlign w:val="bottom"/>
            <w:hideMark/>
          </w:tcPr>
          <w:p w14:paraId="385BF27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-0.304</w:t>
            </w:r>
          </w:p>
        </w:tc>
        <w:tc>
          <w:tcPr>
            <w:tcW w:w="241" w:type="dxa"/>
            <w:tcBorders>
              <w:top w:val="nil"/>
              <w:left w:val="nil"/>
              <w:bottom w:val="nil"/>
              <w:right w:val="nil"/>
            </w:tcBorders>
            <w:shd w:val="clear" w:color="auto" w:fill="auto"/>
            <w:noWrap/>
            <w:vAlign w:val="bottom"/>
            <w:hideMark/>
          </w:tcPr>
          <w:p w14:paraId="3A7103E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CAEFAB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7FD479B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6F6F6"/>
            <w:noWrap/>
            <w:vAlign w:val="bottom"/>
            <w:hideMark/>
          </w:tcPr>
          <w:p w14:paraId="154D853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BFBFBF"/>
            <w:noWrap/>
            <w:vAlign w:val="bottom"/>
            <w:hideMark/>
          </w:tcPr>
          <w:p w14:paraId="59FD84C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-0.148</w:t>
            </w:r>
          </w:p>
        </w:tc>
      </w:tr>
      <w:tr w:rsidR="00D06409" w:rsidRPr="00D06409" w14:paraId="4B5CF4BC" w14:textId="77777777" w:rsidTr="00D06409">
        <w:trPr>
          <w:trHeight w:val="259"/>
        </w:trPr>
        <w:tc>
          <w:tcPr>
            <w:tcW w:w="584" w:type="dxa"/>
            <w:tcBorders>
              <w:top w:val="nil"/>
              <w:left w:val="nil"/>
              <w:bottom w:val="nil"/>
              <w:right w:val="nil"/>
            </w:tcBorders>
            <w:shd w:val="clear" w:color="auto" w:fill="auto"/>
            <w:noWrap/>
            <w:vAlign w:val="bottom"/>
            <w:hideMark/>
          </w:tcPr>
          <w:p w14:paraId="3B87915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nil"/>
              <w:right w:val="nil"/>
            </w:tcBorders>
            <w:shd w:val="clear" w:color="auto" w:fill="auto"/>
            <w:noWrap/>
            <w:vAlign w:val="bottom"/>
            <w:hideMark/>
          </w:tcPr>
          <w:p w14:paraId="5AE0B843"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A09B881"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1F828B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083EFE6D"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73B35E6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33AA310"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3B8E7574"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33CB86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2B7B62BF"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3788019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7B2E821"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580431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449B4C3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14C86314"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668DC277"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76A4504"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2E698F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13875F3A"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r>
      <w:tr w:rsidR="00D06409" w:rsidRPr="00D06409" w14:paraId="107729A1" w14:textId="77777777" w:rsidTr="00D06409">
        <w:trPr>
          <w:trHeight w:val="259"/>
        </w:trPr>
        <w:tc>
          <w:tcPr>
            <w:tcW w:w="584" w:type="dxa"/>
            <w:tcBorders>
              <w:top w:val="nil"/>
              <w:left w:val="nil"/>
              <w:bottom w:val="nil"/>
              <w:right w:val="nil"/>
            </w:tcBorders>
            <w:shd w:val="clear" w:color="auto" w:fill="auto"/>
            <w:noWrap/>
            <w:vAlign w:val="bottom"/>
            <w:hideMark/>
          </w:tcPr>
          <w:p w14:paraId="4825A0C5"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695828D"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0BE4506"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E6ABCEF"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0FDF2127"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7E078040"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0D0021A"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6ED53D2"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19B577D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61C3E652"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3367C8DB"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F915712"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5C61B63"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4C159A9A"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73D8E6AD"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631667CB"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D98B4C7"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65C34ED"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A671AA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r>
      <w:tr w:rsidR="00D06409" w:rsidRPr="00D06409" w14:paraId="5FD5F4E6" w14:textId="77777777" w:rsidTr="00D06409">
        <w:trPr>
          <w:trHeight w:val="259"/>
        </w:trPr>
        <w:tc>
          <w:tcPr>
            <w:tcW w:w="584" w:type="dxa"/>
            <w:tcBorders>
              <w:top w:val="nil"/>
              <w:left w:val="nil"/>
              <w:bottom w:val="nil"/>
              <w:right w:val="nil"/>
            </w:tcBorders>
            <w:shd w:val="clear" w:color="auto" w:fill="auto"/>
            <w:noWrap/>
            <w:vAlign w:val="bottom"/>
            <w:hideMark/>
          </w:tcPr>
          <w:p w14:paraId="4684C39B"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6E50DB0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c>
          <w:tcPr>
            <w:tcW w:w="241" w:type="dxa"/>
            <w:tcBorders>
              <w:top w:val="nil"/>
              <w:left w:val="nil"/>
              <w:bottom w:val="nil"/>
              <w:right w:val="nil"/>
            </w:tcBorders>
            <w:shd w:val="clear" w:color="auto" w:fill="auto"/>
            <w:noWrap/>
            <w:vAlign w:val="bottom"/>
            <w:hideMark/>
          </w:tcPr>
          <w:p w14:paraId="2EEFDE4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32F4D4B"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08B5079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c>
          <w:tcPr>
            <w:tcW w:w="241" w:type="dxa"/>
            <w:tcBorders>
              <w:top w:val="nil"/>
              <w:left w:val="nil"/>
              <w:bottom w:val="nil"/>
              <w:right w:val="nil"/>
            </w:tcBorders>
            <w:shd w:val="clear" w:color="auto" w:fill="auto"/>
            <w:noWrap/>
            <w:vAlign w:val="bottom"/>
            <w:hideMark/>
          </w:tcPr>
          <w:p w14:paraId="23F21C4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A33AE81"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4BBA551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c>
          <w:tcPr>
            <w:tcW w:w="241" w:type="dxa"/>
            <w:tcBorders>
              <w:top w:val="nil"/>
              <w:left w:val="nil"/>
              <w:bottom w:val="nil"/>
              <w:right w:val="nil"/>
            </w:tcBorders>
            <w:shd w:val="clear" w:color="auto" w:fill="auto"/>
            <w:noWrap/>
            <w:vAlign w:val="bottom"/>
            <w:hideMark/>
          </w:tcPr>
          <w:p w14:paraId="466039F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49C78F1"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31D8A8F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r>
      <w:tr w:rsidR="00D06409" w:rsidRPr="00D06409" w14:paraId="5E2C0EEA" w14:textId="77777777" w:rsidTr="00D06409">
        <w:trPr>
          <w:trHeight w:val="259"/>
        </w:trPr>
        <w:tc>
          <w:tcPr>
            <w:tcW w:w="584" w:type="dxa"/>
            <w:tcBorders>
              <w:top w:val="nil"/>
              <w:left w:val="nil"/>
              <w:bottom w:val="nil"/>
              <w:right w:val="nil"/>
            </w:tcBorders>
            <w:shd w:val="clear" w:color="auto" w:fill="auto"/>
            <w:noWrap/>
            <w:vAlign w:val="bottom"/>
            <w:hideMark/>
          </w:tcPr>
          <w:p w14:paraId="2E21031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E8E8E8"/>
            <w:noWrap/>
            <w:vAlign w:val="bottom"/>
            <w:hideMark/>
          </w:tcPr>
          <w:p w14:paraId="4380FDB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-0.013</w:t>
            </w:r>
          </w:p>
        </w:tc>
        <w:tc>
          <w:tcPr>
            <w:tcW w:w="745" w:type="dxa"/>
            <w:tcBorders>
              <w:top w:val="nil"/>
              <w:left w:val="nil"/>
              <w:bottom w:val="nil"/>
              <w:right w:val="nil"/>
            </w:tcBorders>
            <w:shd w:val="clear" w:color="000000" w:fill="FFFFFF"/>
            <w:noWrap/>
            <w:vAlign w:val="bottom"/>
            <w:hideMark/>
          </w:tcPr>
          <w:p w14:paraId="46917C2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95" w:type="dxa"/>
            <w:tcBorders>
              <w:top w:val="nil"/>
              <w:left w:val="nil"/>
              <w:bottom w:val="nil"/>
              <w:right w:val="nil"/>
            </w:tcBorders>
            <w:shd w:val="clear" w:color="000000" w:fill="BFBFBF"/>
            <w:noWrap/>
            <w:vAlign w:val="bottom"/>
            <w:hideMark/>
          </w:tcPr>
          <w:p w14:paraId="565543A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-0.027</w:t>
            </w:r>
          </w:p>
        </w:tc>
        <w:tc>
          <w:tcPr>
            <w:tcW w:w="241" w:type="dxa"/>
            <w:tcBorders>
              <w:top w:val="nil"/>
              <w:left w:val="nil"/>
              <w:bottom w:val="nil"/>
              <w:right w:val="nil"/>
            </w:tcBorders>
            <w:shd w:val="clear" w:color="auto" w:fill="auto"/>
            <w:noWrap/>
            <w:vAlign w:val="bottom"/>
            <w:hideMark/>
          </w:tcPr>
          <w:p w14:paraId="20123DA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6D5236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FFFFF"/>
            <w:noWrap/>
            <w:vAlign w:val="bottom"/>
            <w:hideMark/>
          </w:tcPr>
          <w:p w14:paraId="69BB6B5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45" w:type="dxa"/>
            <w:tcBorders>
              <w:top w:val="nil"/>
              <w:left w:val="nil"/>
              <w:bottom w:val="nil"/>
              <w:right w:val="nil"/>
            </w:tcBorders>
            <w:shd w:val="clear" w:color="000000" w:fill="DADADA"/>
            <w:noWrap/>
            <w:vAlign w:val="bottom"/>
            <w:hideMark/>
          </w:tcPr>
          <w:p w14:paraId="5613169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-0.013</w:t>
            </w:r>
          </w:p>
        </w:tc>
        <w:tc>
          <w:tcPr>
            <w:tcW w:w="795" w:type="dxa"/>
            <w:tcBorders>
              <w:top w:val="nil"/>
              <w:left w:val="nil"/>
              <w:bottom w:val="nil"/>
              <w:right w:val="nil"/>
            </w:tcBorders>
            <w:shd w:val="clear" w:color="000000" w:fill="BFBFBF"/>
            <w:noWrap/>
            <w:vAlign w:val="bottom"/>
            <w:hideMark/>
          </w:tcPr>
          <w:p w14:paraId="355795F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-0.025</w:t>
            </w:r>
          </w:p>
        </w:tc>
        <w:tc>
          <w:tcPr>
            <w:tcW w:w="241" w:type="dxa"/>
            <w:tcBorders>
              <w:top w:val="nil"/>
              <w:left w:val="nil"/>
              <w:bottom w:val="nil"/>
              <w:right w:val="nil"/>
            </w:tcBorders>
            <w:shd w:val="clear" w:color="auto" w:fill="auto"/>
            <w:noWrap/>
            <w:vAlign w:val="bottom"/>
            <w:hideMark/>
          </w:tcPr>
          <w:p w14:paraId="7C2049F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DC3706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BFBFBF"/>
            <w:noWrap/>
            <w:vAlign w:val="bottom"/>
            <w:hideMark/>
          </w:tcPr>
          <w:p w14:paraId="4DBB5B0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-0.057</w:t>
            </w:r>
          </w:p>
        </w:tc>
        <w:tc>
          <w:tcPr>
            <w:tcW w:w="745" w:type="dxa"/>
            <w:tcBorders>
              <w:top w:val="nil"/>
              <w:left w:val="nil"/>
              <w:bottom w:val="nil"/>
              <w:right w:val="nil"/>
            </w:tcBorders>
            <w:shd w:val="clear" w:color="000000" w:fill="FFFFFF"/>
            <w:noWrap/>
            <w:vAlign w:val="bottom"/>
            <w:hideMark/>
          </w:tcPr>
          <w:p w14:paraId="279F3BD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-0.038</w:t>
            </w:r>
          </w:p>
        </w:tc>
        <w:tc>
          <w:tcPr>
            <w:tcW w:w="795" w:type="dxa"/>
            <w:tcBorders>
              <w:top w:val="nil"/>
              <w:left w:val="nil"/>
              <w:bottom w:val="nil"/>
              <w:right w:val="nil"/>
            </w:tcBorders>
            <w:shd w:val="clear" w:color="000000" w:fill="C1C1C1"/>
            <w:noWrap/>
            <w:vAlign w:val="bottom"/>
            <w:hideMark/>
          </w:tcPr>
          <w:p w14:paraId="22C8427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-0.056</w:t>
            </w:r>
          </w:p>
        </w:tc>
        <w:tc>
          <w:tcPr>
            <w:tcW w:w="241" w:type="dxa"/>
            <w:tcBorders>
              <w:top w:val="nil"/>
              <w:left w:val="nil"/>
              <w:bottom w:val="nil"/>
              <w:right w:val="nil"/>
            </w:tcBorders>
            <w:shd w:val="clear" w:color="auto" w:fill="auto"/>
            <w:noWrap/>
            <w:vAlign w:val="bottom"/>
            <w:hideMark/>
          </w:tcPr>
          <w:p w14:paraId="77AB6789"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5AFE078"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FFFFF"/>
            <w:noWrap/>
            <w:vAlign w:val="bottom"/>
            <w:hideMark/>
          </w:tcPr>
          <w:p w14:paraId="47430C1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0F0F0"/>
            <w:noWrap/>
            <w:vAlign w:val="bottom"/>
            <w:hideMark/>
          </w:tcPr>
          <w:p w14:paraId="7232FC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95" w:type="dxa"/>
            <w:tcBorders>
              <w:top w:val="nil"/>
              <w:left w:val="nil"/>
              <w:bottom w:val="nil"/>
              <w:right w:val="nil"/>
            </w:tcBorders>
            <w:shd w:val="clear" w:color="000000" w:fill="BFBFBF"/>
            <w:noWrap/>
            <w:vAlign w:val="bottom"/>
            <w:hideMark/>
          </w:tcPr>
          <w:p w14:paraId="290920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-0.028</w:t>
            </w:r>
          </w:p>
        </w:tc>
      </w:tr>
      <w:tr w:rsidR="00D06409" w:rsidRPr="00D06409" w14:paraId="0812A107" w14:textId="77777777" w:rsidTr="00D06409">
        <w:trPr>
          <w:trHeight w:val="259"/>
        </w:trPr>
        <w:tc>
          <w:tcPr>
            <w:tcW w:w="584" w:type="dxa"/>
            <w:tcBorders>
              <w:top w:val="nil"/>
              <w:left w:val="nil"/>
              <w:bottom w:val="nil"/>
              <w:right w:val="nil"/>
            </w:tcBorders>
            <w:shd w:val="clear" w:color="auto" w:fill="auto"/>
            <w:noWrap/>
            <w:vAlign w:val="bottom"/>
            <w:hideMark/>
          </w:tcPr>
          <w:p w14:paraId="5B45138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2F2F2"/>
            <w:noWrap/>
            <w:vAlign w:val="bottom"/>
            <w:hideMark/>
          </w:tcPr>
          <w:p w14:paraId="040A164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FFFFF"/>
            <w:noWrap/>
            <w:vAlign w:val="bottom"/>
            <w:hideMark/>
          </w:tcPr>
          <w:p w14:paraId="12066B0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1B44CA5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241" w:type="dxa"/>
            <w:tcBorders>
              <w:top w:val="nil"/>
              <w:left w:val="nil"/>
              <w:bottom w:val="nil"/>
              <w:right w:val="nil"/>
            </w:tcBorders>
            <w:shd w:val="clear" w:color="auto" w:fill="auto"/>
            <w:noWrap/>
            <w:vAlign w:val="bottom"/>
            <w:hideMark/>
          </w:tcPr>
          <w:p w14:paraId="3912C9B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0D22D9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1F1F1"/>
            <w:noWrap/>
            <w:vAlign w:val="bottom"/>
            <w:hideMark/>
          </w:tcPr>
          <w:p w14:paraId="3A2C53E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FFFFFF"/>
            <w:noWrap/>
            <w:vAlign w:val="bottom"/>
            <w:hideMark/>
          </w:tcPr>
          <w:p w14:paraId="519B680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51F3E88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241" w:type="dxa"/>
            <w:tcBorders>
              <w:top w:val="nil"/>
              <w:left w:val="nil"/>
              <w:bottom w:val="nil"/>
              <w:right w:val="nil"/>
            </w:tcBorders>
            <w:shd w:val="clear" w:color="auto" w:fill="auto"/>
            <w:noWrap/>
            <w:vAlign w:val="bottom"/>
            <w:hideMark/>
          </w:tcPr>
          <w:p w14:paraId="152D790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C88316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5FDAD5B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E7E7E7"/>
            <w:noWrap/>
            <w:vAlign w:val="bottom"/>
            <w:hideMark/>
          </w:tcPr>
          <w:p w14:paraId="69459CE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BFBFBF"/>
            <w:noWrap/>
            <w:vAlign w:val="bottom"/>
            <w:hideMark/>
          </w:tcPr>
          <w:p w14:paraId="2EA1387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-0.021</w:t>
            </w:r>
          </w:p>
        </w:tc>
        <w:tc>
          <w:tcPr>
            <w:tcW w:w="241" w:type="dxa"/>
            <w:tcBorders>
              <w:top w:val="nil"/>
              <w:left w:val="nil"/>
              <w:bottom w:val="nil"/>
              <w:right w:val="nil"/>
            </w:tcBorders>
            <w:shd w:val="clear" w:color="auto" w:fill="auto"/>
            <w:noWrap/>
            <w:vAlign w:val="bottom"/>
            <w:hideMark/>
          </w:tcPr>
          <w:p w14:paraId="79FEF77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568040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426EF66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DBDBDB"/>
            <w:noWrap/>
            <w:vAlign w:val="bottom"/>
            <w:hideMark/>
          </w:tcPr>
          <w:p w14:paraId="35F09FC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BFBFBF"/>
            <w:noWrap/>
            <w:vAlign w:val="bottom"/>
            <w:hideMark/>
          </w:tcPr>
          <w:p w14:paraId="6B2F13A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r>
      <w:tr w:rsidR="00D06409" w:rsidRPr="00D06409" w14:paraId="4D373C3A" w14:textId="77777777" w:rsidTr="00D06409">
        <w:trPr>
          <w:trHeight w:val="259"/>
        </w:trPr>
        <w:tc>
          <w:tcPr>
            <w:tcW w:w="584" w:type="dxa"/>
            <w:tcBorders>
              <w:top w:val="nil"/>
              <w:left w:val="nil"/>
              <w:bottom w:val="nil"/>
              <w:right w:val="nil"/>
            </w:tcBorders>
            <w:shd w:val="clear" w:color="auto" w:fill="auto"/>
            <w:noWrap/>
            <w:vAlign w:val="bottom"/>
            <w:hideMark/>
          </w:tcPr>
          <w:p w14:paraId="4DB8409D"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EBEBEB"/>
            <w:noWrap/>
            <w:vAlign w:val="bottom"/>
            <w:hideMark/>
          </w:tcPr>
          <w:p w14:paraId="3093B44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45" w:type="dxa"/>
            <w:tcBorders>
              <w:top w:val="nil"/>
              <w:left w:val="nil"/>
              <w:bottom w:val="nil"/>
              <w:right w:val="nil"/>
            </w:tcBorders>
            <w:shd w:val="clear" w:color="000000" w:fill="FFFFFF"/>
            <w:noWrap/>
            <w:vAlign w:val="bottom"/>
            <w:hideMark/>
          </w:tcPr>
          <w:p w14:paraId="2D78018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6FE05E6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-0.025</w:t>
            </w:r>
          </w:p>
        </w:tc>
        <w:tc>
          <w:tcPr>
            <w:tcW w:w="241" w:type="dxa"/>
            <w:tcBorders>
              <w:top w:val="nil"/>
              <w:left w:val="nil"/>
              <w:bottom w:val="nil"/>
              <w:right w:val="nil"/>
            </w:tcBorders>
            <w:shd w:val="clear" w:color="auto" w:fill="auto"/>
            <w:noWrap/>
            <w:vAlign w:val="bottom"/>
            <w:hideMark/>
          </w:tcPr>
          <w:p w14:paraId="0D93847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F4EAA3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DFDFDF"/>
            <w:noWrap/>
            <w:vAlign w:val="bottom"/>
            <w:hideMark/>
          </w:tcPr>
          <w:p w14:paraId="37E4F50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45" w:type="dxa"/>
            <w:tcBorders>
              <w:top w:val="nil"/>
              <w:left w:val="nil"/>
              <w:bottom w:val="nil"/>
              <w:right w:val="nil"/>
            </w:tcBorders>
            <w:shd w:val="clear" w:color="000000" w:fill="FFFFFF"/>
            <w:noWrap/>
            <w:vAlign w:val="bottom"/>
            <w:hideMark/>
          </w:tcPr>
          <w:p w14:paraId="6598902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95" w:type="dxa"/>
            <w:tcBorders>
              <w:top w:val="nil"/>
              <w:left w:val="nil"/>
              <w:bottom w:val="nil"/>
              <w:right w:val="nil"/>
            </w:tcBorders>
            <w:shd w:val="clear" w:color="000000" w:fill="BFBFBF"/>
            <w:noWrap/>
            <w:vAlign w:val="bottom"/>
            <w:hideMark/>
          </w:tcPr>
          <w:p w14:paraId="28DF82C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-0.023</w:t>
            </w:r>
          </w:p>
        </w:tc>
        <w:tc>
          <w:tcPr>
            <w:tcW w:w="241" w:type="dxa"/>
            <w:tcBorders>
              <w:top w:val="nil"/>
              <w:left w:val="nil"/>
              <w:bottom w:val="nil"/>
              <w:right w:val="nil"/>
            </w:tcBorders>
            <w:shd w:val="clear" w:color="auto" w:fill="auto"/>
            <w:noWrap/>
            <w:vAlign w:val="bottom"/>
            <w:hideMark/>
          </w:tcPr>
          <w:p w14:paraId="21AA1A17"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5B7A47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4F4F4"/>
            <w:noWrap/>
            <w:vAlign w:val="bottom"/>
            <w:hideMark/>
          </w:tcPr>
          <w:p w14:paraId="412E623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FFFFF"/>
            <w:noWrap/>
            <w:vAlign w:val="bottom"/>
            <w:hideMark/>
          </w:tcPr>
          <w:p w14:paraId="2B79EBA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95" w:type="dxa"/>
            <w:tcBorders>
              <w:top w:val="nil"/>
              <w:left w:val="nil"/>
              <w:bottom w:val="nil"/>
              <w:right w:val="nil"/>
            </w:tcBorders>
            <w:shd w:val="clear" w:color="000000" w:fill="BFBFBF"/>
            <w:noWrap/>
            <w:vAlign w:val="bottom"/>
            <w:hideMark/>
          </w:tcPr>
          <w:p w14:paraId="7F518D0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-0.047</w:t>
            </w:r>
          </w:p>
        </w:tc>
        <w:tc>
          <w:tcPr>
            <w:tcW w:w="241" w:type="dxa"/>
            <w:tcBorders>
              <w:top w:val="nil"/>
              <w:left w:val="nil"/>
              <w:bottom w:val="nil"/>
              <w:right w:val="nil"/>
            </w:tcBorders>
            <w:shd w:val="clear" w:color="auto" w:fill="auto"/>
            <w:noWrap/>
            <w:vAlign w:val="bottom"/>
            <w:hideMark/>
          </w:tcPr>
          <w:p w14:paraId="769C23F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F1C1C6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FFFFF"/>
            <w:noWrap/>
            <w:vAlign w:val="bottom"/>
            <w:hideMark/>
          </w:tcPr>
          <w:p w14:paraId="5479C6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E9E9E9"/>
            <w:noWrap/>
            <w:vAlign w:val="bottom"/>
            <w:hideMark/>
          </w:tcPr>
          <w:p w14:paraId="5EB664C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95" w:type="dxa"/>
            <w:tcBorders>
              <w:top w:val="nil"/>
              <w:left w:val="nil"/>
              <w:bottom w:val="nil"/>
              <w:right w:val="nil"/>
            </w:tcBorders>
            <w:shd w:val="clear" w:color="000000" w:fill="BFBFBF"/>
            <w:noWrap/>
            <w:vAlign w:val="bottom"/>
            <w:hideMark/>
          </w:tcPr>
          <w:p w14:paraId="1644171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-0.041</w:t>
            </w:r>
          </w:p>
        </w:tc>
      </w:tr>
      <w:tr w:rsidR="00D06409" w:rsidRPr="00D06409" w14:paraId="1C3BB02A" w14:textId="77777777" w:rsidTr="00D06409">
        <w:trPr>
          <w:trHeight w:val="259"/>
        </w:trPr>
        <w:tc>
          <w:tcPr>
            <w:tcW w:w="584" w:type="dxa"/>
            <w:tcBorders>
              <w:top w:val="nil"/>
              <w:left w:val="nil"/>
              <w:bottom w:val="nil"/>
              <w:right w:val="nil"/>
            </w:tcBorders>
            <w:shd w:val="clear" w:color="auto" w:fill="auto"/>
            <w:noWrap/>
            <w:vAlign w:val="bottom"/>
            <w:hideMark/>
          </w:tcPr>
          <w:p w14:paraId="5B0E599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CDCDCD"/>
            <w:noWrap/>
            <w:vAlign w:val="bottom"/>
            <w:hideMark/>
          </w:tcPr>
          <w:p w14:paraId="509075A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45" w:type="dxa"/>
            <w:tcBorders>
              <w:top w:val="nil"/>
              <w:left w:val="nil"/>
              <w:bottom w:val="nil"/>
              <w:right w:val="nil"/>
            </w:tcBorders>
            <w:shd w:val="clear" w:color="000000" w:fill="FFFFFF"/>
            <w:noWrap/>
            <w:vAlign w:val="bottom"/>
            <w:hideMark/>
          </w:tcPr>
          <w:p w14:paraId="50FEB2E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0.019</w:t>
            </w:r>
          </w:p>
        </w:tc>
        <w:tc>
          <w:tcPr>
            <w:tcW w:w="795" w:type="dxa"/>
            <w:tcBorders>
              <w:top w:val="nil"/>
              <w:left w:val="nil"/>
              <w:bottom w:val="nil"/>
              <w:right w:val="nil"/>
            </w:tcBorders>
            <w:shd w:val="clear" w:color="000000" w:fill="BFBFBF"/>
            <w:noWrap/>
            <w:vAlign w:val="bottom"/>
            <w:hideMark/>
          </w:tcPr>
          <w:p w14:paraId="56213D7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241" w:type="dxa"/>
            <w:tcBorders>
              <w:top w:val="nil"/>
              <w:left w:val="nil"/>
              <w:bottom w:val="nil"/>
              <w:right w:val="nil"/>
            </w:tcBorders>
            <w:shd w:val="clear" w:color="auto" w:fill="auto"/>
            <w:noWrap/>
            <w:vAlign w:val="bottom"/>
            <w:hideMark/>
          </w:tcPr>
          <w:p w14:paraId="543F4B3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B34EF59"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D2D2D2"/>
            <w:noWrap/>
            <w:vAlign w:val="bottom"/>
            <w:hideMark/>
          </w:tcPr>
          <w:p w14:paraId="58CEDA8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45" w:type="dxa"/>
            <w:tcBorders>
              <w:top w:val="nil"/>
              <w:left w:val="nil"/>
              <w:bottom w:val="nil"/>
              <w:right w:val="nil"/>
            </w:tcBorders>
            <w:shd w:val="clear" w:color="000000" w:fill="FFFFFF"/>
            <w:noWrap/>
            <w:vAlign w:val="bottom"/>
            <w:hideMark/>
          </w:tcPr>
          <w:p w14:paraId="12A386C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0.021</w:t>
            </w:r>
          </w:p>
        </w:tc>
        <w:tc>
          <w:tcPr>
            <w:tcW w:w="795" w:type="dxa"/>
            <w:tcBorders>
              <w:top w:val="nil"/>
              <w:left w:val="nil"/>
              <w:bottom w:val="nil"/>
              <w:right w:val="nil"/>
            </w:tcBorders>
            <w:shd w:val="clear" w:color="000000" w:fill="BFBFBF"/>
            <w:noWrap/>
            <w:vAlign w:val="bottom"/>
            <w:hideMark/>
          </w:tcPr>
          <w:p w14:paraId="267555A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-0.024</w:t>
            </w:r>
          </w:p>
        </w:tc>
        <w:tc>
          <w:tcPr>
            <w:tcW w:w="241" w:type="dxa"/>
            <w:tcBorders>
              <w:top w:val="nil"/>
              <w:left w:val="nil"/>
              <w:bottom w:val="nil"/>
              <w:right w:val="nil"/>
            </w:tcBorders>
            <w:shd w:val="clear" w:color="auto" w:fill="auto"/>
            <w:noWrap/>
            <w:vAlign w:val="bottom"/>
            <w:hideMark/>
          </w:tcPr>
          <w:p w14:paraId="7E64DD8E"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E949F9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FFFFFF"/>
            <w:noWrap/>
            <w:vAlign w:val="bottom"/>
            <w:hideMark/>
          </w:tcPr>
          <w:p w14:paraId="26BC8D8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45" w:type="dxa"/>
            <w:tcBorders>
              <w:top w:val="nil"/>
              <w:left w:val="nil"/>
              <w:bottom w:val="nil"/>
              <w:right w:val="nil"/>
            </w:tcBorders>
            <w:shd w:val="clear" w:color="000000" w:fill="F8F8F8"/>
            <w:noWrap/>
            <w:vAlign w:val="bottom"/>
            <w:hideMark/>
          </w:tcPr>
          <w:p w14:paraId="2A8E23C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-0.027</w:t>
            </w:r>
          </w:p>
        </w:tc>
        <w:tc>
          <w:tcPr>
            <w:tcW w:w="795" w:type="dxa"/>
            <w:tcBorders>
              <w:top w:val="nil"/>
              <w:left w:val="nil"/>
              <w:bottom w:val="nil"/>
              <w:right w:val="nil"/>
            </w:tcBorders>
            <w:shd w:val="clear" w:color="000000" w:fill="BFBFBF"/>
            <w:noWrap/>
            <w:vAlign w:val="bottom"/>
            <w:hideMark/>
          </w:tcPr>
          <w:p w14:paraId="29FF317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-0.129</w:t>
            </w:r>
          </w:p>
        </w:tc>
        <w:tc>
          <w:tcPr>
            <w:tcW w:w="241" w:type="dxa"/>
            <w:tcBorders>
              <w:top w:val="nil"/>
              <w:left w:val="nil"/>
              <w:bottom w:val="nil"/>
              <w:right w:val="nil"/>
            </w:tcBorders>
            <w:shd w:val="clear" w:color="auto" w:fill="auto"/>
            <w:noWrap/>
            <w:vAlign w:val="bottom"/>
            <w:hideMark/>
          </w:tcPr>
          <w:p w14:paraId="3E1916C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38B3F0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FFFFFF"/>
            <w:noWrap/>
            <w:vAlign w:val="bottom"/>
            <w:hideMark/>
          </w:tcPr>
          <w:p w14:paraId="6FFF04D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BFBFBF"/>
            <w:noWrap/>
            <w:vAlign w:val="bottom"/>
            <w:hideMark/>
          </w:tcPr>
          <w:p w14:paraId="256925D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95" w:type="dxa"/>
            <w:tcBorders>
              <w:top w:val="nil"/>
              <w:left w:val="nil"/>
              <w:bottom w:val="nil"/>
              <w:right w:val="nil"/>
            </w:tcBorders>
            <w:shd w:val="clear" w:color="000000" w:fill="CDCDCD"/>
            <w:noWrap/>
            <w:vAlign w:val="bottom"/>
            <w:hideMark/>
          </w:tcPr>
          <w:p w14:paraId="4DDC6C8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-0.005</w:t>
            </w:r>
          </w:p>
        </w:tc>
      </w:tr>
      <w:tr w:rsidR="00D06409" w:rsidRPr="00D06409" w14:paraId="086637C3" w14:textId="77777777" w:rsidTr="00D06409">
        <w:trPr>
          <w:trHeight w:val="259"/>
        </w:trPr>
        <w:tc>
          <w:tcPr>
            <w:tcW w:w="584" w:type="dxa"/>
            <w:tcBorders>
              <w:top w:val="nil"/>
              <w:left w:val="nil"/>
              <w:bottom w:val="nil"/>
              <w:right w:val="nil"/>
            </w:tcBorders>
            <w:shd w:val="clear" w:color="auto" w:fill="auto"/>
            <w:noWrap/>
            <w:vAlign w:val="bottom"/>
            <w:hideMark/>
          </w:tcPr>
          <w:p w14:paraId="38E1F52E"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D2D2D2"/>
            <w:noWrap/>
            <w:vAlign w:val="bottom"/>
            <w:hideMark/>
          </w:tcPr>
          <w:p w14:paraId="4F87A8D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-0.051</w:t>
            </w:r>
          </w:p>
        </w:tc>
        <w:tc>
          <w:tcPr>
            <w:tcW w:w="745" w:type="dxa"/>
            <w:tcBorders>
              <w:top w:val="nil"/>
              <w:left w:val="nil"/>
              <w:bottom w:val="nil"/>
              <w:right w:val="nil"/>
            </w:tcBorders>
            <w:shd w:val="clear" w:color="000000" w:fill="FFFFFF"/>
            <w:noWrap/>
            <w:vAlign w:val="bottom"/>
            <w:hideMark/>
          </w:tcPr>
          <w:p w14:paraId="22655D1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0.053</w:t>
            </w:r>
          </w:p>
        </w:tc>
        <w:tc>
          <w:tcPr>
            <w:tcW w:w="795" w:type="dxa"/>
            <w:tcBorders>
              <w:top w:val="nil"/>
              <w:left w:val="nil"/>
              <w:bottom w:val="nil"/>
              <w:right w:val="nil"/>
            </w:tcBorders>
            <w:shd w:val="clear" w:color="000000" w:fill="BFBFBF"/>
            <w:noWrap/>
            <w:vAlign w:val="bottom"/>
            <w:hideMark/>
          </w:tcPr>
          <w:p w14:paraId="25B0B6B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-0.097</w:t>
            </w:r>
          </w:p>
        </w:tc>
        <w:tc>
          <w:tcPr>
            <w:tcW w:w="241" w:type="dxa"/>
            <w:tcBorders>
              <w:top w:val="nil"/>
              <w:left w:val="nil"/>
              <w:bottom w:val="nil"/>
              <w:right w:val="nil"/>
            </w:tcBorders>
            <w:shd w:val="clear" w:color="auto" w:fill="auto"/>
            <w:noWrap/>
            <w:vAlign w:val="bottom"/>
            <w:hideMark/>
          </w:tcPr>
          <w:p w14:paraId="075E33EB"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3FA830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2F2F2"/>
            <w:noWrap/>
            <w:vAlign w:val="bottom"/>
            <w:hideMark/>
          </w:tcPr>
          <w:p w14:paraId="7C80A5E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-0.060</w:t>
            </w:r>
          </w:p>
        </w:tc>
        <w:tc>
          <w:tcPr>
            <w:tcW w:w="745" w:type="dxa"/>
            <w:tcBorders>
              <w:top w:val="nil"/>
              <w:left w:val="nil"/>
              <w:bottom w:val="nil"/>
              <w:right w:val="nil"/>
            </w:tcBorders>
            <w:shd w:val="clear" w:color="000000" w:fill="FFFFFF"/>
            <w:noWrap/>
            <w:vAlign w:val="bottom"/>
            <w:hideMark/>
          </w:tcPr>
          <w:p w14:paraId="6E68DE3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-0.033</w:t>
            </w:r>
          </w:p>
        </w:tc>
        <w:tc>
          <w:tcPr>
            <w:tcW w:w="795" w:type="dxa"/>
            <w:tcBorders>
              <w:top w:val="nil"/>
              <w:left w:val="nil"/>
              <w:bottom w:val="nil"/>
              <w:right w:val="nil"/>
            </w:tcBorders>
            <w:shd w:val="clear" w:color="000000" w:fill="BFBFBF"/>
            <w:noWrap/>
            <w:vAlign w:val="bottom"/>
            <w:hideMark/>
          </w:tcPr>
          <w:p w14:paraId="4821BB6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-0.171</w:t>
            </w:r>
          </w:p>
        </w:tc>
        <w:tc>
          <w:tcPr>
            <w:tcW w:w="241" w:type="dxa"/>
            <w:tcBorders>
              <w:top w:val="nil"/>
              <w:left w:val="nil"/>
              <w:bottom w:val="nil"/>
              <w:right w:val="nil"/>
            </w:tcBorders>
            <w:shd w:val="clear" w:color="auto" w:fill="auto"/>
            <w:noWrap/>
            <w:vAlign w:val="bottom"/>
            <w:hideMark/>
          </w:tcPr>
          <w:p w14:paraId="511FF72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25A442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EFEFEF"/>
            <w:noWrap/>
            <w:vAlign w:val="bottom"/>
            <w:hideMark/>
          </w:tcPr>
          <w:p w14:paraId="6BF4641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-0.066</w:t>
            </w:r>
          </w:p>
        </w:tc>
        <w:tc>
          <w:tcPr>
            <w:tcW w:w="745" w:type="dxa"/>
            <w:tcBorders>
              <w:top w:val="nil"/>
              <w:left w:val="nil"/>
              <w:bottom w:val="nil"/>
              <w:right w:val="nil"/>
            </w:tcBorders>
            <w:shd w:val="clear" w:color="000000" w:fill="FFFFFF"/>
            <w:noWrap/>
            <w:vAlign w:val="bottom"/>
            <w:hideMark/>
          </w:tcPr>
          <w:p w14:paraId="19B1298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-0.016</w:t>
            </w:r>
          </w:p>
        </w:tc>
        <w:tc>
          <w:tcPr>
            <w:tcW w:w="795" w:type="dxa"/>
            <w:tcBorders>
              <w:top w:val="nil"/>
              <w:left w:val="nil"/>
              <w:bottom w:val="nil"/>
              <w:right w:val="nil"/>
            </w:tcBorders>
            <w:shd w:val="clear" w:color="000000" w:fill="BFBFBF"/>
            <w:noWrap/>
            <w:vAlign w:val="bottom"/>
            <w:hideMark/>
          </w:tcPr>
          <w:p w14:paraId="3C9362C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-0.227</w:t>
            </w:r>
          </w:p>
        </w:tc>
        <w:tc>
          <w:tcPr>
            <w:tcW w:w="241" w:type="dxa"/>
            <w:tcBorders>
              <w:top w:val="nil"/>
              <w:left w:val="nil"/>
              <w:bottom w:val="nil"/>
              <w:right w:val="nil"/>
            </w:tcBorders>
            <w:shd w:val="clear" w:color="auto" w:fill="auto"/>
            <w:noWrap/>
            <w:vAlign w:val="bottom"/>
            <w:hideMark/>
          </w:tcPr>
          <w:p w14:paraId="7D416FB7"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267B03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7F7F7"/>
            <w:noWrap/>
            <w:vAlign w:val="bottom"/>
            <w:hideMark/>
          </w:tcPr>
          <w:p w14:paraId="6EE148F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-0.043</w:t>
            </w:r>
          </w:p>
        </w:tc>
        <w:tc>
          <w:tcPr>
            <w:tcW w:w="745" w:type="dxa"/>
            <w:tcBorders>
              <w:top w:val="nil"/>
              <w:left w:val="nil"/>
              <w:bottom w:val="nil"/>
              <w:right w:val="nil"/>
            </w:tcBorders>
            <w:shd w:val="clear" w:color="000000" w:fill="FFFFFF"/>
            <w:noWrap/>
            <w:vAlign w:val="bottom"/>
            <w:hideMark/>
          </w:tcPr>
          <w:p w14:paraId="53B8EAA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-0.032</w:t>
            </w:r>
          </w:p>
        </w:tc>
        <w:tc>
          <w:tcPr>
            <w:tcW w:w="795" w:type="dxa"/>
            <w:tcBorders>
              <w:top w:val="nil"/>
              <w:left w:val="nil"/>
              <w:bottom w:val="nil"/>
              <w:right w:val="nil"/>
            </w:tcBorders>
            <w:shd w:val="clear" w:color="000000" w:fill="BFBFBF"/>
            <w:noWrap/>
            <w:vAlign w:val="bottom"/>
            <w:hideMark/>
          </w:tcPr>
          <w:p w14:paraId="780F922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-0.122</w:t>
            </w:r>
          </w:p>
        </w:tc>
      </w:tr>
      <w:tr w:rsidR="00D06409" w:rsidRPr="00D06409" w14:paraId="21050D13" w14:textId="77777777" w:rsidTr="00D06409">
        <w:trPr>
          <w:trHeight w:val="259"/>
        </w:trPr>
        <w:tc>
          <w:tcPr>
            <w:tcW w:w="584" w:type="dxa"/>
            <w:tcBorders>
              <w:top w:val="nil"/>
              <w:left w:val="nil"/>
              <w:bottom w:val="nil"/>
              <w:right w:val="nil"/>
            </w:tcBorders>
            <w:shd w:val="clear" w:color="auto" w:fill="auto"/>
            <w:noWrap/>
            <w:vAlign w:val="bottom"/>
            <w:hideMark/>
          </w:tcPr>
          <w:p w14:paraId="5475EEC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4B57532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45" w:type="dxa"/>
            <w:tcBorders>
              <w:top w:val="nil"/>
              <w:left w:val="nil"/>
              <w:bottom w:val="nil"/>
              <w:right w:val="nil"/>
            </w:tcBorders>
            <w:shd w:val="clear" w:color="000000" w:fill="DDDDDD"/>
            <w:noWrap/>
            <w:vAlign w:val="bottom"/>
            <w:hideMark/>
          </w:tcPr>
          <w:p w14:paraId="701E558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-0.067</w:t>
            </w:r>
          </w:p>
        </w:tc>
        <w:tc>
          <w:tcPr>
            <w:tcW w:w="795" w:type="dxa"/>
            <w:tcBorders>
              <w:top w:val="nil"/>
              <w:left w:val="nil"/>
              <w:bottom w:val="nil"/>
              <w:right w:val="nil"/>
            </w:tcBorders>
            <w:shd w:val="clear" w:color="000000" w:fill="BFBFBF"/>
            <w:noWrap/>
            <w:vAlign w:val="bottom"/>
            <w:hideMark/>
          </w:tcPr>
          <w:p w14:paraId="56C45C7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-0.128</w:t>
            </w:r>
          </w:p>
        </w:tc>
        <w:tc>
          <w:tcPr>
            <w:tcW w:w="241" w:type="dxa"/>
            <w:tcBorders>
              <w:top w:val="nil"/>
              <w:left w:val="nil"/>
              <w:bottom w:val="nil"/>
              <w:right w:val="nil"/>
            </w:tcBorders>
            <w:shd w:val="clear" w:color="auto" w:fill="auto"/>
            <w:noWrap/>
            <w:vAlign w:val="bottom"/>
            <w:hideMark/>
          </w:tcPr>
          <w:p w14:paraId="461BDFBA"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662B9A3"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04787E9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0.200</w:t>
            </w:r>
          </w:p>
        </w:tc>
        <w:tc>
          <w:tcPr>
            <w:tcW w:w="745" w:type="dxa"/>
            <w:tcBorders>
              <w:top w:val="nil"/>
              <w:left w:val="nil"/>
              <w:bottom w:val="nil"/>
              <w:right w:val="nil"/>
            </w:tcBorders>
            <w:shd w:val="clear" w:color="000000" w:fill="F7F7F7"/>
            <w:noWrap/>
            <w:vAlign w:val="bottom"/>
            <w:hideMark/>
          </w:tcPr>
          <w:p w14:paraId="1D9DB25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0.153</w:t>
            </w:r>
          </w:p>
        </w:tc>
        <w:tc>
          <w:tcPr>
            <w:tcW w:w="795" w:type="dxa"/>
            <w:tcBorders>
              <w:top w:val="nil"/>
              <w:left w:val="nil"/>
              <w:bottom w:val="nil"/>
              <w:right w:val="nil"/>
            </w:tcBorders>
            <w:shd w:val="clear" w:color="000000" w:fill="BFBFBF"/>
            <w:noWrap/>
            <w:vAlign w:val="bottom"/>
            <w:hideMark/>
          </w:tcPr>
          <w:p w14:paraId="45D05A2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-0.207</w:t>
            </w:r>
          </w:p>
        </w:tc>
        <w:tc>
          <w:tcPr>
            <w:tcW w:w="241" w:type="dxa"/>
            <w:tcBorders>
              <w:top w:val="nil"/>
              <w:left w:val="nil"/>
              <w:bottom w:val="nil"/>
              <w:right w:val="nil"/>
            </w:tcBorders>
            <w:shd w:val="clear" w:color="auto" w:fill="auto"/>
            <w:noWrap/>
            <w:vAlign w:val="bottom"/>
            <w:hideMark/>
          </w:tcPr>
          <w:p w14:paraId="651F3EC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AB7D2AC"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C2C2C2"/>
            <w:noWrap/>
            <w:vAlign w:val="bottom"/>
            <w:hideMark/>
          </w:tcPr>
          <w:p w14:paraId="7919F8C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-0.400</w:t>
            </w:r>
          </w:p>
        </w:tc>
        <w:tc>
          <w:tcPr>
            <w:tcW w:w="745" w:type="dxa"/>
            <w:tcBorders>
              <w:top w:val="nil"/>
              <w:left w:val="nil"/>
              <w:bottom w:val="nil"/>
              <w:right w:val="nil"/>
            </w:tcBorders>
            <w:shd w:val="clear" w:color="000000" w:fill="FFFFFF"/>
            <w:noWrap/>
            <w:vAlign w:val="bottom"/>
            <w:hideMark/>
          </w:tcPr>
          <w:p w14:paraId="746A0AD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-0.200</w:t>
            </w:r>
          </w:p>
        </w:tc>
        <w:tc>
          <w:tcPr>
            <w:tcW w:w="795" w:type="dxa"/>
            <w:tcBorders>
              <w:top w:val="nil"/>
              <w:left w:val="nil"/>
              <w:bottom w:val="nil"/>
              <w:right w:val="nil"/>
            </w:tcBorders>
            <w:shd w:val="clear" w:color="000000" w:fill="BFBFBF"/>
            <w:noWrap/>
            <w:vAlign w:val="bottom"/>
            <w:hideMark/>
          </w:tcPr>
          <w:p w14:paraId="232FA40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-0.412</w:t>
            </w:r>
          </w:p>
        </w:tc>
        <w:tc>
          <w:tcPr>
            <w:tcW w:w="241" w:type="dxa"/>
            <w:tcBorders>
              <w:top w:val="nil"/>
              <w:left w:val="nil"/>
              <w:bottom w:val="nil"/>
              <w:right w:val="nil"/>
            </w:tcBorders>
            <w:shd w:val="clear" w:color="auto" w:fill="auto"/>
            <w:noWrap/>
            <w:vAlign w:val="bottom"/>
            <w:hideMark/>
          </w:tcPr>
          <w:p w14:paraId="75B3FE4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52FA97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BFBFBF"/>
            <w:noWrap/>
            <w:vAlign w:val="bottom"/>
            <w:hideMark/>
          </w:tcPr>
          <w:p w14:paraId="6084030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-0.900</w:t>
            </w:r>
          </w:p>
        </w:tc>
        <w:tc>
          <w:tcPr>
            <w:tcW w:w="745" w:type="dxa"/>
            <w:tcBorders>
              <w:top w:val="nil"/>
              <w:left w:val="nil"/>
              <w:bottom w:val="nil"/>
              <w:right w:val="nil"/>
            </w:tcBorders>
            <w:shd w:val="clear" w:color="000000" w:fill="FEFEFE"/>
            <w:noWrap/>
            <w:vAlign w:val="bottom"/>
            <w:hideMark/>
          </w:tcPr>
          <w:p w14:paraId="43751F7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-0.183</w:t>
            </w:r>
          </w:p>
        </w:tc>
        <w:tc>
          <w:tcPr>
            <w:tcW w:w="795" w:type="dxa"/>
            <w:tcBorders>
              <w:top w:val="nil"/>
              <w:left w:val="nil"/>
              <w:bottom w:val="nil"/>
              <w:right w:val="nil"/>
            </w:tcBorders>
            <w:shd w:val="clear" w:color="000000" w:fill="FFFFFF"/>
            <w:noWrap/>
            <w:vAlign w:val="bottom"/>
            <w:hideMark/>
          </w:tcPr>
          <w:p w14:paraId="7F454F6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-0.182</w:t>
            </w:r>
          </w:p>
        </w:tc>
      </w:tr>
      <w:tr w:rsidR="00D06409" w:rsidRPr="00D06409" w14:paraId="3623974A" w14:textId="77777777" w:rsidTr="00D06409">
        <w:trPr>
          <w:trHeight w:val="259"/>
        </w:trPr>
        <w:tc>
          <w:tcPr>
            <w:tcW w:w="584" w:type="dxa"/>
            <w:tcBorders>
              <w:top w:val="nil"/>
              <w:left w:val="nil"/>
              <w:bottom w:val="nil"/>
              <w:right w:val="nil"/>
            </w:tcBorders>
            <w:shd w:val="clear" w:color="auto" w:fill="auto"/>
            <w:noWrap/>
            <w:vAlign w:val="bottom"/>
            <w:hideMark/>
          </w:tcPr>
          <w:p w14:paraId="59D34AC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nil"/>
              <w:right w:val="nil"/>
            </w:tcBorders>
            <w:shd w:val="clear" w:color="auto" w:fill="auto"/>
            <w:noWrap/>
            <w:vAlign w:val="bottom"/>
            <w:hideMark/>
          </w:tcPr>
          <w:p w14:paraId="19E8629A"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31B6B2A"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4DEAED1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48968C76"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52975412"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2812224"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F076C42"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5AD10E1F"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211795B4"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20D6D716"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D061F69"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EEFF6B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76D939E0"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068E2D55"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176DB92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76595AA"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3F2B7BF1"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023E9696"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r>
      <w:tr w:rsidR="00D06409" w:rsidRPr="00D06409" w14:paraId="7A09D5E4" w14:textId="77777777" w:rsidTr="00D06409">
        <w:trPr>
          <w:trHeight w:val="259"/>
        </w:trPr>
        <w:tc>
          <w:tcPr>
            <w:tcW w:w="584" w:type="dxa"/>
            <w:tcBorders>
              <w:top w:val="nil"/>
              <w:left w:val="nil"/>
              <w:bottom w:val="nil"/>
              <w:right w:val="nil"/>
            </w:tcBorders>
            <w:shd w:val="clear" w:color="auto" w:fill="auto"/>
            <w:noWrap/>
            <w:vAlign w:val="bottom"/>
            <w:hideMark/>
          </w:tcPr>
          <w:p w14:paraId="0E6FBE77"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6FEA97C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c>
          <w:tcPr>
            <w:tcW w:w="241" w:type="dxa"/>
            <w:tcBorders>
              <w:top w:val="nil"/>
              <w:left w:val="nil"/>
              <w:bottom w:val="nil"/>
              <w:right w:val="nil"/>
            </w:tcBorders>
            <w:shd w:val="clear" w:color="auto" w:fill="auto"/>
            <w:noWrap/>
            <w:vAlign w:val="bottom"/>
            <w:hideMark/>
          </w:tcPr>
          <w:p w14:paraId="15CD57C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1AD46D6"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6F83358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c>
          <w:tcPr>
            <w:tcW w:w="241" w:type="dxa"/>
            <w:tcBorders>
              <w:top w:val="nil"/>
              <w:left w:val="nil"/>
              <w:bottom w:val="nil"/>
              <w:right w:val="nil"/>
            </w:tcBorders>
            <w:shd w:val="clear" w:color="auto" w:fill="auto"/>
            <w:noWrap/>
            <w:vAlign w:val="bottom"/>
            <w:hideMark/>
          </w:tcPr>
          <w:p w14:paraId="17A9D90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9F70574"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44992A4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c>
          <w:tcPr>
            <w:tcW w:w="241" w:type="dxa"/>
            <w:tcBorders>
              <w:top w:val="nil"/>
              <w:left w:val="nil"/>
              <w:bottom w:val="nil"/>
              <w:right w:val="nil"/>
            </w:tcBorders>
            <w:shd w:val="clear" w:color="auto" w:fill="auto"/>
            <w:noWrap/>
            <w:vAlign w:val="bottom"/>
            <w:hideMark/>
          </w:tcPr>
          <w:p w14:paraId="42F7B84A"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465C833"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3FBE13C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r>
      <w:tr w:rsidR="00D06409" w:rsidRPr="00D06409" w14:paraId="64A5DFC5" w14:textId="77777777" w:rsidTr="00183B3E">
        <w:trPr>
          <w:trHeight w:val="259"/>
        </w:trPr>
        <w:tc>
          <w:tcPr>
            <w:tcW w:w="584" w:type="dxa"/>
            <w:tcBorders>
              <w:top w:val="nil"/>
              <w:left w:val="nil"/>
              <w:bottom w:val="single" w:sz="4" w:space="0" w:color="auto"/>
              <w:right w:val="nil"/>
            </w:tcBorders>
            <w:shd w:val="clear" w:color="auto" w:fill="auto"/>
            <w:noWrap/>
            <w:vAlign w:val="bottom"/>
            <w:hideMark/>
          </w:tcPr>
          <w:p w14:paraId="665F7DCB"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single" w:sz="4" w:space="0" w:color="auto"/>
              <w:right w:val="nil"/>
            </w:tcBorders>
            <w:shd w:val="clear" w:color="000000" w:fill="E9E9E9"/>
            <w:noWrap/>
            <w:vAlign w:val="bottom"/>
            <w:hideMark/>
          </w:tcPr>
          <w:p w14:paraId="7869B9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45" w:type="dxa"/>
            <w:tcBorders>
              <w:top w:val="nil"/>
              <w:left w:val="nil"/>
              <w:bottom w:val="single" w:sz="4" w:space="0" w:color="auto"/>
              <w:right w:val="nil"/>
            </w:tcBorders>
            <w:shd w:val="clear" w:color="000000" w:fill="FFFFFF"/>
            <w:noWrap/>
            <w:vAlign w:val="bottom"/>
            <w:hideMark/>
          </w:tcPr>
          <w:p w14:paraId="0AF3AFC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95" w:type="dxa"/>
            <w:tcBorders>
              <w:top w:val="nil"/>
              <w:left w:val="nil"/>
              <w:bottom w:val="single" w:sz="4" w:space="0" w:color="auto"/>
              <w:right w:val="nil"/>
            </w:tcBorders>
            <w:shd w:val="clear" w:color="000000" w:fill="BFBFBF"/>
            <w:noWrap/>
            <w:vAlign w:val="bottom"/>
            <w:hideMark/>
          </w:tcPr>
          <w:p w14:paraId="41AC1B1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-0.031</w:t>
            </w:r>
          </w:p>
        </w:tc>
        <w:tc>
          <w:tcPr>
            <w:tcW w:w="241" w:type="dxa"/>
            <w:tcBorders>
              <w:top w:val="nil"/>
              <w:left w:val="nil"/>
              <w:bottom w:val="single" w:sz="4" w:space="0" w:color="auto"/>
              <w:right w:val="nil"/>
            </w:tcBorders>
            <w:shd w:val="clear" w:color="auto" w:fill="auto"/>
            <w:noWrap/>
            <w:vAlign w:val="bottom"/>
            <w:hideMark/>
          </w:tcPr>
          <w:p w14:paraId="0299515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4ED1A78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000000" w:fill="EAEAEA"/>
            <w:noWrap/>
            <w:vAlign w:val="bottom"/>
            <w:hideMark/>
          </w:tcPr>
          <w:p w14:paraId="5C15DA9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45" w:type="dxa"/>
            <w:tcBorders>
              <w:top w:val="nil"/>
              <w:left w:val="nil"/>
              <w:bottom w:val="single" w:sz="4" w:space="0" w:color="auto"/>
              <w:right w:val="nil"/>
            </w:tcBorders>
            <w:shd w:val="clear" w:color="000000" w:fill="FFFFFF"/>
            <w:noWrap/>
            <w:vAlign w:val="bottom"/>
            <w:hideMark/>
          </w:tcPr>
          <w:p w14:paraId="4D6FA1D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95" w:type="dxa"/>
            <w:tcBorders>
              <w:top w:val="nil"/>
              <w:left w:val="nil"/>
              <w:bottom w:val="single" w:sz="4" w:space="0" w:color="auto"/>
              <w:right w:val="nil"/>
            </w:tcBorders>
            <w:shd w:val="clear" w:color="000000" w:fill="BFBFBF"/>
            <w:noWrap/>
            <w:vAlign w:val="bottom"/>
            <w:hideMark/>
          </w:tcPr>
          <w:p w14:paraId="4EA02D1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-0.030</w:t>
            </w:r>
          </w:p>
        </w:tc>
        <w:tc>
          <w:tcPr>
            <w:tcW w:w="241" w:type="dxa"/>
            <w:tcBorders>
              <w:top w:val="nil"/>
              <w:left w:val="nil"/>
              <w:bottom w:val="single" w:sz="4" w:space="0" w:color="auto"/>
              <w:right w:val="nil"/>
            </w:tcBorders>
            <w:shd w:val="clear" w:color="auto" w:fill="auto"/>
            <w:noWrap/>
            <w:vAlign w:val="bottom"/>
            <w:hideMark/>
          </w:tcPr>
          <w:p w14:paraId="71EE947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68C33DA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000000" w:fill="FFFFFF"/>
            <w:noWrap/>
            <w:vAlign w:val="bottom"/>
            <w:hideMark/>
          </w:tcPr>
          <w:p w14:paraId="2521ED9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45" w:type="dxa"/>
            <w:tcBorders>
              <w:top w:val="nil"/>
              <w:left w:val="nil"/>
              <w:bottom w:val="single" w:sz="4" w:space="0" w:color="auto"/>
              <w:right w:val="nil"/>
            </w:tcBorders>
            <w:shd w:val="clear" w:color="000000" w:fill="FBFBFB"/>
            <w:noWrap/>
            <w:vAlign w:val="bottom"/>
            <w:hideMark/>
          </w:tcPr>
          <w:p w14:paraId="21A4883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-0.016</w:t>
            </w:r>
          </w:p>
        </w:tc>
        <w:tc>
          <w:tcPr>
            <w:tcW w:w="795" w:type="dxa"/>
            <w:tcBorders>
              <w:top w:val="nil"/>
              <w:left w:val="nil"/>
              <w:bottom w:val="single" w:sz="4" w:space="0" w:color="auto"/>
              <w:right w:val="nil"/>
            </w:tcBorders>
            <w:shd w:val="clear" w:color="000000" w:fill="BFBFBF"/>
            <w:noWrap/>
            <w:vAlign w:val="bottom"/>
            <w:hideMark/>
          </w:tcPr>
          <w:p w14:paraId="400B192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-0.071</w:t>
            </w:r>
          </w:p>
        </w:tc>
        <w:tc>
          <w:tcPr>
            <w:tcW w:w="241" w:type="dxa"/>
            <w:tcBorders>
              <w:top w:val="nil"/>
              <w:left w:val="nil"/>
              <w:bottom w:val="single" w:sz="4" w:space="0" w:color="auto"/>
              <w:right w:val="nil"/>
            </w:tcBorders>
            <w:shd w:val="clear" w:color="auto" w:fill="auto"/>
            <w:noWrap/>
            <w:vAlign w:val="bottom"/>
            <w:hideMark/>
          </w:tcPr>
          <w:p w14:paraId="04CFA45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2CE13F0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000000" w:fill="FFFFFF"/>
            <w:noWrap/>
            <w:vAlign w:val="bottom"/>
            <w:hideMark/>
          </w:tcPr>
          <w:p w14:paraId="583CC99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single" w:sz="4" w:space="0" w:color="auto"/>
              <w:right w:val="nil"/>
            </w:tcBorders>
            <w:shd w:val="clear" w:color="000000" w:fill="E4E4E4"/>
            <w:noWrap/>
            <w:vAlign w:val="bottom"/>
            <w:hideMark/>
          </w:tcPr>
          <w:p w14:paraId="2F0D6C1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95" w:type="dxa"/>
            <w:tcBorders>
              <w:top w:val="nil"/>
              <w:left w:val="nil"/>
              <w:bottom w:val="single" w:sz="4" w:space="0" w:color="auto"/>
              <w:right w:val="nil"/>
            </w:tcBorders>
            <w:shd w:val="clear" w:color="000000" w:fill="BFBFBF"/>
            <w:noWrap/>
            <w:vAlign w:val="bottom"/>
            <w:hideMark/>
          </w:tcPr>
          <w:p w14:paraId="30F93CF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-0.036</w:t>
            </w:r>
          </w:p>
        </w:tc>
      </w:tr>
      <w:tr w:rsidR="00183B3E" w:rsidRPr="00D06409" w14:paraId="14C389B3" w14:textId="77777777" w:rsidTr="00183B3E">
        <w:trPr>
          <w:trHeight w:val="259"/>
        </w:trPr>
        <w:tc>
          <w:tcPr>
            <w:tcW w:w="12199" w:type="dxa"/>
            <w:gridSpan w:val="19"/>
            <w:tcBorders>
              <w:top w:val="single" w:sz="4" w:space="0" w:color="auto"/>
              <w:left w:val="nil"/>
              <w:bottom w:val="single" w:sz="4" w:space="0" w:color="auto"/>
              <w:right w:val="nil"/>
            </w:tcBorders>
            <w:shd w:val="clear" w:color="auto" w:fill="auto"/>
            <w:noWrap/>
            <w:vAlign w:val="bottom"/>
          </w:tcPr>
          <w:p w14:paraId="431EEEFF" w14:textId="63AE5EA9" w:rsidR="00183B3E" w:rsidRPr="00D06409" w:rsidRDefault="00183B3E" w:rsidP="00183B3E">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Cell values display means across five test sets.  </w:t>
            </w:r>
            <w:r w:rsidR="001763F2">
              <w:rPr>
                <w:rFonts w:ascii="Calibri" w:eastAsia="Times New Roman" w:hAnsi="Calibri" w:cs="Calibri"/>
                <w:sz w:val="20"/>
                <w:szCs w:val="20"/>
              </w:rPr>
              <w:t xml:space="preserve">Negative values indicate lower accuracy for test sets than for the full-sample model.  </w:t>
            </w:r>
            <w:r>
              <w:rPr>
                <w:rFonts w:ascii="Calibri" w:eastAsia="Times New Roman" w:hAnsi="Calibri" w:cs="Calibri"/>
                <w:sz w:val="20"/>
                <w:szCs w:val="20"/>
              </w:rPr>
              <w:t xml:space="preserve">Darker shades correspond to lower </w:t>
            </w:r>
            <w:r w:rsidR="001763F2">
              <w:rPr>
                <w:rFonts w:ascii="Calibri" w:eastAsia="Times New Roman" w:hAnsi="Calibri" w:cs="Calibri"/>
                <w:sz w:val="20"/>
                <w:szCs w:val="20"/>
              </w:rPr>
              <w:t>within-row values.</w:t>
            </w:r>
          </w:p>
        </w:tc>
      </w:tr>
    </w:tbl>
    <w:p w14:paraId="56FF1C52" w14:textId="77777777" w:rsidR="00BF3F53" w:rsidRPr="00BF3F53" w:rsidRDefault="00BF3F53" w:rsidP="00BF3F53"/>
    <w:sectPr w:rsidR="00BF3F53" w:rsidRPr="00BF3F53" w:rsidSect="003F4F8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C6A"/>
    <w:multiLevelType w:val="hybridMultilevel"/>
    <w:tmpl w:val="B54220B8"/>
    <w:lvl w:ilvl="0" w:tplc="C4486F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34449"/>
    <w:multiLevelType w:val="hybridMultilevel"/>
    <w:tmpl w:val="BEF0B826"/>
    <w:lvl w:ilvl="0" w:tplc="159698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B2CAA"/>
    <w:multiLevelType w:val="hybridMultilevel"/>
    <w:tmpl w:val="585E6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A0A95"/>
    <w:multiLevelType w:val="hybridMultilevel"/>
    <w:tmpl w:val="FF94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D7C69"/>
    <w:multiLevelType w:val="hybridMultilevel"/>
    <w:tmpl w:val="F0CE9BCA"/>
    <w:lvl w:ilvl="0" w:tplc="312E3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115C9"/>
    <w:multiLevelType w:val="hybridMultilevel"/>
    <w:tmpl w:val="CBE24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7AB2"/>
    <w:multiLevelType w:val="hybridMultilevel"/>
    <w:tmpl w:val="DA64CC8A"/>
    <w:lvl w:ilvl="0" w:tplc="CF7432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32F43"/>
    <w:multiLevelType w:val="hybridMultilevel"/>
    <w:tmpl w:val="FC8C432E"/>
    <w:lvl w:ilvl="0" w:tplc="73D08CE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91C56"/>
    <w:multiLevelType w:val="hybridMultilevel"/>
    <w:tmpl w:val="B1F24300"/>
    <w:lvl w:ilvl="0" w:tplc="91BEBA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03EDC"/>
    <w:multiLevelType w:val="hybridMultilevel"/>
    <w:tmpl w:val="BB809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0757A1"/>
    <w:multiLevelType w:val="hybridMultilevel"/>
    <w:tmpl w:val="8AE4ED70"/>
    <w:lvl w:ilvl="0" w:tplc="E604D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6D75"/>
    <w:multiLevelType w:val="hybridMultilevel"/>
    <w:tmpl w:val="20BE9816"/>
    <w:lvl w:ilvl="0" w:tplc="7D385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111AD"/>
    <w:multiLevelType w:val="hybridMultilevel"/>
    <w:tmpl w:val="9C64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61D97"/>
    <w:multiLevelType w:val="hybridMultilevel"/>
    <w:tmpl w:val="CCEC1994"/>
    <w:lvl w:ilvl="0" w:tplc="58CE31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A2D82"/>
    <w:multiLevelType w:val="hybridMultilevel"/>
    <w:tmpl w:val="FF5876E2"/>
    <w:lvl w:ilvl="0" w:tplc="566028DC">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10"/>
  </w:num>
  <w:num w:numId="6">
    <w:abstractNumId w:val="11"/>
  </w:num>
  <w:num w:numId="7">
    <w:abstractNumId w:val="13"/>
  </w:num>
  <w:num w:numId="8">
    <w:abstractNumId w:val="6"/>
  </w:num>
  <w:num w:numId="9">
    <w:abstractNumId w:val="4"/>
  </w:num>
  <w:num w:numId="10">
    <w:abstractNumId w:val="9"/>
  </w:num>
  <w:num w:numId="11">
    <w:abstractNumId w:val="5"/>
  </w:num>
  <w:num w:numId="12">
    <w:abstractNumId w:val="14"/>
  </w:num>
  <w:num w:numId="13">
    <w:abstractNumId w:val="12"/>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BD"/>
    <w:rsid w:val="00001942"/>
    <w:rsid w:val="000031EC"/>
    <w:rsid w:val="00017E45"/>
    <w:rsid w:val="000257A1"/>
    <w:rsid w:val="000305D0"/>
    <w:rsid w:val="00030C0F"/>
    <w:rsid w:val="00041CB7"/>
    <w:rsid w:val="0004227B"/>
    <w:rsid w:val="00044332"/>
    <w:rsid w:val="000549CC"/>
    <w:rsid w:val="00056907"/>
    <w:rsid w:val="000577E0"/>
    <w:rsid w:val="0006047B"/>
    <w:rsid w:val="0007669B"/>
    <w:rsid w:val="00082D2F"/>
    <w:rsid w:val="00087579"/>
    <w:rsid w:val="000900D4"/>
    <w:rsid w:val="000B0007"/>
    <w:rsid w:val="000D1A3E"/>
    <w:rsid w:val="000D692B"/>
    <w:rsid w:val="000E36B9"/>
    <w:rsid w:val="000E4787"/>
    <w:rsid w:val="000F1056"/>
    <w:rsid w:val="00101036"/>
    <w:rsid w:val="00114005"/>
    <w:rsid w:val="00115D7E"/>
    <w:rsid w:val="001209EB"/>
    <w:rsid w:val="001248AF"/>
    <w:rsid w:val="00144453"/>
    <w:rsid w:val="00144640"/>
    <w:rsid w:val="00156D3B"/>
    <w:rsid w:val="00165CD6"/>
    <w:rsid w:val="0017614D"/>
    <w:rsid w:val="001763F2"/>
    <w:rsid w:val="001807A8"/>
    <w:rsid w:val="001823E0"/>
    <w:rsid w:val="00183B3E"/>
    <w:rsid w:val="00190B1E"/>
    <w:rsid w:val="001B6315"/>
    <w:rsid w:val="001C7C28"/>
    <w:rsid w:val="001D13F5"/>
    <w:rsid w:val="001D3D7B"/>
    <w:rsid w:val="001D4B89"/>
    <w:rsid w:val="001E0D2B"/>
    <w:rsid w:val="001F2840"/>
    <w:rsid w:val="001F5F80"/>
    <w:rsid w:val="00201DC1"/>
    <w:rsid w:val="00212368"/>
    <w:rsid w:val="002243DD"/>
    <w:rsid w:val="002273B4"/>
    <w:rsid w:val="0023525C"/>
    <w:rsid w:val="00255140"/>
    <w:rsid w:val="00257583"/>
    <w:rsid w:val="00267494"/>
    <w:rsid w:val="002726F0"/>
    <w:rsid w:val="00274A45"/>
    <w:rsid w:val="00290434"/>
    <w:rsid w:val="00295E73"/>
    <w:rsid w:val="00296A96"/>
    <w:rsid w:val="002A00A6"/>
    <w:rsid w:val="002B2DE8"/>
    <w:rsid w:val="002B6B3D"/>
    <w:rsid w:val="002D1F4D"/>
    <w:rsid w:val="002D6E85"/>
    <w:rsid w:val="002E4572"/>
    <w:rsid w:val="002E77FF"/>
    <w:rsid w:val="003124B4"/>
    <w:rsid w:val="003148F7"/>
    <w:rsid w:val="00326FE4"/>
    <w:rsid w:val="00342D8F"/>
    <w:rsid w:val="00347EBB"/>
    <w:rsid w:val="00382D7A"/>
    <w:rsid w:val="0038422B"/>
    <w:rsid w:val="00386C93"/>
    <w:rsid w:val="003914FB"/>
    <w:rsid w:val="00395739"/>
    <w:rsid w:val="003A20F5"/>
    <w:rsid w:val="003C0197"/>
    <w:rsid w:val="003C0D89"/>
    <w:rsid w:val="003D174F"/>
    <w:rsid w:val="003E36EB"/>
    <w:rsid w:val="003E5D76"/>
    <w:rsid w:val="003F4F87"/>
    <w:rsid w:val="0040004A"/>
    <w:rsid w:val="0040359A"/>
    <w:rsid w:val="00404B71"/>
    <w:rsid w:val="00407640"/>
    <w:rsid w:val="0041673E"/>
    <w:rsid w:val="004359BB"/>
    <w:rsid w:val="0044058F"/>
    <w:rsid w:val="004440D6"/>
    <w:rsid w:val="00452BF6"/>
    <w:rsid w:val="00456B99"/>
    <w:rsid w:val="004707D4"/>
    <w:rsid w:val="00470CFC"/>
    <w:rsid w:val="0047610D"/>
    <w:rsid w:val="004767D1"/>
    <w:rsid w:val="004A4BA8"/>
    <w:rsid w:val="004B3292"/>
    <w:rsid w:val="004B545C"/>
    <w:rsid w:val="004B6DAB"/>
    <w:rsid w:val="004D5248"/>
    <w:rsid w:val="004D5C32"/>
    <w:rsid w:val="004D6D25"/>
    <w:rsid w:val="004E1483"/>
    <w:rsid w:val="004F3219"/>
    <w:rsid w:val="004F3DC9"/>
    <w:rsid w:val="004F3DE6"/>
    <w:rsid w:val="004F44F3"/>
    <w:rsid w:val="005029B5"/>
    <w:rsid w:val="005159B3"/>
    <w:rsid w:val="005276B7"/>
    <w:rsid w:val="00530D77"/>
    <w:rsid w:val="00537752"/>
    <w:rsid w:val="00546A70"/>
    <w:rsid w:val="00553074"/>
    <w:rsid w:val="0056248F"/>
    <w:rsid w:val="005667FB"/>
    <w:rsid w:val="00592245"/>
    <w:rsid w:val="005933A6"/>
    <w:rsid w:val="00595C29"/>
    <w:rsid w:val="005A0B8D"/>
    <w:rsid w:val="005A0CD7"/>
    <w:rsid w:val="005A5A2C"/>
    <w:rsid w:val="005B695F"/>
    <w:rsid w:val="005C42EF"/>
    <w:rsid w:val="005C64C7"/>
    <w:rsid w:val="005D2454"/>
    <w:rsid w:val="005F37A2"/>
    <w:rsid w:val="005F54AC"/>
    <w:rsid w:val="005F66DA"/>
    <w:rsid w:val="00617D2A"/>
    <w:rsid w:val="0062355C"/>
    <w:rsid w:val="00631FBD"/>
    <w:rsid w:val="00643AF2"/>
    <w:rsid w:val="0065547B"/>
    <w:rsid w:val="00657699"/>
    <w:rsid w:val="00677D6E"/>
    <w:rsid w:val="006938D4"/>
    <w:rsid w:val="006947F7"/>
    <w:rsid w:val="006B6EEB"/>
    <w:rsid w:val="006D0031"/>
    <w:rsid w:val="006D7A15"/>
    <w:rsid w:val="006F09D8"/>
    <w:rsid w:val="006F31AB"/>
    <w:rsid w:val="006F78F5"/>
    <w:rsid w:val="00732EEE"/>
    <w:rsid w:val="00737B1B"/>
    <w:rsid w:val="00740836"/>
    <w:rsid w:val="00750439"/>
    <w:rsid w:val="007621E0"/>
    <w:rsid w:val="0078332E"/>
    <w:rsid w:val="00787303"/>
    <w:rsid w:val="0079426C"/>
    <w:rsid w:val="007B1ED3"/>
    <w:rsid w:val="007B5BA0"/>
    <w:rsid w:val="007C0C23"/>
    <w:rsid w:val="007C57F0"/>
    <w:rsid w:val="007D79A8"/>
    <w:rsid w:val="007E5BC4"/>
    <w:rsid w:val="007F405B"/>
    <w:rsid w:val="007F555E"/>
    <w:rsid w:val="0081379B"/>
    <w:rsid w:val="008155D3"/>
    <w:rsid w:val="00831EFA"/>
    <w:rsid w:val="00850BC4"/>
    <w:rsid w:val="00853455"/>
    <w:rsid w:val="008544C4"/>
    <w:rsid w:val="00864442"/>
    <w:rsid w:val="00871575"/>
    <w:rsid w:val="00876D22"/>
    <w:rsid w:val="008864F1"/>
    <w:rsid w:val="008930F2"/>
    <w:rsid w:val="008C00CE"/>
    <w:rsid w:val="008C7B1B"/>
    <w:rsid w:val="008D34B3"/>
    <w:rsid w:val="008D74DF"/>
    <w:rsid w:val="008E0687"/>
    <w:rsid w:val="008E522F"/>
    <w:rsid w:val="008E5385"/>
    <w:rsid w:val="008F4109"/>
    <w:rsid w:val="008F7E82"/>
    <w:rsid w:val="00901BB5"/>
    <w:rsid w:val="00905723"/>
    <w:rsid w:val="009133EE"/>
    <w:rsid w:val="009279B9"/>
    <w:rsid w:val="0094220C"/>
    <w:rsid w:val="00956783"/>
    <w:rsid w:val="00970675"/>
    <w:rsid w:val="00991978"/>
    <w:rsid w:val="009A37F6"/>
    <w:rsid w:val="009A4949"/>
    <w:rsid w:val="009A5B49"/>
    <w:rsid w:val="009A71C3"/>
    <w:rsid w:val="009A7593"/>
    <w:rsid w:val="009B7C45"/>
    <w:rsid w:val="009C0E07"/>
    <w:rsid w:val="009C3CD1"/>
    <w:rsid w:val="009E5AD3"/>
    <w:rsid w:val="009E62EE"/>
    <w:rsid w:val="009F37F7"/>
    <w:rsid w:val="00A04745"/>
    <w:rsid w:val="00A1031A"/>
    <w:rsid w:val="00A12769"/>
    <w:rsid w:val="00A127D1"/>
    <w:rsid w:val="00A12EEB"/>
    <w:rsid w:val="00A32554"/>
    <w:rsid w:val="00A34C66"/>
    <w:rsid w:val="00A4381F"/>
    <w:rsid w:val="00A54E6B"/>
    <w:rsid w:val="00A76547"/>
    <w:rsid w:val="00AA11F9"/>
    <w:rsid w:val="00AA3693"/>
    <w:rsid w:val="00AA7B95"/>
    <w:rsid w:val="00AB0A2A"/>
    <w:rsid w:val="00AB427C"/>
    <w:rsid w:val="00AC5E07"/>
    <w:rsid w:val="00AC5FC3"/>
    <w:rsid w:val="00AC6D83"/>
    <w:rsid w:val="00AD1404"/>
    <w:rsid w:val="00AD1C42"/>
    <w:rsid w:val="00AD2600"/>
    <w:rsid w:val="00AD4D50"/>
    <w:rsid w:val="00AD6D1A"/>
    <w:rsid w:val="00AE7416"/>
    <w:rsid w:val="00B05DD8"/>
    <w:rsid w:val="00B071CC"/>
    <w:rsid w:val="00B16480"/>
    <w:rsid w:val="00B423A8"/>
    <w:rsid w:val="00B44194"/>
    <w:rsid w:val="00B563CD"/>
    <w:rsid w:val="00B56442"/>
    <w:rsid w:val="00B818EB"/>
    <w:rsid w:val="00B81DEB"/>
    <w:rsid w:val="00B856FE"/>
    <w:rsid w:val="00B87E87"/>
    <w:rsid w:val="00BA1349"/>
    <w:rsid w:val="00BD7A1F"/>
    <w:rsid w:val="00BE517A"/>
    <w:rsid w:val="00BF2672"/>
    <w:rsid w:val="00BF3F53"/>
    <w:rsid w:val="00BF6F3E"/>
    <w:rsid w:val="00C02D22"/>
    <w:rsid w:val="00C03409"/>
    <w:rsid w:val="00C07D73"/>
    <w:rsid w:val="00C11551"/>
    <w:rsid w:val="00C14E05"/>
    <w:rsid w:val="00C16E14"/>
    <w:rsid w:val="00C27DD0"/>
    <w:rsid w:val="00C33CA7"/>
    <w:rsid w:val="00C4207E"/>
    <w:rsid w:val="00C42BF3"/>
    <w:rsid w:val="00C540A7"/>
    <w:rsid w:val="00C55DEC"/>
    <w:rsid w:val="00C66C40"/>
    <w:rsid w:val="00C72BC7"/>
    <w:rsid w:val="00C8009A"/>
    <w:rsid w:val="00C921FF"/>
    <w:rsid w:val="00CD17C6"/>
    <w:rsid w:val="00CD790C"/>
    <w:rsid w:val="00CE411D"/>
    <w:rsid w:val="00CE485B"/>
    <w:rsid w:val="00CE573A"/>
    <w:rsid w:val="00CF75AA"/>
    <w:rsid w:val="00D06409"/>
    <w:rsid w:val="00D5172F"/>
    <w:rsid w:val="00D53A94"/>
    <w:rsid w:val="00D56918"/>
    <w:rsid w:val="00DA57A8"/>
    <w:rsid w:val="00DB0199"/>
    <w:rsid w:val="00DB67E7"/>
    <w:rsid w:val="00DC5B4C"/>
    <w:rsid w:val="00DC658B"/>
    <w:rsid w:val="00DC6D1C"/>
    <w:rsid w:val="00DC70C3"/>
    <w:rsid w:val="00DD333B"/>
    <w:rsid w:val="00DD3491"/>
    <w:rsid w:val="00DD477E"/>
    <w:rsid w:val="00DE2BA3"/>
    <w:rsid w:val="00DE44CB"/>
    <w:rsid w:val="00DF523F"/>
    <w:rsid w:val="00E06A0A"/>
    <w:rsid w:val="00E132BA"/>
    <w:rsid w:val="00E170A9"/>
    <w:rsid w:val="00E221AA"/>
    <w:rsid w:val="00E35DF8"/>
    <w:rsid w:val="00E36A8C"/>
    <w:rsid w:val="00E36C6B"/>
    <w:rsid w:val="00E405B1"/>
    <w:rsid w:val="00E4592B"/>
    <w:rsid w:val="00E51209"/>
    <w:rsid w:val="00E547E5"/>
    <w:rsid w:val="00E70601"/>
    <w:rsid w:val="00E85815"/>
    <w:rsid w:val="00E86052"/>
    <w:rsid w:val="00E91B69"/>
    <w:rsid w:val="00E940EC"/>
    <w:rsid w:val="00E963A7"/>
    <w:rsid w:val="00EB311F"/>
    <w:rsid w:val="00ED7951"/>
    <w:rsid w:val="00EE3950"/>
    <w:rsid w:val="00EE6053"/>
    <w:rsid w:val="00EF3EE4"/>
    <w:rsid w:val="00F01930"/>
    <w:rsid w:val="00F10627"/>
    <w:rsid w:val="00F24D05"/>
    <w:rsid w:val="00F31597"/>
    <w:rsid w:val="00F34157"/>
    <w:rsid w:val="00F379CF"/>
    <w:rsid w:val="00F41C44"/>
    <w:rsid w:val="00F4693E"/>
    <w:rsid w:val="00F47AA4"/>
    <w:rsid w:val="00F70EAA"/>
    <w:rsid w:val="00F72D11"/>
    <w:rsid w:val="00F73FDE"/>
    <w:rsid w:val="00F81BD3"/>
    <w:rsid w:val="00F8450D"/>
    <w:rsid w:val="00FB0051"/>
    <w:rsid w:val="00FB3CBD"/>
    <w:rsid w:val="00FB5E53"/>
    <w:rsid w:val="00FC2FF1"/>
    <w:rsid w:val="00FC5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94C6"/>
  <w15:chartTrackingRefBased/>
  <w15:docId w15:val="{57983713-1028-4A34-8C95-1D91C029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F80"/>
    <w:rPr>
      <w:rFonts w:ascii="Cambria" w:hAnsi="Cambria"/>
    </w:rPr>
  </w:style>
  <w:style w:type="paragraph" w:styleId="Heading1">
    <w:name w:val="heading 1"/>
    <w:basedOn w:val="Normal"/>
    <w:next w:val="Normal"/>
    <w:link w:val="Heading1Char"/>
    <w:uiPriority w:val="9"/>
    <w:qFormat/>
    <w:rsid w:val="001F5F8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F8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F80"/>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7D2A"/>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950"/>
    <w:pPr>
      <w:ind w:left="720"/>
      <w:contextualSpacing/>
    </w:pPr>
  </w:style>
  <w:style w:type="character" w:customStyle="1" w:styleId="Heading2Char">
    <w:name w:val="Heading 2 Char"/>
    <w:basedOn w:val="DefaultParagraphFont"/>
    <w:link w:val="Heading2"/>
    <w:uiPriority w:val="9"/>
    <w:rsid w:val="001F5F80"/>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1F5F80"/>
    <w:rPr>
      <w:rFonts w:ascii="Cambria" w:eastAsiaTheme="majorEastAsia" w:hAnsi="Cambria" w:cstheme="majorBidi"/>
      <w:color w:val="1F3763" w:themeColor="accent1" w:themeShade="7F"/>
      <w:sz w:val="24"/>
      <w:szCs w:val="24"/>
    </w:rPr>
  </w:style>
  <w:style w:type="paragraph" w:styleId="BalloonText">
    <w:name w:val="Balloon Text"/>
    <w:basedOn w:val="Normal"/>
    <w:link w:val="BalloonTextChar"/>
    <w:uiPriority w:val="99"/>
    <w:semiHidden/>
    <w:unhideWhenUsed/>
    <w:rsid w:val="009C0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E07"/>
    <w:rPr>
      <w:rFonts w:ascii="Segoe UI" w:hAnsi="Segoe UI" w:cs="Segoe UI"/>
      <w:sz w:val="18"/>
      <w:szCs w:val="18"/>
    </w:rPr>
  </w:style>
  <w:style w:type="character" w:customStyle="1" w:styleId="Heading1Char">
    <w:name w:val="Heading 1 Char"/>
    <w:basedOn w:val="DefaultParagraphFont"/>
    <w:link w:val="Heading1"/>
    <w:uiPriority w:val="9"/>
    <w:rsid w:val="001F5F80"/>
    <w:rPr>
      <w:rFonts w:ascii="Cambria" w:eastAsiaTheme="majorEastAsia" w:hAnsi="Cambria" w:cstheme="majorBidi"/>
      <w:color w:val="2F5496" w:themeColor="accent1" w:themeShade="BF"/>
      <w:sz w:val="32"/>
      <w:szCs w:val="32"/>
    </w:rPr>
  </w:style>
  <w:style w:type="character" w:styleId="PlaceholderText">
    <w:name w:val="Placeholder Text"/>
    <w:basedOn w:val="DefaultParagraphFont"/>
    <w:uiPriority w:val="99"/>
    <w:semiHidden/>
    <w:rsid w:val="00041CB7"/>
    <w:rPr>
      <w:color w:val="808080"/>
    </w:rPr>
  </w:style>
  <w:style w:type="table" w:styleId="TableGrid">
    <w:name w:val="Table Grid"/>
    <w:basedOn w:val="TableNormal"/>
    <w:uiPriority w:val="39"/>
    <w:rsid w:val="00C14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Reference"/>
    <w:uiPriority w:val="1"/>
    <w:qFormat/>
    <w:rsid w:val="003124B4"/>
    <w:pPr>
      <w:spacing w:after="0" w:line="240" w:lineRule="auto"/>
      <w:ind w:left="720" w:hanging="720"/>
    </w:pPr>
    <w:rPr>
      <w:rFonts w:ascii="Cambria" w:hAnsi="Cambria"/>
    </w:rPr>
  </w:style>
  <w:style w:type="character" w:customStyle="1" w:styleId="Heading4Char">
    <w:name w:val="Heading 4 Char"/>
    <w:basedOn w:val="DefaultParagraphFont"/>
    <w:link w:val="Heading4"/>
    <w:uiPriority w:val="9"/>
    <w:rsid w:val="00617D2A"/>
    <w:rPr>
      <w:rFonts w:ascii="Cambria" w:eastAsiaTheme="majorEastAsia" w:hAnsi="Cambr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6605">
      <w:bodyDiv w:val="1"/>
      <w:marLeft w:val="0"/>
      <w:marRight w:val="0"/>
      <w:marTop w:val="0"/>
      <w:marBottom w:val="0"/>
      <w:divBdr>
        <w:top w:val="none" w:sz="0" w:space="0" w:color="auto"/>
        <w:left w:val="none" w:sz="0" w:space="0" w:color="auto"/>
        <w:bottom w:val="none" w:sz="0" w:space="0" w:color="auto"/>
        <w:right w:val="none" w:sz="0" w:space="0" w:color="auto"/>
      </w:divBdr>
    </w:div>
    <w:div w:id="256862675">
      <w:bodyDiv w:val="1"/>
      <w:marLeft w:val="0"/>
      <w:marRight w:val="0"/>
      <w:marTop w:val="0"/>
      <w:marBottom w:val="0"/>
      <w:divBdr>
        <w:top w:val="none" w:sz="0" w:space="0" w:color="auto"/>
        <w:left w:val="none" w:sz="0" w:space="0" w:color="auto"/>
        <w:bottom w:val="none" w:sz="0" w:space="0" w:color="auto"/>
        <w:right w:val="none" w:sz="0" w:space="0" w:color="auto"/>
      </w:divBdr>
    </w:div>
    <w:div w:id="278267582">
      <w:bodyDiv w:val="1"/>
      <w:marLeft w:val="0"/>
      <w:marRight w:val="0"/>
      <w:marTop w:val="0"/>
      <w:marBottom w:val="0"/>
      <w:divBdr>
        <w:top w:val="none" w:sz="0" w:space="0" w:color="auto"/>
        <w:left w:val="none" w:sz="0" w:space="0" w:color="auto"/>
        <w:bottom w:val="none" w:sz="0" w:space="0" w:color="auto"/>
        <w:right w:val="none" w:sz="0" w:space="0" w:color="auto"/>
      </w:divBdr>
    </w:div>
    <w:div w:id="341317377">
      <w:bodyDiv w:val="1"/>
      <w:marLeft w:val="0"/>
      <w:marRight w:val="0"/>
      <w:marTop w:val="0"/>
      <w:marBottom w:val="0"/>
      <w:divBdr>
        <w:top w:val="none" w:sz="0" w:space="0" w:color="auto"/>
        <w:left w:val="none" w:sz="0" w:space="0" w:color="auto"/>
        <w:bottom w:val="none" w:sz="0" w:space="0" w:color="auto"/>
        <w:right w:val="none" w:sz="0" w:space="0" w:color="auto"/>
      </w:divBdr>
    </w:div>
    <w:div w:id="444009892">
      <w:bodyDiv w:val="1"/>
      <w:marLeft w:val="0"/>
      <w:marRight w:val="0"/>
      <w:marTop w:val="0"/>
      <w:marBottom w:val="0"/>
      <w:divBdr>
        <w:top w:val="none" w:sz="0" w:space="0" w:color="auto"/>
        <w:left w:val="none" w:sz="0" w:space="0" w:color="auto"/>
        <w:bottom w:val="none" w:sz="0" w:space="0" w:color="auto"/>
        <w:right w:val="none" w:sz="0" w:space="0" w:color="auto"/>
      </w:divBdr>
    </w:div>
    <w:div w:id="1044325769">
      <w:bodyDiv w:val="1"/>
      <w:marLeft w:val="0"/>
      <w:marRight w:val="0"/>
      <w:marTop w:val="0"/>
      <w:marBottom w:val="0"/>
      <w:divBdr>
        <w:top w:val="none" w:sz="0" w:space="0" w:color="auto"/>
        <w:left w:val="none" w:sz="0" w:space="0" w:color="auto"/>
        <w:bottom w:val="none" w:sz="0" w:space="0" w:color="auto"/>
        <w:right w:val="none" w:sz="0" w:space="0" w:color="auto"/>
      </w:divBdr>
    </w:div>
    <w:div w:id="1158306601">
      <w:bodyDiv w:val="1"/>
      <w:marLeft w:val="0"/>
      <w:marRight w:val="0"/>
      <w:marTop w:val="0"/>
      <w:marBottom w:val="0"/>
      <w:divBdr>
        <w:top w:val="none" w:sz="0" w:space="0" w:color="auto"/>
        <w:left w:val="none" w:sz="0" w:space="0" w:color="auto"/>
        <w:bottom w:val="none" w:sz="0" w:space="0" w:color="auto"/>
        <w:right w:val="none" w:sz="0" w:space="0" w:color="auto"/>
      </w:divBdr>
    </w:div>
    <w:div w:id="1513303017">
      <w:bodyDiv w:val="1"/>
      <w:marLeft w:val="0"/>
      <w:marRight w:val="0"/>
      <w:marTop w:val="0"/>
      <w:marBottom w:val="0"/>
      <w:divBdr>
        <w:top w:val="none" w:sz="0" w:space="0" w:color="auto"/>
        <w:left w:val="none" w:sz="0" w:space="0" w:color="auto"/>
        <w:bottom w:val="none" w:sz="0" w:space="0" w:color="auto"/>
        <w:right w:val="none" w:sz="0" w:space="0" w:color="auto"/>
      </w:divBdr>
    </w:div>
    <w:div w:id="1541279208">
      <w:bodyDiv w:val="1"/>
      <w:marLeft w:val="0"/>
      <w:marRight w:val="0"/>
      <w:marTop w:val="0"/>
      <w:marBottom w:val="0"/>
      <w:divBdr>
        <w:top w:val="none" w:sz="0" w:space="0" w:color="auto"/>
        <w:left w:val="none" w:sz="0" w:space="0" w:color="auto"/>
        <w:bottom w:val="none" w:sz="0" w:space="0" w:color="auto"/>
        <w:right w:val="none" w:sz="0" w:space="0" w:color="auto"/>
      </w:divBdr>
    </w:div>
    <w:div w:id="1549217182">
      <w:bodyDiv w:val="1"/>
      <w:marLeft w:val="0"/>
      <w:marRight w:val="0"/>
      <w:marTop w:val="0"/>
      <w:marBottom w:val="0"/>
      <w:divBdr>
        <w:top w:val="none" w:sz="0" w:space="0" w:color="auto"/>
        <w:left w:val="none" w:sz="0" w:space="0" w:color="auto"/>
        <w:bottom w:val="none" w:sz="0" w:space="0" w:color="auto"/>
        <w:right w:val="none" w:sz="0" w:space="0" w:color="auto"/>
      </w:divBdr>
    </w:div>
    <w:div w:id="1563757264">
      <w:bodyDiv w:val="1"/>
      <w:marLeft w:val="0"/>
      <w:marRight w:val="0"/>
      <w:marTop w:val="0"/>
      <w:marBottom w:val="0"/>
      <w:divBdr>
        <w:top w:val="none" w:sz="0" w:space="0" w:color="auto"/>
        <w:left w:val="none" w:sz="0" w:space="0" w:color="auto"/>
        <w:bottom w:val="none" w:sz="0" w:space="0" w:color="auto"/>
        <w:right w:val="none" w:sz="0" w:space="0" w:color="auto"/>
      </w:divBdr>
    </w:div>
    <w:div w:id="1825122876">
      <w:bodyDiv w:val="1"/>
      <w:marLeft w:val="0"/>
      <w:marRight w:val="0"/>
      <w:marTop w:val="0"/>
      <w:marBottom w:val="0"/>
      <w:divBdr>
        <w:top w:val="none" w:sz="0" w:space="0" w:color="auto"/>
        <w:left w:val="none" w:sz="0" w:space="0" w:color="auto"/>
        <w:bottom w:val="none" w:sz="0" w:space="0" w:color="auto"/>
        <w:right w:val="none" w:sz="0" w:space="0" w:color="auto"/>
      </w:divBdr>
    </w:div>
    <w:div w:id="2084404028">
      <w:bodyDiv w:val="1"/>
      <w:marLeft w:val="0"/>
      <w:marRight w:val="0"/>
      <w:marTop w:val="0"/>
      <w:marBottom w:val="0"/>
      <w:divBdr>
        <w:top w:val="none" w:sz="0" w:space="0" w:color="auto"/>
        <w:left w:val="none" w:sz="0" w:space="0" w:color="auto"/>
        <w:bottom w:val="none" w:sz="0" w:space="0" w:color="auto"/>
        <w:right w:val="none" w:sz="0" w:space="0" w:color="auto"/>
      </w:divBdr>
    </w:div>
    <w:div w:id="209415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18</Pages>
  <Words>6082</Words>
  <Characters>34673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Darrick Yee</dc:creator>
  <cp:keywords/>
  <dc:description/>
  <cp:lastModifiedBy>Darrick Yee</cp:lastModifiedBy>
  <cp:revision>72</cp:revision>
  <dcterms:created xsi:type="dcterms:W3CDTF">2019-10-01T01:04:00Z</dcterms:created>
  <dcterms:modified xsi:type="dcterms:W3CDTF">2019-10-01T03:19:00Z</dcterms:modified>
</cp:coreProperties>
</file>