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D1F3C"/>
        <w:spacing w:before="0" w:after="0"/>
        <w:ind w:left="0"/>
      </w:pPr>
      <w:r>
        <w:rPr>
          <w:rFonts w:ascii="Arial" w:hAnsi="Arial"/>
          <w:b/>
          <w:color w:val="FFFFFF"/>
          <w:sz w:val="18"/>
        </w:rPr>
        <w:t xml:space="preserve">  SOP-001  |  STANDARD OPERATING PROCEDURE</w:t>
      </w:r>
    </w:p>
    <w:p>
      <w:pPr>
        <w:shd w:val="clear" w:color="auto" w:fill="1A3A6B"/>
        <w:spacing w:before="0" w:after="0"/>
      </w:pPr>
      <w:r>
        <w:rPr>
          <w:rFonts w:ascii="Arial" w:hAnsi="Arial"/>
          <w:b/>
          <w:color w:val="FFFFFF"/>
          <w:sz w:val="32"/>
        </w:rPr>
        <w:t xml:space="preserve">  SOC Daily Operations &amp; Shift Handover</w:t>
      </w:r>
    </w:p>
    <w:p>
      <w:pPr>
        <w:shd w:val="clear" w:color="auto" w:fill="2E75B6"/>
        <w:spacing w:before="0" w:after="120"/>
      </w:pPr>
      <w:r>
        <w:rPr>
          <w:rFonts w:ascii="Arial" w:hAnsi="Arial"/>
          <w:i/>
          <w:color w:val="FFFFFF"/>
          <w:sz w:val="18"/>
        </w:rPr>
        <w:t xml:space="preserve">  Classification: INTERNAL   |   Security Operations Center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728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Document ID</w:t>
            </w:r>
          </w:p>
        </w:tc>
        <w:tc>
          <w:tcPr>
            <w:tcW w:type="dxa" w:w="1584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1728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584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Approved By</w:t>
            </w:r>
          </w:p>
        </w:tc>
        <w:tc>
          <w:tcPr>
            <w:tcW w:type="dxa" w:w="2592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Effective Date</w:t>
            </w:r>
          </w:p>
        </w:tc>
        <w:tc>
          <w:tcPr>
            <w:tcW w:type="dxa" w:w="2736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Review Date</w:t>
            </w:r>
          </w:p>
        </w:tc>
      </w:tr>
      <w:tr>
        <w:tc>
          <w:tcPr>
            <w:tcW w:type="dxa" w:w="1728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SOP-001</w:t>
            </w:r>
          </w:p>
        </w:tc>
        <w:tc>
          <w:tcPr>
            <w:tcW w:type="dxa" w:w="1584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1.0</w:t>
            </w:r>
          </w:p>
        </w:tc>
        <w:tc>
          <w:tcPr>
            <w:tcW w:type="dxa" w:w="1728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SOC Lead</w:t>
            </w:r>
          </w:p>
        </w:tc>
        <w:tc>
          <w:tcPr>
            <w:tcW w:type="dxa" w:w="1584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HOIT</w:t>
            </w:r>
          </w:p>
        </w:tc>
        <w:tc>
          <w:tcPr>
            <w:tcW w:type="dxa" w:w="2592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2026-04-01</w:t>
            </w:r>
          </w:p>
        </w:tc>
        <w:tc>
          <w:tcPr>
            <w:tcW w:type="dxa" w:w="2736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2026-10-01</w:t>
            </w:r>
          </w:p>
        </w:tc>
      </w:tr>
    </w:tbl>
    <w:p/>
    <w:p>
      <w:pPr>
        <w:spacing w:before="240" w:after="40"/>
        <w:shd w:val="clear" w:color="auto" w:fill="1A3A6B"/>
      </w:pPr>
      <w:r>
        <w:rPr>
          <w:rFonts w:ascii="Arial" w:hAnsi="Arial"/>
          <w:b/>
          <w:color w:val="FFFFFF"/>
          <w:sz w:val="22"/>
        </w:rPr>
        <w:t>1.  PURPOSE</w:t>
      </w:r>
    </w:p>
    <w:p>
      <w:pPr>
        <w:spacing w:before="40" w:after="40"/>
      </w:pPr>
      <w:r>
        <w:rPr>
          <w:rFonts w:ascii="Arial" w:hAnsi="Arial"/>
          <w:b w:val="0"/>
          <w:i w:val="0"/>
          <w:color w:val="000000"/>
          <w:sz w:val="20"/>
        </w:rPr>
        <w:t>This Standard Operating Procedure defines how the Security Operations Center (SOC) conducts daily operational activities, manages shift transitions, and ensures continuity of monitoring across all supported environments and tool platforms.</w:t>
      </w:r>
    </w:p>
    <w:p>
      <w:pPr>
        <w:spacing w:before="40" w:after="40"/>
      </w:pPr>
      <w:r>
        <w:rPr>
          <w:rFonts w:ascii="Arial" w:hAnsi="Arial"/>
          <w:b w:val="0"/>
          <w:i w:val="0"/>
          <w:color w:val="000000"/>
          <w:sz w:val="20"/>
        </w:rPr>
        <w:t>This document governs all SOC analysts (Tier 1 and Tier 2) and the SOC Lead. Adherence is mandatory. Deviations require prior written approval from the SOC Lead.</w:t>
      </w:r>
    </w:p>
    <w:p>
      <w:pPr>
        <w:spacing w:before="240" w:after="40"/>
        <w:shd w:val="clear" w:color="auto" w:fill="1A3A6B"/>
      </w:pPr>
      <w:r>
        <w:rPr>
          <w:rFonts w:ascii="Arial" w:hAnsi="Arial"/>
          <w:b/>
          <w:color w:val="FFFFFF"/>
          <w:sz w:val="22"/>
        </w:rPr>
        <w:t>2.  SCOPE</w:t>
      </w:r>
    </w:p>
    <w:p>
      <w:pPr>
        <w:spacing w:before="40" w:after="40"/>
      </w:pPr>
      <w:r>
        <w:rPr>
          <w:rFonts w:ascii="Arial" w:hAnsi="Arial"/>
          <w:b w:val="0"/>
          <w:i w:val="0"/>
          <w:color w:val="000000"/>
          <w:sz w:val="20"/>
        </w:rPr>
        <w:t>This SOP applies to:</w:t>
      </w:r>
    </w:p>
    <w:p>
      <w:pPr>
        <w:pStyle w:val="ListBullet"/>
        <w:spacing w:before="20" w:after="20"/>
        <w:ind w:left="432"/>
      </w:pPr>
      <w:r>
        <w:rPr>
          <w:rFonts w:ascii="Arial" w:hAnsi="Arial"/>
          <w:color w:val="000000"/>
          <w:sz w:val="20"/>
        </w:rPr>
        <w:t>All SOC analysts operating in L1 (Tier 1) and L2 (Tier 2) roles.</w:t>
      </w:r>
    </w:p>
    <w:p>
      <w:pPr>
        <w:pStyle w:val="ListBullet"/>
        <w:spacing w:before="20" w:after="20"/>
        <w:ind w:left="432"/>
      </w:pPr>
      <w:r>
        <w:rPr>
          <w:rFonts w:ascii="Arial" w:hAnsi="Arial"/>
          <w:color w:val="000000"/>
          <w:sz w:val="20"/>
        </w:rPr>
        <w:t>All monitored environments: Client 1 and Client 2 (Windows and Linux — servers and workstations).</w:t>
      </w:r>
    </w:p>
    <w:p>
      <w:pPr>
        <w:pStyle w:val="ListBullet"/>
        <w:spacing w:before="20" w:after="20"/>
        <w:ind w:left="432"/>
      </w:pPr>
      <w:r>
        <w:rPr>
          <w:rFonts w:ascii="Arial" w:hAnsi="Arial"/>
          <w:color w:val="000000"/>
          <w:sz w:val="20"/>
        </w:rPr>
        <w:t>All monitored platforms: Trellix EDR, Wazuh HIDS, Teramind, FortiMail, FortiGate, FortiWeb, Cloudflare, Medianova, Elastic SIEM, Nessus, and Velociraptor.</w:t>
      </w:r>
    </w:p>
    <w:p>
      <w:pPr>
        <w:pStyle w:val="ListBullet"/>
        <w:spacing w:before="20" w:after="20"/>
        <w:ind w:left="432"/>
      </w:pPr>
      <w:r>
        <w:rPr>
          <w:rFonts w:ascii="Arial" w:hAnsi="Arial"/>
          <w:color w:val="000000"/>
          <w:sz w:val="20"/>
        </w:rPr>
        <w:t>24x7 shift operations. Every shift — morning, afternoon, and overnight.</w:t>
      </w:r>
    </w:p>
    <w:p>
      <w:pPr>
        <w:spacing w:before="240" w:after="40"/>
        <w:shd w:val="clear" w:color="auto" w:fill="1A3A6B"/>
      </w:pPr>
      <w:r>
        <w:rPr>
          <w:rFonts w:ascii="Arial" w:hAnsi="Arial"/>
          <w:b/>
          <w:color w:val="FFFFFF"/>
          <w:sz w:val="22"/>
        </w:rPr>
        <w:t>3.  DEFINITIONS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360"/>
          <w:trHeight w:val="360"/>
        </w:trPr>
        <w:tc>
          <w:tcPr>
            <w:tcW w:type="dxa" w:w="2160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Term</w:t>
            </w:r>
          </w:p>
        </w:tc>
        <w:tc>
          <w:tcPr>
            <w:tcW w:type="dxa" w:w="7200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Definition</w:t>
            </w:r>
          </w:p>
        </w:tc>
      </w:tr>
      <w:tr>
        <w:trPr>
          <w:trHeight w:val="320"/>
        </w:trPr>
        <w:tc>
          <w:tcPr>
            <w:tcW w:type="dxa" w:w="216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Shift</w:t>
            </w:r>
          </w:p>
        </w:tc>
        <w:tc>
          <w:tcPr>
            <w:tcW w:type="dxa" w:w="72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A defined working period staffed by one or more SOC analysts responsible for monitoring and response.</w:t>
            </w:r>
          </w:p>
        </w:tc>
      </w:tr>
      <w:tr>
        <w:trPr>
          <w:trHeight w:val="320"/>
        </w:trP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Handover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The formal transfer of operational responsibility from the outgoing analyst/shift to the incoming analyst/shift.</w:t>
            </w:r>
          </w:p>
        </w:tc>
      </w:tr>
      <w:tr>
        <w:trPr>
          <w:trHeight w:val="320"/>
        </w:trPr>
        <w:tc>
          <w:tcPr>
            <w:tcW w:type="dxa" w:w="216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Alert Queue</w:t>
            </w:r>
          </w:p>
        </w:tc>
        <w:tc>
          <w:tcPr>
            <w:tcW w:type="dxa" w:w="72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The list of active, unacknowledged, or in-progress alerts visible in Elastic SIEM awaiting analyst action.</w:t>
            </w:r>
          </w:p>
        </w:tc>
      </w:tr>
      <w:tr>
        <w:trPr>
          <w:trHeight w:val="320"/>
        </w:trP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GLPI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The IT service management platform used to create, track, and close all SOC tickets. Hosted at http://glpi.reduno.online.</w:t>
            </w:r>
          </w:p>
        </w:tc>
      </w:tr>
      <w:tr>
        <w:trPr>
          <w:trHeight w:val="320"/>
        </w:trPr>
        <w:tc>
          <w:tcPr>
            <w:tcW w:type="dxa" w:w="216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L1 (Tier 1)</w:t>
            </w:r>
          </w:p>
        </w:tc>
        <w:tc>
          <w:tcPr>
            <w:tcW w:type="dxa" w:w="72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First-line analyst responsible for alert triage, initial classification, and escalation.</w:t>
            </w:r>
          </w:p>
        </w:tc>
      </w:tr>
      <w:tr>
        <w:trPr>
          <w:trHeight w:val="320"/>
        </w:trP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L2 (Tier 2)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Senior analyst responsible for deep investigation, containment, and resolution of escalated incidents.</w:t>
            </w:r>
          </w:p>
        </w:tc>
      </w:tr>
      <w:tr>
        <w:trPr>
          <w:trHeight w:val="320"/>
        </w:trPr>
        <w:tc>
          <w:tcPr>
            <w:tcW w:type="dxa" w:w="216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SOC Lead</w:t>
            </w:r>
          </w:p>
        </w:tc>
        <w:tc>
          <w:tcPr>
            <w:tcW w:type="dxa" w:w="72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The senior operational manager responsible for SOC governance, escalation authority, and HOIT communication.</w:t>
            </w:r>
          </w:p>
        </w:tc>
      </w:tr>
      <w:tr>
        <w:trPr>
          <w:trHeight w:val="320"/>
        </w:trP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HOIT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Senior management stakeholders. Notified for P1 incidents and weekly KPI reports.</w:t>
            </w:r>
          </w:p>
        </w:tc>
      </w:tr>
    </w:tbl>
    <w:p/>
    <w:p>
      <w:pPr>
        <w:spacing w:before="240" w:after="40"/>
        <w:shd w:val="clear" w:color="auto" w:fill="1A3A6B"/>
      </w:pPr>
      <w:r>
        <w:rPr>
          <w:rFonts w:ascii="Arial" w:hAnsi="Arial"/>
          <w:b/>
          <w:color w:val="FFFFFF"/>
          <w:sz w:val="22"/>
        </w:rPr>
        <w:t>4.  ROLES AND RESPONSIBILITIES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rHeight w:val="360"/>
          <w:trHeight w:val="360"/>
          <w:trHeight w:val="360"/>
        </w:trPr>
        <w:tc>
          <w:tcPr>
            <w:tcW w:type="dxa" w:w="1728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4752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Responsibilities</w:t>
            </w:r>
          </w:p>
        </w:tc>
        <w:tc>
          <w:tcPr>
            <w:tcW w:type="dxa" w:w="2880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Authority</w:t>
            </w:r>
          </w:p>
        </w:tc>
      </w:tr>
      <w:tr>
        <w:trPr>
          <w:trHeight w:val="320"/>
        </w:trPr>
        <w:tc>
          <w:tcPr>
            <w:tcW w:type="dxa" w:w="1728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L1 Analyst</w:t>
            </w:r>
          </w:p>
        </w:tc>
        <w:tc>
          <w:tcPr>
            <w:tcW w:type="dxa" w:w="4752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Execute shift startup checklist; monitor alert queue; triage alerts; create GLPI tickets; escalate to L2.</w:t>
            </w:r>
          </w:p>
        </w:tc>
        <w:tc>
          <w:tcPr>
            <w:tcW w:type="dxa" w:w="288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Acknowledge, classify, and escalate alerts. Cannot close P1/P2 tickets independently.</w:t>
            </w:r>
          </w:p>
        </w:tc>
      </w:tr>
      <w:tr>
        <w:trPr>
          <w:trHeight w:val="320"/>
        </w:trPr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L2 Analyst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Receive L1 escalations; lead investigations; perform containment; approve ticket closure.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Authorize containment actions. Escalate to SOC Lead for P1 incidents.</w:t>
            </w:r>
          </w:p>
        </w:tc>
      </w:tr>
      <w:tr>
        <w:trPr>
          <w:trHeight w:val="320"/>
        </w:trPr>
        <w:tc>
          <w:tcPr>
            <w:tcW w:type="dxa" w:w="1728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SOC Lead</w:t>
            </w:r>
          </w:p>
        </w:tc>
        <w:tc>
          <w:tcPr>
            <w:tcW w:type="dxa" w:w="4752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Oversee shift quality; review KPIs; communicate with HOIT; approve SOC procedures.</w:t>
            </w:r>
          </w:p>
        </w:tc>
        <w:tc>
          <w:tcPr>
            <w:tcW w:type="dxa" w:w="288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Approve all P1 closures. Authorize exceptions to this SOP.</w:t>
            </w:r>
          </w:p>
        </w:tc>
      </w:tr>
      <w:tr>
        <w:trPr>
          <w:trHeight w:val="320"/>
        </w:trPr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HOIT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Receive P1 incident notifications and weekly reporting.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No direct operational authority. Final escalation point.</w:t>
            </w:r>
          </w:p>
        </w:tc>
      </w:tr>
    </w:tbl>
    <w:p/>
    <w:p>
      <w:pPr>
        <w:spacing w:before="240" w:after="40"/>
        <w:shd w:val="clear" w:color="auto" w:fill="1A3A6B"/>
      </w:pPr>
      <w:r>
        <w:rPr>
          <w:rFonts w:ascii="Arial" w:hAnsi="Arial"/>
          <w:b/>
          <w:color w:val="FFFFFF"/>
          <w:sz w:val="22"/>
        </w:rPr>
        <w:t>5.  DAILY OPERATIONS PROCEDURE</w:t>
      </w:r>
    </w:p>
    <w:p>
      <w:pPr>
        <w:spacing w:before="160" w:after="40"/>
        <w:pBdr>
          <w:bottom w:val="single" w:sz="6" w:space="1" w:color="2E75B6"/>
        </w:pBdr>
      </w:pPr>
      <w:r>
        <w:rPr>
          <w:rFonts w:ascii="Arial" w:hAnsi="Arial"/>
          <w:b/>
          <w:color w:val="0D1F3C"/>
          <w:sz w:val="20"/>
        </w:rPr>
        <w:t>5.1  Shift Startup (L1 — first 15 minutes of every shift)</w:t>
      </w:r>
    </w:p>
    <w:p>
      <w:pPr>
        <w:spacing w:before="120" w:after="120"/>
        <w:ind w:left="288"/>
        <w:shd w:val="clear" w:color="auto" w:fill="FFF2CC"/>
      </w:pPr>
      <w:r>
        <w:rPr>
          <w:rFonts w:ascii="Arial" w:hAnsi="Arial"/>
          <w:b/>
          <w:color w:val="7B0000"/>
          <w:sz w:val="20"/>
        </w:rPr>
        <w:t xml:space="preserve">MANDATORY:  </w:t>
      </w:r>
      <w:r>
        <w:rPr>
          <w:rFonts w:ascii="Arial" w:hAnsi="Arial"/>
          <w:color w:val="000000"/>
          <w:sz w:val="20"/>
        </w:rPr>
        <w:t>Every step in section 5.1 must be completed before any alert is worked. Open GLPI ticket PB-001 and use it as your checklist.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Log into all monitoring platforms: Elastic SIEM, Trellix, Wazuh, Teramind, FortiMail, FortiGate, and Velociraptor console.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Verify platform connectivity — confirm data is ingesting in Elastic. Check Last Event timestamp for each data source. If any source shows no events in the last 30 minutes, open a GLPI ticket and escalate to L2 immediately.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Review Elastic SIEM alert queue. Note the count of: (a) New/unreviewed alerts, (b) In-progress alerts from prior shift, (c) Any alerts tagged Critical or High.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Review GLPI ticket queue. Confirm all tickets from the previous shift have a current status. Flag any ticket in 'New' status with no activity older than 2 hours.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Read the Shift Handover note left by the outgoing analyst (see Section 5.3). Acknowledge any pending items by responding in the handover GLPI ticket.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Confirm Wazuh agent health — verify no agents show as offline or disconnected. Use Playbook PB-007 if agents are offline.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Confirm Trellix console shows no unreviewed Critical alerts from the prior 8 hours. Use Playbook PB-008 if present.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Document startup completion time and any anomalies found in the shift handover GLPI ticket.</w:t>
      </w:r>
    </w:p>
    <w:p>
      <w:pPr>
        <w:spacing w:before="160" w:after="40"/>
        <w:pBdr>
          <w:bottom w:val="single" w:sz="6" w:space="1" w:color="2E75B6"/>
        </w:pBdr>
      </w:pPr>
      <w:r>
        <w:rPr>
          <w:rFonts w:ascii="Arial" w:hAnsi="Arial"/>
          <w:b/>
          <w:color w:val="0D1F3C"/>
          <w:sz w:val="20"/>
        </w:rPr>
        <w:t>5.2  Ongoing Monitoring (L1 — throughout shift)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Review Elastic SIEM alert queue every 30 minutes at minimum. Do not let any alert remain unreviewed for more than 1 hour.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For every alert: apply Playbook PB-002 (Elastic SIEM Alert Triage). Create a GLPI ticket for every alert that cannot be dismissed as a confirmed false positive in under 5 minutes.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Apply severity classification per SOP-002 (Alert Triage &amp; Severity Classification). Never self-upgrade severity — apply the defined criteria exactly.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For any alert classified P1 or P2: notify L2 by phone/direct message immediately. Do not wait for L2 to see the ticket.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Update GLPI tickets with progress notes every 30 minutes for all active P1/P2 tickets.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Monitor FortiMail quarantine queue once per shift. Use Playbook PB-010.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Monitor FortiGate logs once per shift for policy violations or anomalies. Use Playbook PB-009.</w:t>
      </w:r>
    </w:p>
    <w:p>
      <w:pPr>
        <w:spacing w:before="160" w:after="40"/>
        <w:pBdr>
          <w:bottom w:val="single" w:sz="6" w:space="1" w:color="2E75B6"/>
        </w:pBdr>
      </w:pPr>
      <w:r>
        <w:rPr>
          <w:rFonts w:ascii="Arial" w:hAnsi="Arial"/>
          <w:b/>
          <w:color w:val="0D1F3C"/>
          <w:sz w:val="20"/>
        </w:rPr>
        <w:t>5.3  Shift Handover (L1 — last 15 minutes of every shift)</w:t>
      </w:r>
    </w:p>
    <w:p>
      <w:pPr>
        <w:spacing w:before="120" w:after="120"/>
        <w:ind w:left="288"/>
        <w:shd w:val="clear" w:color="auto" w:fill="FFF2CC"/>
      </w:pPr>
      <w:r>
        <w:rPr>
          <w:rFonts w:ascii="Arial" w:hAnsi="Arial"/>
          <w:b/>
          <w:color w:val="7B0000"/>
          <w:sz w:val="20"/>
        </w:rPr>
        <w:t xml:space="preserve">CRITICAL:  </w:t>
      </w:r>
      <w:r>
        <w:rPr>
          <w:rFonts w:ascii="Arial" w:hAnsi="Arial"/>
          <w:color w:val="000000"/>
          <w:sz w:val="20"/>
        </w:rPr>
        <w:t>Shift handover is not optional. An undocumented handover is an operational failure. If time is insufficient, the outgoing analyst stays until handover is complete.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Open a new GLPI ticket titled: SHIFT HANDOVER — [DATE] — [SHIFT NAME]. Assign to the incoming analyst.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In the ticket description, document ALL of the following:</w:t>
      </w:r>
    </w:p>
    <w:p>
      <w:pPr>
        <w:pStyle w:val="ListBullet"/>
        <w:spacing w:before="20" w:after="20"/>
        <w:ind w:left="720"/>
      </w:pPr>
      <w:r>
        <w:rPr>
          <w:rFonts w:ascii="Arial" w:hAnsi="Arial"/>
          <w:color w:val="000000"/>
          <w:sz w:val="20"/>
        </w:rPr>
        <w:t>Total alerts reviewed this shift and their dispositions (closed/escalated/pending).</w:t>
      </w:r>
    </w:p>
    <w:p>
      <w:pPr>
        <w:pStyle w:val="ListBullet"/>
        <w:spacing w:before="20" w:after="20"/>
        <w:ind w:left="720"/>
      </w:pPr>
      <w:r>
        <w:rPr>
          <w:rFonts w:ascii="Arial" w:hAnsi="Arial"/>
          <w:color w:val="000000"/>
          <w:sz w:val="20"/>
        </w:rPr>
        <w:t>All open GLPI tickets: ticket number, current status, and next required action.</w:t>
      </w:r>
    </w:p>
    <w:p>
      <w:pPr>
        <w:pStyle w:val="ListBullet"/>
        <w:spacing w:before="20" w:after="20"/>
        <w:ind w:left="720"/>
      </w:pPr>
      <w:r>
        <w:rPr>
          <w:rFonts w:ascii="Arial" w:hAnsi="Arial"/>
          <w:color w:val="000000"/>
          <w:sz w:val="20"/>
        </w:rPr>
        <w:t>Any anomalies found in platform health checks.</w:t>
      </w:r>
    </w:p>
    <w:p>
      <w:pPr>
        <w:pStyle w:val="ListBullet"/>
        <w:spacing w:before="20" w:after="20"/>
        <w:ind w:left="720"/>
      </w:pPr>
      <w:r>
        <w:rPr>
          <w:rFonts w:ascii="Arial" w:hAnsi="Arial"/>
          <w:color w:val="000000"/>
          <w:sz w:val="20"/>
        </w:rPr>
        <w:t>Ongoing incidents — current state, actions taken, and pending containment steps.</w:t>
      </w:r>
    </w:p>
    <w:p>
      <w:pPr>
        <w:pStyle w:val="ListBullet"/>
        <w:spacing w:before="20" w:after="20"/>
        <w:ind w:left="720"/>
      </w:pPr>
      <w:r>
        <w:rPr>
          <w:rFonts w:ascii="Arial" w:hAnsi="Arial"/>
          <w:color w:val="000000"/>
          <w:sz w:val="20"/>
        </w:rPr>
        <w:t>Any communications sent to L2, SOC Lead, or client during the shift.</w:t>
      </w:r>
    </w:p>
    <w:p>
      <w:pPr>
        <w:pStyle w:val="ListBullet"/>
        <w:spacing w:before="20" w:after="20"/>
        <w:ind w:left="720"/>
      </w:pPr>
      <w:r>
        <w:rPr>
          <w:rFonts w:ascii="Arial" w:hAnsi="Arial"/>
          <w:color w:val="000000"/>
          <w:sz w:val="20"/>
        </w:rPr>
        <w:t>Items the incoming analyst must action within the first hour.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If an active P1 incident is in progress: conduct a live verbal handover with the incoming analyst. The outgoing analyst must not leave until the incoming analyst has confirmed understanding.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Set GLPI handover ticket to 'Processing (assigned)'. It is closed by the incoming analyst after confirming all items are acknowledged.</w:t>
      </w:r>
    </w:p>
    <w:p>
      <w:pPr>
        <w:spacing w:before="160" w:after="40"/>
        <w:pBdr>
          <w:bottom w:val="single" w:sz="6" w:space="1" w:color="2E75B6"/>
        </w:pBdr>
      </w:pPr>
      <w:r>
        <w:rPr>
          <w:rFonts w:ascii="Arial" w:hAnsi="Arial"/>
          <w:b/>
          <w:color w:val="0D1F3C"/>
          <w:sz w:val="20"/>
        </w:rPr>
        <w:t>5.4  L2 Daily Responsibilities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Review all escalated tickets from L1 within 15 minutes of escalation notification.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Conduct one proactive threat hunt per shift using Velociraptor or Elastic. Document findings in GLPI.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Review Nessus scan results if a scan was scheduled for that day. Use Playbook PB-005 and PB-006.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Confirm all containment actions taken during the shift are documented with timestamps, tool used, and scope of action.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Prepare the daily summary for the SOC Lead: total alerts, incidents, escalations, and any platform health issues.</w:t>
      </w:r>
    </w:p>
    <w:p>
      <w:pPr>
        <w:spacing w:before="240" w:after="40"/>
        <w:shd w:val="clear" w:color="auto" w:fill="1A3A6B"/>
      </w:pPr>
      <w:r>
        <w:rPr>
          <w:rFonts w:ascii="Arial" w:hAnsi="Arial"/>
          <w:b/>
          <w:color w:val="FFFFFF"/>
          <w:sz w:val="22"/>
        </w:rPr>
        <w:t>6.  EXCEPTIONS AND ESCALATIONS</w:t>
      </w:r>
    </w:p>
    <w:p>
      <w:pPr>
        <w:spacing w:before="40" w:after="40"/>
      </w:pPr>
      <w:r>
        <w:rPr>
          <w:rFonts w:ascii="Arial" w:hAnsi="Arial"/>
          <w:b w:val="0"/>
          <w:i w:val="0"/>
          <w:color w:val="000000"/>
          <w:sz w:val="20"/>
        </w:rPr>
        <w:t>The following conditions require immediate escalation to the SOC Lead regardless of shift or time:</w:t>
      </w:r>
    </w:p>
    <w:p>
      <w:pPr>
        <w:pStyle w:val="ListBullet"/>
        <w:spacing w:before="20" w:after="20"/>
        <w:ind w:left="432"/>
      </w:pPr>
      <w:r>
        <w:rPr>
          <w:rFonts w:ascii="Arial" w:hAnsi="Arial"/>
          <w:color w:val="000000"/>
          <w:sz w:val="20"/>
        </w:rPr>
        <w:t>Any confirmed P1 incident (ransomware, active data exfiltration, confirmed breach).</w:t>
      </w:r>
    </w:p>
    <w:p>
      <w:pPr>
        <w:pStyle w:val="ListBullet"/>
        <w:spacing w:before="20" w:after="20"/>
        <w:ind w:left="432"/>
      </w:pPr>
      <w:r>
        <w:rPr>
          <w:rFonts w:ascii="Arial" w:hAnsi="Arial"/>
          <w:color w:val="000000"/>
          <w:sz w:val="20"/>
        </w:rPr>
        <w:t>Loss of visibility in more than one monitored platform simultaneously (potential defense evasion).</w:t>
      </w:r>
    </w:p>
    <w:p>
      <w:pPr>
        <w:pStyle w:val="ListBullet"/>
        <w:spacing w:before="20" w:after="20"/>
        <w:ind w:left="432"/>
      </w:pPr>
      <w:r>
        <w:rPr>
          <w:rFonts w:ascii="Arial" w:hAnsi="Arial"/>
          <w:color w:val="000000"/>
          <w:sz w:val="20"/>
        </w:rPr>
        <w:t>Any alert or event targeting HOIT-level accounts or systems.</w:t>
      </w:r>
    </w:p>
    <w:p>
      <w:pPr>
        <w:pStyle w:val="ListBullet"/>
        <w:spacing w:before="20" w:after="20"/>
        <w:ind w:left="432"/>
      </w:pPr>
      <w:r>
        <w:rPr>
          <w:rFonts w:ascii="Arial" w:hAnsi="Arial"/>
          <w:color w:val="000000"/>
          <w:sz w:val="20"/>
        </w:rPr>
        <w:t>Any situation where the analyst cannot complete the shift startup checklist due to access or platform failure.</w:t>
      </w:r>
    </w:p>
    <w:p>
      <w:pPr>
        <w:spacing w:before="40" w:after="40"/>
      </w:pPr>
      <w:r>
        <w:rPr>
          <w:rFonts w:ascii="Arial" w:hAnsi="Arial"/>
          <w:b w:val="0"/>
          <w:i w:val="0"/>
          <w:color w:val="000000"/>
          <w:sz w:val="20"/>
        </w:rPr>
        <w:t>Exceptions to this SOP require prior written approval from the SOC Lead. No analyst may independently decide to skip sections of this SOP.</w:t>
      </w:r>
    </w:p>
    <w:p>
      <w:pPr>
        <w:spacing w:before="240" w:after="40"/>
        <w:shd w:val="clear" w:color="auto" w:fill="1A3A6B"/>
      </w:pPr>
      <w:r>
        <w:rPr>
          <w:rFonts w:ascii="Arial" w:hAnsi="Arial"/>
          <w:b/>
          <w:color w:val="FFFFFF"/>
          <w:sz w:val="22"/>
        </w:rPr>
        <w:t>7.  COMPLIANCE AND REFERENCES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360"/>
          <w:trHeight w:val="360"/>
        </w:trPr>
        <w:tc>
          <w:tcPr>
            <w:tcW w:type="dxa" w:w="1728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Reference</w:t>
            </w:r>
          </w:p>
        </w:tc>
        <w:tc>
          <w:tcPr>
            <w:tcW w:type="dxa" w:w="7632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rPr>
          <w:trHeight w:val="320"/>
        </w:trPr>
        <w:tc>
          <w:tcPr>
            <w:tcW w:type="dxa" w:w="1728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SOP-002</w:t>
            </w:r>
          </w:p>
        </w:tc>
        <w:tc>
          <w:tcPr>
            <w:tcW w:type="dxa" w:w="7632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Alert Triage &amp; Severity Classification — defines P1/P2/P3/P4 criteria.</w:t>
            </w:r>
          </w:p>
        </w:tc>
      </w:tr>
      <w:tr>
        <w:trPr>
          <w:trHeight w:val="320"/>
        </w:trPr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SOP-003</w:t>
            </w:r>
          </w:p>
        </w:tc>
        <w:tc>
          <w:tcPr>
            <w:tcW w:type="dxa" w:w="76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GLPI Ticket Lifecycle — defines ticket status logic.</w:t>
            </w:r>
          </w:p>
        </w:tc>
      </w:tr>
      <w:tr>
        <w:trPr>
          <w:trHeight w:val="320"/>
        </w:trPr>
        <w:tc>
          <w:tcPr>
            <w:tcW w:type="dxa" w:w="1728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SOP-004</w:t>
            </w:r>
          </w:p>
        </w:tc>
        <w:tc>
          <w:tcPr>
            <w:tcW w:type="dxa" w:w="7632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Incident Escalation &amp; Communication — defines who is notified and when.</w:t>
            </w:r>
          </w:p>
        </w:tc>
      </w:tr>
      <w:tr>
        <w:trPr>
          <w:trHeight w:val="320"/>
        </w:trPr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PB-001</w:t>
            </w:r>
          </w:p>
        </w:tc>
        <w:tc>
          <w:tcPr>
            <w:tcW w:type="dxa" w:w="76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Morning Shift Startup &amp; Alert Queue Review — operational checklist.</w:t>
            </w:r>
          </w:p>
        </w:tc>
      </w:tr>
      <w:tr>
        <w:trPr>
          <w:trHeight w:val="320"/>
        </w:trPr>
        <w:tc>
          <w:tcPr>
            <w:tcW w:type="dxa" w:w="1728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PB-002</w:t>
            </w:r>
          </w:p>
        </w:tc>
        <w:tc>
          <w:tcPr>
            <w:tcW w:type="dxa" w:w="7632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Elastic SIEM Alert Triage &amp; Initial Classification — triage procedure.</w:t>
            </w:r>
          </w:p>
        </w:tc>
      </w:tr>
      <w:tr>
        <w:trPr>
          <w:trHeight w:val="320"/>
        </w:trPr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PB-003</w:t>
            </w:r>
          </w:p>
        </w:tc>
        <w:tc>
          <w:tcPr>
            <w:tcW w:type="dxa" w:w="76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Shift Handover Checklist &amp; Ticket Status Sync — handover procedure.</w:t>
            </w:r>
          </w:p>
        </w:tc>
      </w:tr>
    </w:tbl>
    <w:p/>
    <w:p>
      <w:pPr>
        <w:spacing w:before="240" w:after="40"/>
        <w:shd w:val="clear" w:color="auto" w:fill="1A3A6B"/>
      </w:pPr>
      <w:r>
        <w:rPr>
          <w:rFonts w:ascii="Arial" w:hAnsi="Arial"/>
          <w:b/>
          <w:color w:val="FFFFFF"/>
          <w:sz w:val="22"/>
        </w:rPr>
        <w:t>8.  REVISION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360"/>
          <w:trHeight w:val="360"/>
          <w:trHeight w:val="360"/>
          <w:trHeight w:val="360"/>
        </w:trPr>
        <w:tc>
          <w:tcPr>
            <w:tcW w:type="dxa" w:w="1152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728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2592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5328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Change Summary</w:t>
            </w:r>
          </w:p>
        </w:tc>
      </w:tr>
      <w:tr>
        <w:trPr>
          <w:trHeight w:val="320"/>
        </w:trPr>
        <w:tc>
          <w:tcPr>
            <w:tcW w:type="dxa" w:w="1152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1.0</w:t>
            </w:r>
          </w:p>
        </w:tc>
        <w:tc>
          <w:tcPr>
            <w:tcW w:type="dxa" w:w="1728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2026-04-01</w:t>
            </w:r>
          </w:p>
        </w:tc>
        <w:tc>
          <w:tcPr>
            <w:tcW w:type="dxa" w:w="2592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SOC Lead</w:t>
            </w:r>
          </w:p>
        </w:tc>
        <w:tc>
          <w:tcPr>
            <w:tcW w:type="dxa" w:w="5328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Initial release.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hd w:val="clear" w:color="auto" w:fill="0D1F3C"/>
      <w:jc w:val="left"/>
    </w:pPr>
    <w:r>
      <w:rPr>
        <w:rFonts w:ascii="Arial" w:hAnsi="Arial"/>
        <w:color w:val="FFFFFF"/>
        <w:sz w:val="16"/>
      </w:rPr>
      <w:t xml:space="preserve">  SOP-001  |  SOC Daily Operations &amp; Shift Handover  |  SOC — INTERNAL USE ONLY  |  Review annually or after major incident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D1F3C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D1F3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D1F3C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