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D1F3C"/>
        <w:spacing w:before="0" w:after="0"/>
        <w:ind w:left="0"/>
      </w:pPr>
      <w:r>
        <w:rPr>
          <w:rFonts w:ascii="Arial" w:hAnsi="Arial"/>
          <w:b/>
          <w:color w:val="FFFFFF"/>
          <w:sz w:val="18"/>
        </w:rPr>
        <w:t xml:space="preserve">  SOP-002  |  STANDARD OPERATING PROCEDURE</w:t>
      </w:r>
    </w:p>
    <w:p>
      <w:pPr>
        <w:shd w:val="clear" w:color="auto" w:fill="1A3A6B"/>
        <w:spacing w:before="0" w:after="0"/>
      </w:pPr>
      <w:r>
        <w:rPr>
          <w:rFonts w:ascii="Arial" w:hAnsi="Arial"/>
          <w:b/>
          <w:color w:val="FFFFFF"/>
          <w:sz w:val="32"/>
        </w:rPr>
        <w:t xml:space="preserve">  Alert Triage &amp; Severity Classification</w:t>
      </w:r>
    </w:p>
    <w:p>
      <w:pPr>
        <w:shd w:val="clear" w:color="auto" w:fill="2E75B6"/>
        <w:spacing w:before="0" w:after="120"/>
      </w:pPr>
      <w:r>
        <w:rPr>
          <w:rFonts w:ascii="Arial" w:hAnsi="Arial"/>
          <w:i/>
          <w:color w:val="FFFFFF"/>
          <w:sz w:val="18"/>
        </w:rPr>
        <w:t xml:space="preserve">  Classification: INTERNAL   |   Security Operations Center</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728"/>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6"/>
              </w:rPr>
              <w:t>Document ID</w:t>
            </w:r>
          </w:p>
        </w:tc>
        <w:tc>
          <w:tcPr>
            <w:tcW w:type="dxa" w:w="1584"/>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6"/>
              </w:rPr>
              <w:t>Version</w:t>
            </w:r>
          </w:p>
        </w:tc>
        <w:tc>
          <w:tcPr>
            <w:tcW w:type="dxa" w:w="1728"/>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6"/>
              </w:rPr>
              <w:t>Owner</w:t>
            </w:r>
          </w:p>
        </w:tc>
        <w:tc>
          <w:tcPr>
            <w:tcW w:type="dxa" w:w="1584"/>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6"/>
              </w:rPr>
              <w:t>Approved By</w:t>
            </w:r>
          </w:p>
        </w:tc>
        <w:tc>
          <w:tcPr>
            <w:tcW w:type="dxa" w:w="2592"/>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6"/>
              </w:rPr>
              <w:t>Effective Date</w:t>
            </w:r>
          </w:p>
        </w:tc>
        <w:tc>
          <w:tcPr>
            <w:tcW w:type="dxa" w:w="2736"/>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6"/>
              </w:rPr>
              <w:t>Review Date</w:t>
            </w:r>
          </w:p>
        </w:tc>
      </w:tr>
      <w:tr>
        <w:tc>
          <w:tcPr>
            <w:tcW w:type="dxa" w:w="1728"/>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b/>
                <w:sz w:val="18"/>
              </w:rPr>
              <w:t>SOP-002</w:t>
            </w:r>
          </w:p>
        </w:tc>
        <w:tc>
          <w:tcPr>
            <w:tcW w:type="dxa" w:w="1584"/>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b w:val="0"/>
                <w:sz w:val="18"/>
              </w:rPr>
              <w:t>1.0</w:t>
            </w:r>
          </w:p>
        </w:tc>
        <w:tc>
          <w:tcPr>
            <w:tcW w:type="dxa" w:w="1728"/>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b w:val="0"/>
                <w:sz w:val="18"/>
              </w:rPr>
              <w:t>SOC Lead</w:t>
            </w:r>
          </w:p>
        </w:tc>
        <w:tc>
          <w:tcPr>
            <w:tcW w:type="dxa" w:w="1584"/>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b w:val="0"/>
                <w:sz w:val="18"/>
              </w:rPr>
              <w:t>HOIT</w:t>
            </w:r>
          </w:p>
        </w:tc>
        <w:tc>
          <w:tcPr>
            <w:tcW w:type="dxa" w:w="2592"/>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b w:val="0"/>
                <w:sz w:val="18"/>
              </w:rPr>
              <w:t>2026-04-01</w:t>
            </w:r>
          </w:p>
        </w:tc>
        <w:tc>
          <w:tcPr>
            <w:tcW w:type="dxa" w:w="2736"/>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b w:val="0"/>
                <w:sz w:val="18"/>
              </w:rPr>
              <w:t>2026-10-01</w:t>
            </w:r>
          </w:p>
        </w:tc>
      </w:tr>
    </w:tbl>
    <w:p/>
    <w:p>
      <w:pPr>
        <w:spacing w:before="240" w:after="40"/>
        <w:shd w:val="clear" w:color="auto" w:fill="1A3A6B"/>
      </w:pPr>
      <w:r>
        <w:rPr>
          <w:rFonts w:ascii="Arial" w:hAnsi="Arial"/>
          <w:b/>
          <w:color w:val="FFFFFF"/>
          <w:sz w:val="22"/>
        </w:rPr>
        <w:t>1.  PURPOSE</w:t>
      </w:r>
    </w:p>
    <w:p>
      <w:pPr>
        <w:spacing w:before="40" w:after="40"/>
      </w:pPr>
      <w:r>
        <w:rPr>
          <w:rFonts w:ascii="Arial" w:hAnsi="Arial"/>
          <w:b w:val="0"/>
          <w:i w:val="0"/>
          <w:color w:val="000000"/>
          <w:sz w:val="20"/>
        </w:rPr>
        <w:t>This SOP defines the mandatory framework for classifying the severity of security alerts and incidents in the SOC. Consistent classification ensures that analyst response time, escalation, and communication align with the actual risk level — preventing under-response to critical threats and over-escalation of low-risk noise.</w:t>
      </w:r>
    </w:p>
    <w:p>
      <w:pPr>
        <w:spacing w:before="40" w:after="40"/>
      </w:pPr>
      <w:r>
        <w:rPr>
          <w:rFonts w:ascii="Arial" w:hAnsi="Arial"/>
          <w:b w:val="0"/>
          <w:i w:val="0"/>
          <w:color w:val="000000"/>
          <w:sz w:val="20"/>
        </w:rPr>
        <w:t>Every alert that generates a GLPI ticket must be assigned a severity level using the criteria in this document. No analyst may assign severity based on personal judgment alone.</w:t>
      </w:r>
    </w:p>
    <w:p>
      <w:pPr>
        <w:spacing w:before="240" w:after="40"/>
        <w:shd w:val="clear" w:color="auto" w:fill="1A3A6B"/>
      </w:pPr>
      <w:r>
        <w:rPr>
          <w:rFonts w:ascii="Arial" w:hAnsi="Arial"/>
          <w:b/>
          <w:color w:val="FFFFFF"/>
          <w:sz w:val="22"/>
        </w:rPr>
        <w:t>2.  SCOPE</w:t>
      </w:r>
    </w:p>
    <w:p>
      <w:pPr>
        <w:spacing w:before="40" w:after="40"/>
      </w:pPr>
      <w:r>
        <w:rPr>
          <w:rFonts w:ascii="Arial" w:hAnsi="Arial"/>
          <w:b w:val="0"/>
          <w:i w:val="0"/>
          <w:color w:val="000000"/>
          <w:sz w:val="20"/>
        </w:rPr>
        <w:t>This SOP applies to all security alerts generated by or ingested into:</w:t>
      </w:r>
    </w:p>
    <w:p>
      <w:pPr>
        <w:pStyle w:val="ListBullet"/>
        <w:spacing w:before="20" w:after="20"/>
        <w:ind w:left="432"/>
      </w:pPr>
      <w:r>
        <w:rPr>
          <w:rFonts w:ascii="Arial" w:hAnsi="Arial"/>
          <w:color w:val="000000"/>
          <w:sz w:val="20"/>
        </w:rPr>
        <w:t>Elastic SIEM (all data sources)</w:t>
      </w:r>
    </w:p>
    <w:p>
      <w:pPr>
        <w:pStyle w:val="ListBullet"/>
        <w:spacing w:before="20" w:after="20"/>
        <w:ind w:left="432"/>
      </w:pPr>
      <w:r>
        <w:rPr>
          <w:rFonts w:ascii="Arial" w:hAnsi="Arial"/>
          <w:color w:val="000000"/>
          <w:sz w:val="20"/>
        </w:rPr>
        <w:t>Trellix EDR and Wazuh HIDS (endpoint alerts)</w:t>
      </w:r>
    </w:p>
    <w:p>
      <w:pPr>
        <w:pStyle w:val="ListBullet"/>
        <w:spacing w:before="20" w:after="20"/>
        <w:ind w:left="432"/>
      </w:pPr>
      <w:r>
        <w:rPr>
          <w:rFonts w:ascii="Arial" w:hAnsi="Arial"/>
          <w:color w:val="000000"/>
          <w:sz w:val="20"/>
        </w:rPr>
        <w:t>FortiGate, FortiWeb, FortiMail (network and email alerts)</w:t>
      </w:r>
    </w:p>
    <w:p>
      <w:pPr>
        <w:pStyle w:val="ListBullet"/>
        <w:spacing w:before="20" w:after="20"/>
        <w:ind w:left="432"/>
      </w:pPr>
      <w:r>
        <w:rPr>
          <w:rFonts w:ascii="Arial" w:hAnsi="Arial"/>
          <w:color w:val="000000"/>
          <w:sz w:val="20"/>
        </w:rPr>
        <w:t>Cloudflare, Medianova (edge/CDN alerts)</w:t>
      </w:r>
    </w:p>
    <w:p>
      <w:pPr>
        <w:pStyle w:val="ListBullet"/>
        <w:spacing w:before="20" w:after="20"/>
        <w:ind w:left="432"/>
      </w:pPr>
      <w:r>
        <w:rPr>
          <w:rFonts w:ascii="Arial" w:hAnsi="Arial"/>
          <w:color w:val="000000"/>
          <w:sz w:val="20"/>
        </w:rPr>
        <w:t>Teramind (user behavior alerts)</w:t>
      </w:r>
    </w:p>
    <w:p>
      <w:pPr>
        <w:pStyle w:val="ListBullet"/>
        <w:spacing w:before="20" w:after="20"/>
        <w:ind w:left="432"/>
      </w:pPr>
      <w:r>
        <w:rPr>
          <w:rFonts w:ascii="Arial" w:hAnsi="Arial"/>
          <w:color w:val="000000"/>
          <w:sz w:val="20"/>
        </w:rPr>
        <w:t>Nessus (vulnerability findings — see severity mapping in Section 5.3)</w:t>
      </w:r>
    </w:p>
    <w:p>
      <w:pPr>
        <w:spacing w:before="40" w:after="40"/>
      </w:pPr>
      <w:r>
        <w:rPr>
          <w:rFonts w:ascii="Arial" w:hAnsi="Arial"/>
          <w:b w:val="0"/>
          <w:i w:val="0"/>
          <w:color w:val="000000"/>
          <w:sz w:val="20"/>
        </w:rPr>
        <w:t>This SOP applies to both L1 and L2 analysts. L1 performs initial classification. L2 may upgrade or downgrade severity during investigation.</w:t>
      </w:r>
    </w:p>
    <w:p>
      <w:pPr>
        <w:spacing w:before="240" w:after="40"/>
        <w:shd w:val="clear" w:color="auto" w:fill="1A3A6B"/>
      </w:pPr>
      <w:r>
        <w:rPr>
          <w:rFonts w:ascii="Arial" w:hAnsi="Arial"/>
          <w:b/>
          <w:color w:val="FFFFFF"/>
          <w:sz w:val="22"/>
        </w:rPr>
        <w:t>3.  DEFINITIONS</w:t>
      </w:r>
    </w:p>
    <w:tbl>
      <w:tblPr>
        <w:tblStyle w:val="TableGrid"/>
        <w:tblW w:type="auto" w:w="0"/>
        <w:jc w:val="left"/>
        <w:tblLook w:firstColumn="1" w:firstRow="1" w:lastColumn="0" w:lastRow="0" w:noHBand="0" w:noVBand="1" w:val="04A0"/>
      </w:tblPr>
      <w:tblGrid>
        <w:gridCol w:w="4680"/>
        <w:gridCol w:w="4680"/>
      </w:tblGrid>
      <w:tr>
        <w:trPr>
          <w:trHeight w:val="360"/>
          <w:trHeight w:val="360"/>
        </w:trPr>
        <w:tc>
          <w:tcPr>
            <w:tcW w:type="dxa" w:w="2160"/>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Term</w:t>
            </w:r>
          </w:p>
        </w:tc>
        <w:tc>
          <w:tcPr>
            <w:tcW w:type="dxa" w:w="7200"/>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Definition</w:t>
            </w:r>
          </w:p>
        </w:tc>
      </w:tr>
      <w:tr>
        <w:trPr>
          <w:trHeight w:val="320"/>
        </w:trPr>
        <w:tc>
          <w:tcPr>
            <w:tcW w:type="dxa" w:w="216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Alert</w:t>
            </w:r>
          </w:p>
        </w:tc>
        <w:tc>
          <w:tcPr>
            <w:tcW w:type="dxa" w:w="720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An automated notification from a security tool indicating a potentially malicious or anomalous event.</w:t>
            </w:r>
          </w:p>
        </w:tc>
      </w:tr>
      <w:tr>
        <w:trPr>
          <w:trHeight w:val="320"/>
        </w:trP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Incident</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A confirmed or highly suspected security event requiring active investigation and response actions.</w:t>
            </w:r>
          </w:p>
        </w:tc>
      </w:tr>
      <w:tr>
        <w:trPr>
          <w:trHeight w:val="320"/>
        </w:trPr>
        <w:tc>
          <w:tcPr>
            <w:tcW w:type="dxa" w:w="216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False Positive</w:t>
            </w:r>
          </w:p>
        </w:tc>
        <w:tc>
          <w:tcPr>
            <w:tcW w:type="dxa" w:w="720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An alert that, after investigation, is confirmed to not represent a real threat.</w:t>
            </w:r>
          </w:p>
        </w:tc>
      </w:tr>
      <w:tr>
        <w:trPr>
          <w:trHeight w:val="320"/>
        </w:trP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True Positive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An alert that, after investigation, is confirmed to represent a real security threat.</w:t>
            </w:r>
          </w:p>
        </w:tc>
      </w:tr>
      <w:tr>
        <w:trPr>
          <w:trHeight w:val="320"/>
        </w:trPr>
        <w:tc>
          <w:tcPr>
            <w:tcW w:type="dxa" w:w="216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Triage</w:t>
            </w:r>
          </w:p>
        </w:tc>
        <w:tc>
          <w:tcPr>
            <w:tcW w:type="dxa" w:w="720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The process of reviewing, classifying, and prioritizing an alert to determine the appropriate response.</w:t>
            </w:r>
          </w:p>
        </w:tc>
      </w:tr>
      <w:tr>
        <w:trPr>
          <w:trHeight w:val="320"/>
        </w:trP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IOC</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Indicator of Compromise — an observable artifact (IP, hash, domain, behavior) associated with malicious activity.</w:t>
            </w:r>
          </w:p>
        </w:tc>
      </w:tr>
    </w:tbl>
    <w:p/>
    <w:p>
      <w:pPr>
        <w:spacing w:before="240" w:after="40"/>
        <w:shd w:val="clear" w:color="auto" w:fill="1A3A6B"/>
      </w:pPr>
      <w:r>
        <w:rPr>
          <w:rFonts w:ascii="Arial" w:hAnsi="Arial"/>
          <w:b/>
          <w:color w:val="FFFFFF"/>
          <w:sz w:val="22"/>
        </w:rPr>
        <w:t>4.  ROLES AND RESPONSIBILITIES</w:t>
      </w:r>
    </w:p>
    <w:tbl>
      <w:tblPr>
        <w:tblStyle w:val="TableGrid"/>
        <w:tblW w:type="auto" w:w="0"/>
        <w:jc w:val="left"/>
        <w:tblLook w:firstColumn="1" w:firstRow="1" w:lastColumn="0" w:lastRow="0" w:noHBand="0" w:noVBand="1" w:val="04A0"/>
      </w:tblPr>
      <w:tblGrid>
        <w:gridCol w:w="4680"/>
        <w:gridCol w:w="4680"/>
      </w:tblGrid>
      <w:tr>
        <w:trPr>
          <w:trHeight w:val="360"/>
          <w:trHeight w:val="360"/>
        </w:trPr>
        <w:tc>
          <w:tcPr>
            <w:tcW w:type="dxa" w:w="2160"/>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Role</w:t>
            </w:r>
          </w:p>
        </w:tc>
        <w:tc>
          <w:tcPr>
            <w:tcW w:type="dxa" w:w="7200"/>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Triage Responsibility</w:t>
            </w:r>
          </w:p>
        </w:tc>
      </w:tr>
      <w:tr>
        <w:trPr>
          <w:trHeight w:val="320"/>
        </w:trPr>
        <w:tc>
          <w:tcPr>
            <w:tcW w:type="dxa" w:w="216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L1 Analyst</w:t>
            </w:r>
          </w:p>
        </w:tc>
        <w:tc>
          <w:tcPr>
            <w:tcW w:type="dxa" w:w="720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Performs initial triage on all Elastic SIEM alerts. Assigns initial severity. Escalates P1/P2 to L2 immediately.</w:t>
            </w:r>
          </w:p>
        </w:tc>
      </w:tr>
      <w:tr>
        <w:trPr>
          <w:trHeight w:val="320"/>
        </w:trP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L2 Analyst</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Reviews L1 classifications. Can upgrade or downgrade severity with documented justification. Owns all P1/P2 investigations.</w:t>
            </w:r>
          </w:p>
        </w:tc>
      </w:tr>
      <w:tr>
        <w:trPr>
          <w:trHeight w:val="320"/>
        </w:trPr>
        <w:tc>
          <w:tcPr>
            <w:tcW w:type="dxa" w:w="216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SOC Lead</w:t>
            </w:r>
          </w:p>
        </w:tc>
        <w:tc>
          <w:tcPr>
            <w:tcW w:type="dxa" w:w="720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Reviews daily severity distribution. Identifies trends in misclassification. Approves severity criteria changes.</w:t>
            </w:r>
          </w:p>
        </w:tc>
      </w:tr>
    </w:tbl>
    <w:p/>
    <w:p>
      <w:pPr>
        <w:spacing w:before="240" w:after="40"/>
        <w:shd w:val="clear" w:color="auto" w:fill="1A3A6B"/>
      </w:pPr>
      <w:r>
        <w:rPr>
          <w:rFonts w:ascii="Arial" w:hAnsi="Arial"/>
          <w:b/>
          <w:color w:val="FFFFFF"/>
          <w:sz w:val="22"/>
        </w:rPr>
        <w:t>5.  SEVERITY CLASSIFICATION FRAMEWORK</w:t>
      </w:r>
    </w:p>
    <w:p>
      <w:pPr>
        <w:spacing w:before="160" w:after="40"/>
        <w:pBdr>
          <w:bottom w:val="single" w:sz="6" w:space="1" w:color="2E75B6"/>
        </w:pBdr>
      </w:pPr>
      <w:r>
        <w:rPr>
          <w:rFonts w:ascii="Arial" w:hAnsi="Arial"/>
          <w:b/>
          <w:color w:val="0D1F3C"/>
          <w:sz w:val="20"/>
        </w:rPr>
        <w:t>5.1  Severity Levels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rPr>
          <w:trHeight w:val="360"/>
          <w:trHeight w:val="360"/>
          <w:trHeight w:val="360"/>
          <w:trHeight w:val="360"/>
          <w:trHeight w:val="360"/>
          <w:trHeight w:val="360"/>
        </w:trPr>
        <w:tc>
          <w:tcPr>
            <w:tcW w:type="dxa" w:w="720"/>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Level</w:t>
            </w:r>
          </w:p>
        </w:tc>
        <w:tc>
          <w:tcPr>
            <w:tcW w:type="dxa" w:w="1152"/>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Name</w:t>
            </w:r>
          </w:p>
        </w:tc>
        <w:tc>
          <w:tcPr>
            <w:tcW w:type="dxa" w:w="3600"/>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Description</w:t>
            </w:r>
          </w:p>
        </w:tc>
        <w:tc>
          <w:tcPr>
            <w:tcW w:type="dxa" w:w="1440"/>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L1 Response Time</w:t>
            </w:r>
          </w:p>
        </w:tc>
        <w:tc>
          <w:tcPr>
            <w:tcW w:type="dxa" w:w="1296"/>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L2 Involvement</w:t>
            </w:r>
          </w:p>
        </w:tc>
        <w:tc>
          <w:tcPr>
            <w:tcW w:type="dxa" w:w="1296"/>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HOIT Notification</w:t>
            </w:r>
          </w:p>
        </w:tc>
      </w:tr>
      <w:tr>
        <w:trPr>
          <w:trHeight w:val="320"/>
        </w:trPr>
        <w:tc>
          <w:tcPr>
            <w:tcW w:type="dxa" w:w="72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P1</w:t>
            </w:r>
          </w:p>
        </w:tc>
        <w:tc>
          <w:tcPr>
            <w:tcW w:type="dxa" w:w="1152"/>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CRITICAL</w:t>
            </w:r>
          </w:p>
        </w:tc>
        <w:tc>
          <w:tcPr>
            <w:tcW w:type="dxa" w:w="360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Active or imminent threat with confirmed or highly likely business impact. Examples: ransomware, confirmed breach, active data exfiltration, compromised admin account.</w:t>
            </w:r>
          </w:p>
        </w:tc>
        <w:tc>
          <w:tcPr>
            <w:tcW w:type="dxa" w:w="144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Immediate — within 5 min</w:t>
            </w:r>
          </w:p>
        </w:tc>
        <w:tc>
          <w:tcPr>
            <w:tcW w:type="dxa" w:w="1296"/>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Immediate</w:t>
            </w:r>
          </w:p>
        </w:tc>
        <w:tc>
          <w:tcPr>
            <w:tcW w:type="dxa" w:w="1296"/>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Yes — within 30 min</w:t>
            </w:r>
          </w:p>
        </w:tc>
      </w:tr>
      <w:tr>
        <w:trPr>
          <w:trHeight w:val="320"/>
        </w:trPr>
        <w:tc>
          <w:tcPr>
            <w:tcW w:type="dxa" w:w="72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P2</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HIGH</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Significant threat with potential for escalation. Examples: malware detected and contained, brute force with access achieved, phishing with credential compromise.</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Within 15 min</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Within 30 min</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If unresolved after 2 hours</w:t>
            </w:r>
          </w:p>
        </w:tc>
      </w:tr>
      <w:tr>
        <w:trPr>
          <w:trHeight w:val="320"/>
        </w:trPr>
        <w:tc>
          <w:tcPr>
            <w:tcW w:type="dxa" w:w="72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P3</w:t>
            </w:r>
          </w:p>
        </w:tc>
        <w:tc>
          <w:tcPr>
            <w:tcW w:type="dxa" w:w="1152"/>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MEDIUM</w:t>
            </w:r>
          </w:p>
        </w:tc>
        <w:tc>
          <w:tcPr>
            <w:tcW w:type="dxa" w:w="360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Suspicious activity requiring investigation but no confirmed impact. Examples: repeated failed logins, port scans, policy violations, anomalous user behavior.</w:t>
            </w:r>
          </w:p>
        </w:tc>
        <w:tc>
          <w:tcPr>
            <w:tcW w:type="dxa" w:w="144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Within 1 hour</w:t>
            </w:r>
          </w:p>
        </w:tc>
        <w:tc>
          <w:tcPr>
            <w:tcW w:type="dxa" w:w="1296"/>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If L1 cannot resolve</w:t>
            </w:r>
          </w:p>
        </w:tc>
        <w:tc>
          <w:tcPr>
            <w:tcW w:type="dxa" w:w="1296"/>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No</w:t>
            </w:r>
          </w:p>
        </w:tc>
      </w:tr>
      <w:tr>
        <w:trPr>
          <w:trHeight w:val="320"/>
        </w:trPr>
        <w:tc>
          <w:tcPr>
            <w:tcW w:type="dxa" w:w="72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P4</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LOW / INFO</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Informational or low-confidence alert. Expected behavior, known tool noise, or confirmed false positive. Requires documentation only.</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Within shift</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Only if pattern suggests escalation</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No</w:t>
            </w:r>
          </w:p>
        </w:tc>
      </w:tr>
    </w:tbl>
    <w:p/>
    <w:p>
      <w:pPr>
        <w:spacing w:before="160" w:after="40"/>
        <w:pBdr>
          <w:bottom w:val="single" w:sz="6" w:space="1" w:color="2E75B6"/>
        </w:pBdr>
      </w:pPr>
      <w:r>
        <w:rPr>
          <w:rFonts w:ascii="Arial" w:hAnsi="Arial"/>
          <w:b/>
          <w:color w:val="0D1F3C"/>
          <w:sz w:val="20"/>
        </w:rPr>
        <w:t>5.2  Triage Decision Process</w:t>
      </w:r>
    </w:p>
    <w:p>
      <w:pPr>
        <w:spacing w:before="40" w:after="40"/>
      </w:pPr>
      <w:r>
        <w:rPr>
          <w:rFonts w:ascii="Arial" w:hAnsi="Arial"/>
          <w:b w:val="0"/>
          <w:i w:val="0"/>
          <w:color w:val="000000"/>
          <w:sz w:val="20"/>
        </w:rPr>
        <w:t>Apply the following steps in order for every alert:</w:t>
      </w:r>
    </w:p>
    <w:p>
      <w:pPr>
        <w:pStyle w:val="ListNumber"/>
        <w:spacing w:before="20" w:after="40"/>
        <w:ind w:left="432"/>
      </w:pPr>
      <w:r>
        <w:rPr>
          <w:rFonts w:ascii="Arial" w:hAnsi="Arial"/>
          <w:color w:val="000000"/>
          <w:sz w:val="20"/>
        </w:rPr>
        <w:t>IDENTIFY: What is the alert source, rule name, and affected asset? Record in GLPI ticket.</w:t>
      </w:r>
    </w:p>
    <w:p>
      <w:pPr>
        <w:pStyle w:val="ListNumber"/>
        <w:spacing w:before="20" w:after="40"/>
        <w:ind w:left="432"/>
      </w:pPr>
      <w:r>
        <w:rPr>
          <w:rFonts w:ascii="Arial" w:hAnsi="Arial"/>
          <w:color w:val="000000"/>
          <w:sz w:val="20"/>
        </w:rPr>
        <w:t>CONTEXTUALIZE: Is this a known-good system, known-bad IOC, or unknown? Check: (a) Asset inventory in Netbox, (b) IP/domain/hash reputation in VirusTotal and AbuseIPDB, (c) Prior alerts on same asset in Elastic.</w:t>
      </w:r>
    </w:p>
    <w:p>
      <w:pPr>
        <w:pStyle w:val="ListNumber"/>
        <w:spacing w:before="20" w:after="40"/>
        <w:ind w:left="432"/>
      </w:pPr>
      <w:r>
        <w:rPr>
          <w:rFonts w:ascii="Arial" w:hAnsi="Arial"/>
          <w:color w:val="000000"/>
          <w:sz w:val="20"/>
        </w:rPr>
        <w:t>CORRELATE: Are there related alerts in Elastic for the same host, user, or IP in the last 24 hours? Multiple low-severity alerts targeting the same asset may indicate a P2 or P1 campaign.</w:t>
      </w:r>
    </w:p>
    <w:p>
      <w:pPr>
        <w:pStyle w:val="ListNumber"/>
        <w:spacing w:before="20" w:after="40"/>
        <w:ind w:left="432"/>
      </w:pPr>
      <w:r>
        <w:rPr>
          <w:rFonts w:ascii="Arial" w:hAnsi="Arial"/>
          <w:color w:val="000000"/>
          <w:sz w:val="20"/>
        </w:rPr>
        <w:t>CLASSIFY: Apply severity criteria from Section 5.1. If two severity levels could apply, always assign the higher one. Document your reasoning in the GLPI ticket.</w:t>
      </w:r>
    </w:p>
    <w:p>
      <w:pPr>
        <w:pStyle w:val="ListNumber"/>
        <w:spacing w:before="20" w:after="40"/>
        <w:ind w:left="432"/>
      </w:pPr>
      <w:r>
        <w:rPr>
          <w:rFonts w:ascii="Arial" w:hAnsi="Arial"/>
          <w:color w:val="000000"/>
          <w:sz w:val="20"/>
        </w:rPr>
        <w:t>ACT: Follow the corresponding playbook for the alert type. Escalate per SOP-004 if P1 or P2.</w:t>
      </w:r>
    </w:p>
    <w:p>
      <w:pPr>
        <w:spacing w:before="160" w:after="40"/>
        <w:pBdr>
          <w:bottom w:val="single" w:sz="6" w:space="1" w:color="2E75B6"/>
        </w:pBdr>
      </w:pPr>
      <w:r>
        <w:rPr>
          <w:rFonts w:ascii="Arial" w:hAnsi="Arial"/>
          <w:b/>
          <w:color w:val="0D1F3C"/>
          <w:sz w:val="20"/>
        </w:rPr>
        <w:t>5.3  Severity Escalation Rules</w:t>
      </w:r>
    </w:p>
    <w:p>
      <w:pPr>
        <w:spacing w:before="120" w:after="120"/>
        <w:ind w:left="288"/>
        <w:shd w:val="clear" w:color="auto" w:fill="FFF2CC"/>
      </w:pPr>
      <w:r>
        <w:rPr>
          <w:rFonts w:ascii="Arial" w:hAnsi="Arial"/>
          <w:b/>
          <w:color w:val="7B0000"/>
          <w:sz w:val="20"/>
        </w:rPr>
        <w:t xml:space="preserve">RULE:  </w:t>
      </w:r>
      <w:r>
        <w:rPr>
          <w:rFonts w:ascii="Arial" w:hAnsi="Arial"/>
          <w:color w:val="000000"/>
          <w:sz w:val="20"/>
        </w:rPr>
        <w:t>When in doubt, classify higher. It is always acceptable to downgrade after investigation. It is never acceptable to under-respond to an active threat.</w:t>
      </w:r>
    </w:p>
    <w:p>
      <w:pPr>
        <w:spacing w:before="40" w:after="40"/>
      </w:pPr>
      <w:r>
        <w:rPr>
          <w:rFonts w:ascii="Arial" w:hAnsi="Arial"/>
          <w:b w:val="0"/>
          <w:i w:val="0"/>
          <w:color w:val="000000"/>
          <w:sz w:val="20"/>
        </w:rPr>
        <w:t>Automatic upgrade to P1 if ANY of the following are true:</w:t>
      </w:r>
    </w:p>
    <w:p>
      <w:pPr>
        <w:pStyle w:val="ListBullet"/>
        <w:spacing w:before="20" w:after="20"/>
        <w:ind w:left="432"/>
      </w:pPr>
      <w:r>
        <w:rPr>
          <w:rFonts w:ascii="Arial" w:hAnsi="Arial"/>
          <w:color w:val="000000"/>
          <w:sz w:val="20"/>
        </w:rPr>
        <w:t>The affected asset is a Domain Controller, Active Directory server, or backup server.</w:t>
      </w:r>
    </w:p>
    <w:p>
      <w:pPr>
        <w:pStyle w:val="ListBullet"/>
        <w:spacing w:before="20" w:after="20"/>
        <w:ind w:left="432"/>
      </w:pPr>
      <w:r>
        <w:rPr>
          <w:rFonts w:ascii="Arial" w:hAnsi="Arial"/>
          <w:color w:val="000000"/>
          <w:sz w:val="20"/>
        </w:rPr>
        <w:t>The alert involves a privileged account (Domain Admin, local Administrator, service account with elevated rights).</w:t>
      </w:r>
    </w:p>
    <w:p>
      <w:pPr>
        <w:pStyle w:val="ListBullet"/>
        <w:spacing w:before="20" w:after="20"/>
        <w:ind w:left="432"/>
      </w:pPr>
      <w:r>
        <w:rPr>
          <w:rFonts w:ascii="Arial" w:hAnsi="Arial"/>
          <w:color w:val="000000"/>
          <w:sz w:val="20"/>
        </w:rPr>
        <w:t>The alert involves more than 10 endpoints or user accounts simultaneously.</w:t>
      </w:r>
    </w:p>
    <w:p>
      <w:pPr>
        <w:pStyle w:val="ListBullet"/>
        <w:spacing w:before="20" w:after="20"/>
        <w:ind w:left="432"/>
      </w:pPr>
      <w:r>
        <w:rPr>
          <w:rFonts w:ascii="Arial" w:hAnsi="Arial"/>
          <w:color w:val="000000"/>
          <w:sz w:val="20"/>
        </w:rPr>
        <w:t>The alert indicates lateral movement (pass-the-hash, WMI remote execution, PsExec).</w:t>
      </w:r>
    </w:p>
    <w:p>
      <w:pPr>
        <w:pStyle w:val="ListBullet"/>
        <w:spacing w:before="20" w:after="20"/>
        <w:ind w:left="432"/>
      </w:pPr>
      <w:r>
        <w:rPr>
          <w:rFonts w:ascii="Arial" w:hAnsi="Arial"/>
          <w:color w:val="000000"/>
          <w:sz w:val="20"/>
        </w:rPr>
        <w:t>The alert indicates data leaving the network to an unknown external destination.</w:t>
      </w:r>
    </w:p>
    <w:p>
      <w:pPr>
        <w:pStyle w:val="ListBullet"/>
        <w:spacing w:before="20" w:after="20"/>
        <w:ind w:left="432"/>
      </w:pPr>
      <w:r>
        <w:rPr>
          <w:rFonts w:ascii="Arial" w:hAnsi="Arial"/>
          <w:color w:val="000000"/>
          <w:sz w:val="20"/>
        </w:rPr>
        <w:t>The L2 analyst assesses active attacker presence in the environment.</w:t>
      </w:r>
    </w:p>
    <w:p>
      <w:pPr>
        <w:spacing w:before="160" w:after="40"/>
        <w:pBdr>
          <w:bottom w:val="single" w:sz="6" w:space="1" w:color="2E75B6"/>
        </w:pBdr>
      </w:pPr>
      <w:r>
        <w:rPr>
          <w:rFonts w:ascii="Arial" w:hAnsi="Arial"/>
          <w:b/>
          <w:color w:val="0D1F3C"/>
          <w:sz w:val="20"/>
        </w:rPr>
        <w:t>5.4  Nessus Vulnerability Severity Mapping</w:t>
      </w:r>
    </w:p>
    <w:tbl>
      <w:tblPr>
        <w:tblStyle w:val="TableGrid"/>
        <w:tblW w:type="auto" w:w="0"/>
        <w:jc w:val="left"/>
        <w:tblLook w:firstColumn="1" w:firstRow="1" w:lastColumn="0" w:lastRow="0" w:noHBand="0" w:noVBand="1" w:val="04A0"/>
      </w:tblPr>
      <w:tblGrid>
        <w:gridCol w:w="2340"/>
        <w:gridCol w:w="2340"/>
        <w:gridCol w:w="2340"/>
        <w:gridCol w:w="2340"/>
      </w:tblGrid>
      <w:tr>
        <w:trPr>
          <w:trHeight w:val="360"/>
          <w:trHeight w:val="360"/>
          <w:trHeight w:val="360"/>
          <w:trHeight w:val="360"/>
        </w:trPr>
        <w:tc>
          <w:tcPr>
            <w:tcW w:type="dxa" w:w="1872"/>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Nessus CVSS Score</w:t>
            </w:r>
          </w:p>
        </w:tc>
        <w:tc>
          <w:tcPr>
            <w:tcW w:type="dxa" w:w="1728"/>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Nessus Severity</w:t>
            </w:r>
          </w:p>
        </w:tc>
        <w:tc>
          <w:tcPr>
            <w:tcW w:type="dxa" w:w="2160"/>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SOC Ticket Severity</w:t>
            </w:r>
          </w:p>
        </w:tc>
        <w:tc>
          <w:tcPr>
            <w:tcW w:type="dxa" w:w="3600"/>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Action</w:t>
            </w:r>
          </w:p>
        </w:tc>
      </w:tr>
      <w:tr>
        <w:trPr>
          <w:trHeight w:val="320"/>
        </w:trPr>
        <w:tc>
          <w:tcPr>
            <w:tcW w:type="dxa" w:w="1872"/>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9.0 – 10.0</w:t>
            </w:r>
          </w:p>
        </w:tc>
        <w:tc>
          <w:tcPr>
            <w:tcW w:type="dxa" w:w="1728"/>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Critical</w:t>
            </w:r>
          </w:p>
        </w:tc>
        <w:tc>
          <w:tcPr>
            <w:tcW w:type="dxa" w:w="216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P1</w:t>
            </w:r>
          </w:p>
        </w:tc>
        <w:tc>
          <w:tcPr>
            <w:tcW w:type="dxa" w:w="360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Open ticket immediately. Notify L2 and SOC Lead. Remediation deadline: 48 hours.</w:t>
            </w:r>
          </w:p>
        </w:tc>
      </w:tr>
      <w:tr>
        <w:trPr>
          <w:trHeight w:val="320"/>
        </w:trPr>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7.0 – 8.9</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High</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P2</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Open ticket within same shift. L2 assigns to remediation owner. Deadline: 7 days.</w:t>
            </w:r>
          </w:p>
        </w:tc>
      </w:tr>
      <w:tr>
        <w:trPr>
          <w:trHeight w:val="320"/>
        </w:trPr>
        <w:tc>
          <w:tcPr>
            <w:tcW w:type="dxa" w:w="1872"/>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4.0 – 6.9</w:t>
            </w:r>
          </w:p>
        </w:tc>
        <w:tc>
          <w:tcPr>
            <w:tcW w:type="dxa" w:w="1728"/>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Medium</w:t>
            </w:r>
          </w:p>
        </w:tc>
        <w:tc>
          <w:tcPr>
            <w:tcW w:type="dxa" w:w="216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P3</w:t>
            </w:r>
          </w:p>
        </w:tc>
        <w:tc>
          <w:tcPr>
            <w:tcW w:type="dxa" w:w="360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Open ticket. Schedule remediation. Deadline: 30 days.</w:t>
            </w:r>
          </w:p>
        </w:tc>
      </w:tr>
      <w:tr>
        <w:trPr>
          <w:trHeight w:val="320"/>
        </w:trPr>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0.1 – 3.9</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Low / Info</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P4</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Log for monthly review. No immediate action required.</w:t>
            </w:r>
          </w:p>
        </w:tc>
      </w:tr>
    </w:tbl>
    <w:p/>
    <w:p>
      <w:pPr>
        <w:spacing w:before="240" w:after="40"/>
        <w:shd w:val="clear" w:color="auto" w:fill="1A3A6B"/>
      </w:pPr>
      <w:r>
        <w:rPr>
          <w:rFonts w:ascii="Arial" w:hAnsi="Arial"/>
          <w:b/>
          <w:color w:val="FFFFFF"/>
          <w:sz w:val="22"/>
        </w:rPr>
        <w:t>6.  FALSE POSITIVE HANDLING</w:t>
      </w:r>
    </w:p>
    <w:p>
      <w:pPr>
        <w:pStyle w:val="ListNumber"/>
        <w:spacing w:before="20" w:after="40"/>
        <w:ind w:left="432"/>
      </w:pPr>
      <w:r>
        <w:rPr>
          <w:rFonts w:ascii="Arial" w:hAnsi="Arial"/>
          <w:color w:val="000000"/>
          <w:sz w:val="20"/>
        </w:rPr>
        <w:t>If an alert is assessed as a false positive, the analyst must document in GLPI: what was reviewed, what evidence supports the false positive determination, and whether a tuning request should be submitted.</w:t>
      </w:r>
    </w:p>
    <w:p>
      <w:pPr>
        <w:pStyle w:val="ListNumber"/>
        <w:spacing w:before="20" w:after="40"/>
        <w:ind w:left="432"/>
      </w:pPr>
      <w:r>
        <w:rPr>
          <w:rFonts w:ascii="Arial" w:hAnsi="Arial"/>
          <w:color w:val="000000"/>
          <w:sz w:val="20"/>
        </w:rPr>
        <w:t>False positives must NOT be closed without documentation. Set GLPI ticket to Solved with category 'False Positive' and the detailed note.</w:t>
      </w:r>
    </w:p>
    <w:p>
      <w:pPr>
        <w:pStyle w:val="ListNumber"/>
        <w:spacing w:before="20" w:after="40"/>
        <w:ind w:left="432"/>
      </w:pPr>
      <w:r>
        <w:rPr>
          <w:rFonts w:ascii="Arial" w:hAnsi="Arial"/>
          <w:color w:val="000000"/>
          <w:sz w:val="20"/>
        </w:rPr>
        <w:t>If the same false positive alert fires 3 or more times within 7 days, the L2 analyst must submit a tuning request to the SOC Lead. Suppressing noise without approval is not permitted.</w:t>
      </w:r>
    </w:p>
    <w:p>
      <w:pPr>
        <w:spacing w:before="240" w:after="40"/>
        <w:shd w:val="clear" w:color="auto" w:fill="1A3A6B"/>
      </w:pPr>
      <w:r>
        <w:rPr>
          <w:rFonts w:ascii="Arial" w:hAnsi="Arial"/>
          <w:b/>
          <w:color w:val="FFFFFF"/>
          <w:sz w:val="22"/>
        </w:rPr>
        <w:t>7.  COMPLIANCE AND REFERENCES</w:t>
      </w:r>
    </w:p>
    <w:tbl>
      <w:tblPr>
        <w:tblStyle w:val="TableGrid"/>
        <w:tblW w:type="auto" w:w="0"/>
        <w:jc w:val="left"/>
        <w:tblLook w:firstColumn="1" w:firstRow="1" w:lastColumn="0" w:lastRow="0" w:noHBand="0" w:noVBand="1" w:val="04A0"/>
      </w:tblPr>
      <w:tblGrid>
        <w:gridCol w:w="4680"/>
        <w:gridCol w:w="4680"/>
      </w:tblGrid>
      <w:tr>
        <w:trPr>
          <w:trHeight w:val="360"/>
          <w:trHeight w:val="360"/>
        </w:trPr>
        <w:tc>
          <w:tcPr>
            <w:tcW w:type="dxa" w:w="2160"/>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Reference</w:t>
            </w:r>
          </w:p>
        </w:tc>
        <w:tc>
          <w:tcPr>
            <w:tcW w:type="dxa" w:w="7200"/>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Description</w:t>
            </w:r>
          </w:p>
        </w:tc>
      </w:tr>
      <w:tr>
        <w:trPr>
          <w:trHeight w:val="320"/>
        </w:trPr>
        <w:tc>
          <w:tcPr>
            <w:tcW w:type="dxa" w:w="216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SOP-001</w:t>
            </w:r>
          </w:p>
        </w:tc>
        <w:tc>
          <w:tcPr>
            <w:tcW w:type="dxa" w:w="720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SOC Daily Operations — defines how alert queue is monitored.</w:t>
            </w:r>
          </w:p>
        </w:tc>
      </w:tr>
      <w:tr>
        <w:trPr>
          <w:trHeight w:val="320"/>
        </w:trP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SOP-003</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GLPI Ticket Lifecycle — defines ticket status and priority fields.</w:t>
            </w:r>
          </w:p>
        </w:tc>
      </w:tr>
      <w:tr>
        <w:trPr>
          <w:trHeight w:val="320"/>
        </w:trPr>
        <w:tc>
          <w:tcPr>
            <w:tcW w:type="dxa" w:w="216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SOP-004</w:t>
            </w:r>
          </w:p>
        </w:tc>
        <w:tc>
          <w:tcPr>
            <w:tcW w:type="dxa" w:w="720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Escalation &amp; Communication — defines who to notify at each severity level.</w:t>
            </w:r>
          </w:p>
        </w:tc>
      </w:tr>
      <w:tr>
        <w:trPr>
          <w:trHeight w:val="320"/>
        </w:trP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PB-002</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Elastic SIEM Alert Triage &amp; Initial Classification — step-by-step triage execution.</w:t>
            </w:r>
          </w:p>
        </w:tc>
      </w:tr>
      <w:tr>
        <w:trPr>
          <w:trHeight w:val="320"/>
        </w:trPr>
        <w:tc>
          <w:tcPr>
            <w:tcW w:type="dxa" w:w="216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NIST SP 800-61r2</w:t>
            </w:r>
          </w:p>
        </w:tc>
        <w:tc>
          <w:tcPr>
            <w:tcW w:type="dxa" w:w="7200"/>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Computer Security Incident Handling Guide — reference framework for severity tiers.</w:t>
            </w:r>
          </w:p>
        </w:tc>
      </w:tr>
    </w:tbl>
    <w:p/>
    <w:p>
      <w:pPr>
        <w:spacing w:before="240" w:after="40"/>
        <w:shd w:val="clear" w:color="auto" w:fill="1A3A6B"/>
      </w:pPr>
      <w:r>
        <w:rPr>
          <w:rFonts w:ascii="Arial" w:hAnsi="Arial"/>
          <w:b/>
          <w:color w:val="FFFFFF"/>
          <w:sz w:val="22"/>
        </w:rPr>
        <w:t>8.  REVISION HISTORY</w:t>
      </w:r>
    </w:p>
    <w:tbl>
      <w:tblPr>
        <w:tblStyle w:val="TableGrid"/>
        <w:tblW w:type="auto" w:w="0"/>
        <w:jc w:val="left"/>
        <w:tblLook w:firstColumn="1" w:firstRow="1" w:lastColumn="0" w:lastRow="0" w:noHBand="0" w:noVBand="1" w:val="04A0"/>
      </w:tblPr>
      <w:tblGrid>
        <w:gridCol w:w="2340"/>
        <w:gridCol w:w="2340"/>
        <w:gridCol w:w="2340"/>
        <w:gridCol w:w="2340"/>
      </w:tblGrid>
      <w:tr>
        <w:trPr>
          <w:trHeight w:val="360"/>
          <w:trHeight w:val="360"/>
          <w:trHeight w:val="360"/>
          <w:trHeight w:val="360"/>
        </w:trPr>
        <w:tc>
          <w:tcPr>
            <w:tcW w:type="dxa" w:w="1152"/>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Version</w:t>
            </w:r>
          </w:p>
        </w:tc>
        <w:tc>
          <w:tcPr>
            <w:tcW w:type="dxa" w:w="1728"/>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Date</w:t>
            </w:r>
          </w:p>
        </w:tc>
        <w:tc>
          <w:tcPr>
            <w:tcW w:type="dxa" w:w="2592"/>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Author</w:t>
            </w:r>
          </w:p>
        </w:tc>
        <w:tc>
          <w:tcPr>
            <w:tcW w:type="dxa" w:w="5328"/>
            <w:shd w:val="clear" w:color="auto" w:fill="0D1F3C"/>
            <w:tcBorders>
              <w:top w:val="single" w:sz="4" w:space="0" w:color="CCCCCC"/>
              <w:left w:val="single" w:sz="4" w:space="0" w:color="CCCCCC"/>
              <w:bottom w:val="single" w:sz="4" w:space="0" w:color="CCCCCC"/>
              <w:right w:val="single" w:sz="4" w:space="0" w:color="CCCCCC"/>
            </w:tcBorders>
          </w:tcPr>
          <w:p>
            <w:r>
              <w:rPr>
                <w:rFonts w:ascii="Arial" w:hAnsi="Arial"/>
                <w:b/>
                <w:color w:val="FFFFFF"/>
                <w:sz w:val="18"/>
              </w:rPr>
              <w:t>Change Summary</w:t>
            </w:r>
          </w:p>
        </w:tc>
      </w:tr>
      <w:tr>
        <w:trPr>
          <w:trHeight w:val="320"/>
        </w:trPr>
        <w:tc>
          <w:tcPr>
            <w:tcW w:type="dxa" w:w="1152"/>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1.0</w:t>
            </w:r>
          </w:p>
        </w:tc>
        <w:tc>
          <w:tcPr>
            <w:tcW w:type="dxa" w:w="1728"/>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2026-04-01</w:t>
            </w:r>
          </w:p>
        </w:tc>
        <w:tc>
          <w:tcPr>
            <w:tcW w:type="dxa" w:w="2592"/>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SOC Lead</w:t>
            </w:r>
          </w:p>
        </w:tc>
        <w:tc>
          <w:tcPr>
            <w:tcW w:type="dxa" w:w="5328"/>
            <w:shd w:val="clear" w:color="auto" w:fill="D6E4F0"/>
            <w:tcBorders>
              <w:top w:val="single" w:sz="4" w:space="0" w:color="CCCCCC"/>
              <w:left w:val="single" w:sz="4" w:space="0" w:color="CCCCCC"/>
              <w:bottom w:val="single" w:sz="4" w:space="0" w:color="CCCCCC"/>
              <w:right w:val="single" w:sz="4" w:space="0" w:color="CCCCCC"/>
            </w:tcBorders>
          </w:tcPr>
          <w:p>
            <w:r>
              <w:rPr>
                <w:rFonts w:ascii="Arial" w:hAnsi="Arial"/>
                <w:color w:val="000000"/>
                <w:sz w:val="18"/>
              </w:rPr>
              <w:t>Initial release.</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hd w:val="clear" w:color="auto" w:fill="0D1F3C"/>
      <w:jc w:val="left"/>
    </w:pPr>
    <w:r>
      <w:rPr>
        <w:rFonts w:ascii="Arial" w:hAnsi="Arial"/>
        <w:color w:val="FFFFFF"/>
        <w:sz w:val="16"/>
      </w:rPr>
      <w:t xml:space="preserve">  SOP-002  |  Alert Triage &amp; Severity Classification  |  SOC — INTERNAL USE ONLY  |  Review annually or after major incident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D1F3C"/>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D1F3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D1F3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