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0D1F3C"/>
        <w:spacing w:before="0" w:after="0"/>
        <w:ind w:left="0"/>
      </w:pPr>
      <w:r>
        <w:rPr>
          <w:rFonts w:ascii="Arial" w:hAnsi="Arial"/>
          <w:b/>
          <w:color w:val="FFFFFF"/>
          <w:sz w:val="18"/>
        </w:rPr>
        <w:t xml:space="preserve">  SOP-005  |  STANDARD OPERATING PROCEDURE</w:t>
      </w:r>
    </w:p>
    <w:p>
      <w:pPr>
        <w:shd w:val="clear" w:color="auto" w:fill="1A3A6B"/>
        <w:spacing w:before="0" w:after="0"/>
      </w:pPr>
      <w:r>
        <w:rPr>
          <w:rFonts w:ascii="Arial" w:hAnsi="Arial"/>
          <w:b/>
          <w:color w:val="FFFFFF"/>
          <w:sz w:val="32"/>
        </w:rPr>
        <w:t xml:space="preserve">  Evidence Collection &amp; Chain of Custody</w:t>
      </w:r>
    </w:p>
    <w:p>
      <w:pPr>
        <w:shd w:val="clear" w:color="auto" w:fill="2E75B6"/>
        <w:spacing w:before="0" w:after="120"/>
      </w:pPr>
      <w:r>
        <w:rPr>
          <w:rFonts w:ascii="Arial" w:hAnsi="Arial"/>
          <w:i/>
          <w:color w:val="FFFFFF"/>
          <w:sz w:val="18"/>
        </w:rPr>
        <w:t xml:space="preserve">  Classification: INTERNAL   |   Security Operations Center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728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Document ID</w:t>
            </w:r>
          </w:p>
        </w:tc>
        <w:tc>
          <w:tcPr>
            <w:tcW w:type="dxa" w:w="1584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1728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584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Approved By</w:t>
            </w:r>
          </w:p>
        </w:tc>
        <w:tc>
          <w:tcPr>
            <w:tcW w:type="dxa" w:w="2592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Effective Date</w:t>
            </w:r>
          </w:p>
        </w:tc>
        <w:tc>
          <w:tcPr>
            <w:tcW w:type="dxa" w:w="2736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Review Date</w:t>
            </w:r>
          </w:p>
        </w:tc>
      </w:tr>
      <w:tr>
        <w:tc>
          <w:tcPr>
            <w:tcW w:type="dxa" w:w="1728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SOP-005</w:t>
            </w:r>
          </w:p>
        </w:tc>
        <w:tc>
          <w:tcPr>
            <w:tcW w:type="dxa" w:w="1584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1.0</w:t>
            </w:r>
          </w:p>
        </w:tc>
        <w:tc>
          <w:tcPr>
            <w:tcW w:type="dxa" w:w="1728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SOC Lead</w:t>
            </w:r>
          </w:p>
        </w:tc>
        <w:tc>
          <w:tcPr>
            <w:tcW w:type="dxa" w:w="1584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HOIT</w:t>
            </w:r>
          </w:p>
        </w:tc>
        <w:tc>
          <w:tcPr>
            <w:tcW w:type="dxa" w:w="2592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2026-04-01</w:t>
            </w:r>
          </w:p>
        </w:tc>
        <w:tc>
          <w:tcPr>
            <w:tcW w:type="dxa" w:w="2736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2026-10-01</w:t>
            </w:r>
          </w:p>
        </w:tc>
      </w:tr>
    </w:tbl>
    <w:p/>
    <w:p>
      <w:pPr>
        <w:spacing w:before="240" w:after="40"/>
        <w:shd w:val="clear" w:color="auto" w:fill="1A3A6B"/>
      </w:pPr>
      <w:r>
        <w:rPr>
          <w:rFonts w:ascii="Arial" w:hAnsi="Arial"/>
          <w:b/>
          <w:color w:val="FFFFFF"/>
          <w:sz w:val="22"/>
        </w:rPr>
        <w:t>1.  PURPOSE</w:t>
      </w:r>
    </w:p>
    <w:p>
      <w:pPr>
        <w:spacing w:before="40" w:after="40"/>
      </w:pPr>
      <w:r>
        <w:rPr>
          <w:rFonts w:ascii="Arial" w:hAnsi="Arial"/>
          <w:b w:val="0"/>
          <w:i w:val="0"/>
          <w:color w:val="000000"/>
          <w:sz w:val="20"/>
        </w:rPr>
        <w:t>This SOP governs how the SOC collects, preserves, documents, and transfers digital evidence during security incidents. Proper evidence handling is essential for forensic integrity, legal defensibility, and effective post-incident analysis.</w:t>
      </w:r>
    </w:p>
    <w:p>
      <w:pPr>
        <w:spacing w:before="40" w:after="40"/>
      </w:pPr>
      <w:r>
        <w:rPr>
          <w:rFonts w:ascii="Arial" w:hAnsi="Arial"/>
          <w:b w:val="0"/>
          <w:i w:val="0"/>
          <w:color w:val="000000"/>
          <w:sz w:val="20"/>
        </w:rPr>
        <w:t>This SOP is mandatory for all L2 analysts and the SOC Lead. L1 analysts must not independently collect forensic evidence — they must escalate to L2 and follow the preservation guidance in Section 5.1 only.</w:t>
      </w:r>
    </w:p>
    <w:p>
      <w:pPr>
        <w:spacing w:before="240" w:after="40"/>
        <w:shd w:val="clear" w:color="auto" w:fill="1A3A6B"/>
      </w:pPr>
      <w:r>
        <w:rPr>
          <w:rFonts w:ascii="Arial" w:hAnsi="Arial"/>
          <w:b/>
          <w:color w:val="FFFFFF"/>
          <w:sz w:val="22"/>
        </w:rPr>
        <w:t>2.  SCOPE</w:t>
      </w:r>
    </w:p>
    <w:p>
      <w:pPr>
        <w:spacing w:before="40" w:after="40"/>
      </w:pPr>
      <w:r>
        <w:rPr>
          <w:rFonts w:ascii="Arial" w:hAnsi="Arial"/>
          <w:b w:val="0"/>
          <w:i w:val="0"/>
          <w:color w:val="000000"/>
          <w:sz w:val="20"/>
        </w:rPr>
        <w:t>This SOP applies to all evidence collected during P1 and P2 incidents from:</w:t>
      </w:r>
    </w:p>
    <w:p>
      <w:pPr>
        <w:pStyle w:val="ListBullet"/>
        <w:spacing w:before="20" w:after="20"/>
        <w:ind w:left="432"/>
      </w:pPr>
      <w:r>
        <w:rPr>
          <w:rFonts w:ascii="Arial" w:hAnsi="Arial"/>
          <w:color w:val="000000"/>
          <w:sz w:val="20"/>
        </w:rPr>
        <w:t>Endpoints: memory images, disk images, process lists, registry exports (via Velociraptor or Trellix)</w:t>
      </w:r>
    </w:p>
    <w:p>
      <w:pPr>
        <w:pStyle w:val="ListBullet"/>
        <w:spacing w:before="20" w:after="20"/>
        <w:ind w:left="432"/>
      </w:pPr>
      <w:r>
        <w:rPr>
          <w:rFonts w:ascii="Arial" w:hAnsi="Arial"/>
          <w:color w:val="000000"/>
          <w:sz w:val="20"/>
        </w:rPr>
        <w:t>Logs: Elastic SIEM exports, Wazuh agent logs, FortiGate/FortiMail logs</w:t>
      </w:r>
    </w:p>
    <w:p>
      <w:pPr>
        <w:pStyle w:val="ListBullet"/>
        <w:spacing w:before="20" w:after="20"/>
        <w:ind w:left="432"/>
      </w:pPr>
      <w:r>
        <w:rPr>
          <w:rFonts w:ascii="Arial" w:hAnsi="Arial"/>
          <w:color w:val="000000"/>
          <w:sz w:val="20"/>
        </w:rPr>
        <w:t>Network artifacts: packet captures, firewall rule hit exports</w:t>
      </w:r>
    </w:p>
    <w:p>
      <w:pPr>
        <w:pStyle w:val="ListBullet"/>
        <w:spacing w:before="20" w:after="20"/>
        <w:ind w:left="432"/>
      </w:pPr>
      <w:r>
        <w:rPr>
          <w:rFonts w:ascii="Arial" w:hAnsi="Arial"/>
          <w:color w:val="000000"/>
          <w:sz w:val="20"/>
        </w:rPr>
        <w:t>Email artifacts: quarantined email files, header exports from FortiMail</w:t>
      </w:r>
    </w:p>
    <w:p>
      <w:pPr>
        <w:pStyle w:val="ListBullet"/>
        <w:spacing w:before="20" w:after="20"/>
        <w:ind w:left="432"/>
      </w:pPr>
      <w:r>
        <w:rPr>
          <w:rFonts w:ascii="Arial" w:hAnsi="Arial"/>
          <w:color w:val="000000"/>
          <w:sz w:val="20"/>
        </w:rPr>
        <w:t>User behavior artifacts: Teramind session recordings or activity logs</w:t>
      </w:r>
    </w:p>
    <w:p>
      <w:pPr>
        <w:spacing w:before="240" w:after="40"/>
        <w:shd w:val="clear" w:color="auto" w:fill="1A3A6B"/>
      </w:pPr>
      <w:r>
        <w:rPr>
          <w:rFonts w:ascii="Arial" w:hAnsi="Arial"/>
          <w:b/>
          <w:color w:val="FFFFFF"/>
          <w:sz w:val="22"/>
        </w:rPr>
        <w:t>3.  DEFINITIONS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360"/>
          <w:trHeight w:val="360"/>
        </w:trPr>
        <w:tc>
          <w:tcPr>
            <w:tcW w:type="dxa" w:w="2160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Term</w:t>
            </w:r>
          </w:p>
        </w:tc>
        <w:tc>
          <w:tcPr>
            <w:tcW w:type="dxa" w:w="7200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Definition</w:t>
            </w:r>
          </w:p>
        </w:tc>
      </w:tr>
      <w:tr>
        <w:trPr>
          <w:trHeight w:val="320"/>
        </w:trPr>
        <w:tc>
          <w:tcPr>
            <w:tcW w:type="dxa" w:w="216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Digital Evidence</w:t>
            </w:r>
          </w:p>
        </w:tc>
        <w:tc>
          <w:tcPr>
            <w:tcW w:type="dxa" w:w="72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Any data or artifact collected from a digital system that may be used in analysis of a security incident.</w:t>
            </w:r>
          </w:p>
        </w:tc>
      </w:tr>
      <w:tr>
        <w:trPr>
          <w:trHeight w:val="320"/>
        </w:trP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Chain of Custody</w:t>
            </w:r>
          </w:p>
        </w:tc>
        <w:tc>
          <w:tcPr>
            <w:tcW w:type="dxa" w:w="7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The documented record of who collected evidence, when, from where, and who has accessed or transferred it since.</w:t>
            </w:r>
          </w:p>
        </w:tc>
      </w:tr>
      <w:tr>
        <w:trPr>
          <w:trHeight w:val="320"/>
        </w:trPr>
        <w:tc>
          <w:tcPr>
            <w:tcW w:type="dxa" w:w="216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Forensic Image</w:t>
            </w:r>
          </w:p>
        </w:tc>
        <w:tc>
          <w:tcPr>
            <w:tcW w:type="dxa" w:w="72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A bit-for-bit copy of a storage device or memory, used to preserve the original state of a system.</w:t>
            </w:r>
          </w:p>
        </w:tc>
      </w:tr>
      <w:tr>
        <w:trPr>
          <w:trHeight w:val="320"/>
        </w:trP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Volatile Evidence</w:t>
            </w:r>
          </w:p>
        </w:tc>
        <w:tc>
          <w:tcPr>
            <w:tcW w:type="dxa" w:w="7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Evidence that is lost when a system is powered off (RAM contents, active connections, running processes).</w:t>
            </w:r>
          </w:p>
        </w:tc>
      </w:tr>
      <w:tr>
        <w:trPr>
          <w:trHeight w:val="320"/>
        </w:trPr>
        <w:tc>
          <w:tcPr>
            <w:tcW w:type="dxa" w:w="216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Hash</w:t>
            </w:r>
          </w:p>
        </w:tc>
        <w:tc>
          <w:tcPr>
            <w:tcW w:type="dxa" w:w="72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A cryptographic fingerprint (SHA-256 preferred) used to verify that a file has not been modified after collection.</w:t>
            </w:r>
          </w:p>
        </w:tc>
      </w:tr>
      <w:tr>
        <w:trPr>
          <w:trHeight w:val="320"/>
        </w:trP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Velociraptor</w:t>
            </w:r>
          </w:p>
        </w:tc>
        <w:tc>
          <w:tcPr>
            <w:tcW w:type="dxa" w:w="7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The SOC's endpoint forensic collection and threat hunting platform.</w:t>
            </w:r>
          </w:p>
        </w:tc>
      </w:tr>
    </w:tbl>
    <w:p/>
    <w:p>
      <w:pPr>
        <w:spacing w:before="240" w:after="40"/>
        <w:shd w:val="clear" w:color="auto" w:fill="1A3A6B"/>
      </w:pPr>
      <w:r>
        <w:rPr>
          <w:rFonts w:ascii="Arial" w:hAnsi="Arial"/>
          <w:b/>
          <w:color w:val="FFFFFF"/>
          <w:sz w:val="22"/>
        </w:rPr>
        <w:t>4.  ROLES AND RESPONSIBILITIES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360"/>
          <w:trHeight w:val="360"/>
        </w:trPr>
        <w:tc>
          <w:tcPr>
            <w:tcW w:type="dxa" w:w="2160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7200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Evidence Responsibility</w:t>
            </w:r>
          </w:p>
        </w:tc>
      </w:tr>
      <w:tr>
        <w:trPr>
          <w:trHeight w:val="320"/>
        </w:trPr>
        <w:tc>
          <w:tcPr>
            <w:tcW w:type="dxa" w:w="216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L1 Analyst</w:t>
            </w:r>
          </w:p>
        </w:tc>
        <w:tc>
          <w:tcPr>
            <w:tcW w:type="dxa" w:w="72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DO NOT collect or modify evidence. Preserve the scene — do not reboot, shut down, or run remediation tools on a system under investigation until authorized by L2.</w:t>
            </w:r>
          </w:p>
        </w:tc>
      </w:tr>
      <w:tr>
        <w:trPr>
          <w:trHeight w:val="320"/>
        </w:trP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L2 Analyst</w:t>
            </w:r>
          </w:p>
        </w:tc>
        <w:tc>
          <w:tcPr>
            <w:tcW w:type="dxa" w:w="7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Leads evidence collection. Executes Velociraptor collections. Completes chain of custody form. Documents all evidence in GLPI.</w:t>
            </w:r>
          </w:p>
        </w:tc>
      </w:tr>
      <w:tr>
        <w:trPr>
          <w:trHeight w:val="320"/>
        </w:trPr>
        <w:tc>
          <w:tcPr>
            <w:tcW w:type="dxa" w:w="216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SOC Lead</w:t>
            </w:r>
          </w:p>
        </w:tc>
        <w:tc>
          <w:tcPr>
            <w:tcW w:type="dxa" w:w="72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Authorizes evidence transfer to external parties. Reviews chain of custody records. Approves forensic imaging requests.</w:t>
            </w:r>
          </w:p>
        </w:tc>
      </w:tr>
    </w:tbl>
    <w:p/>
    <w:p>
      <w:pPr>
        <w:spacing w:before="240" w:after="40"/>
        <w:shd w:val="clear" w:color="auto" w:fill="1A3A6B"/>
      </w:pPr>
      <w:r>
        <w:rPr>
          <w:rFonts w:ascii="Arial" w:hAnsi="Arial"/>
          <w:b/>
          <w:color w:val="FFFFFF"/>
          <w:sz w:val="22"/>
        </w:rPr>
        <w:t>5.  EVIDENCE COLLECTION PROCEDURE</w:t>
      </w:r>
    </w:p>
    <w:p>
      <w:pPr>
        <w:spacing w:before="160" w:after="40"/>
        <w:pBdr>
          <w:bottom w:val="single" w:sz="6" w:space="1" w:color="2E75B6"/>
        </w:pBdr>
      </w:pPr>
      <w:r>
        <w:rPr>
          <w:rFonts w:ascii="Arial" w:hAnsi="Arial"/>
          <w:b/>
          <w:color w:val="0D1F3C"/>
          <w:sz w:val="20"/>
        </w:rPr>
        <w:t>5.1  L1 Scene Preservation (before L2 arrives)</w:t>
      </w:r>
    </w:p>
    <w:p>
      <w:pPr>
        <w:spacing w:before="120" w:after="120"/>
        <w:ind w:left="288"/>
        <w:shd w:val="clear" w:color="auto" w:fill="FFF2CC"/>
      </w:pPr>
      <w:r>
        <w:rPr>
          <w:rFonts w:ascii="Arial" w:hAnsi="Arial"/>
          <w:b/>
          <w:color w:val="7B0000"/>
          <w:sz w:val="20"/>
        </w:rPr>
        <w:t xml:space="preserve">DO NOT:  </w:t>
      </w:r>
      <w:r>
        <w:rPr>
          <w:rFonts w:ascii="Arial" w:hAnsi="Arial"/>
          <w:color w:val="000000"/>
          <w:sz w:val="20"/>
        </w:rPr>
        <w:t>Reboot, shutdown, run antivirus scans, delete files, or install any software on a system under active investigation. These actions destroy volatile evidence.</w:t>
      </w:r>
    </w:p>
    <w:p>
      <w:pPr>
        <w:pStyle w:val="ListNumber"/>
        <w:spacing w:before="20" w:after="40"/>
        <w:ind w:left="432"/>
      </w:pPr>
      <w:r>
        <w:rPr>
          <w:rFonts w:ascii="Arial" w:hAnsi="Arial"/>
          <w:color w:val="000000"/>
          <w:sz w:val="20"/>
        </w:rPr>
        <w:t>Isolate the affected system from the network if containment is authorized by L2 or SOC Lead. Use Trellix EDR network isolation feature if available. Do not physically unplug unless instructed.</w:t>
      </w:r>
    </w:p>
    <w:p>
      <w:pPr>
        <w:pStyle w:val="ListNumber"/>
        <w:spacing w:before="20" w:after="40"/>
        <w:ind w:left="432"/>
      </w:pPr>
      <w:r>
        <w:rPr>
          <w:rFonts w:ascii="Arial" w:hAnsi="Arial"/>
          <w:color w:val="000000"/>
          <w:sz w:val="20"/>
        </w:rPr>
        <w:t>Document the current state in GLPI: running processes (screenshot if possible), current network connections, logged-in users, time of observation.</w:t>
      </w:r>
    </w:p>
    <w:p>
      <w:pPr>
        <w:pStyle w:val="ListNumber"/>
        <w:spacing w:before="20" w:after="40"/>
        <w:ind w:left="432"/>
      </w:pPr>
      <w:r>
        <w:rPr>
          <w:rFonts w:ascii="Arial" w:hAnsi="Arial"/>
          <w:color w:val="000000"/>
          <w:sz w:val="20"/>
        </w:rPr>
        <w:t>Do not close any open windows, applications, or sessions on the affected system.</w:t>
      </w:r>
    </w:p>
    <w:p>
      <w:pPr>
        <w:pStyle w:val="ListNumber"/>
        <w:spacing w:before="20" w:after="40"/>
        <w:ind w:left="432"/>
      </w:pPr>
      <w:r>
        <w:rPr>
          <w:rFonts w:ascii="Arial" w:hAnsi="Arial"/>
          <w:color w:val="000000"/>
          <w:sz w:val="20"/>
        </w:rPr>
        <w:t>Note the exact time and initiate escalation to L2 per SOP-004.</w:t>
      </w:r>
    </w:p>
    <w:p>
      <w:pPr>
        <w:spacing w:before="160" w:after="40"/>
        <w:pBdr>
          <w:bottom w:val="single" w:sz="6" w:space="1" w:color="2E75B6"/>
        </w:pBdr>
      </w:pPr>
      <w:r>
        <w:rPr>
          <w:rFonts w:ascii="Arial" w:hAnsi="Arial"/>
          <w:b/>
          <w:color w:val="0D1F3C"/>
          <w:sz w:val="20"/>
        </w:rPr>
        <w:t>5.2  Volatile Evidence Collection (L2 — first priority)</w:t>
      </w:r>
    </w:p>
    <w:p>
      <w:pPr>
        <w:spacing w:before="40" w:after="40"/>
      </w:pPr>
      <w:r>
        <w:rPr>
          <w:rFonts w:ascii="Arial" w:hAnsi="Arial"/>
          <w:b w:val="0"/>
          <w:i w:val="0"/>
          <w:color w:val="000000"/>
          <w:sz w:val="20"/>
        </w:rPr>
        <w:t>Volatile evidence must be collected before any other action. Order of priority (highest to lowest volatility):</w:t>
      </w:r>
    </w:p>
    <w:p>
      <w:pPr>
        <w:pStyle w:val="ListNumber"/>
        <w:spacing w:before="20" w:after="40"/>
        <w:ind w:left="432"/>
      </w:pPr>
      <w:r>
        <w:rPr>
          <w:rFonts w:ascii="Arial" w:hAnsi="Arial"/>
          <w:color w:val="000000"/>
          <w:sz w:val="20"/>
        </w:rPr>
        <w:t>Running processes — collect via Velociraptor artifact: Windows.System.Pslist or Linux.Sys.Pslist.</w:t>
      </w:r>
    </w:p>
    <w:p>
      <w:pPr>
        <w:pStyle w:val="ListNumber"/>
        <w:spacing w:before="20" w:after="40"/>
        <w:ind w:left="432"/>
      </w:pPr>
      <w:r>
        <w:rPr>
          <w:rFonts w:ascii="Arial" w:hAnsi="Arial"/>
          <w:color w:val="000000"/>
          <w:sz w:val="20"/>
        </w:rPr>
        <w:t>Active network connections — collect via Velociraptor: Windows.Network.NetstatEnhanced or Linux.Network.Netstat.</w:t>
      </w:r>
    </w:p>
    <w:p>
      <w:pPr>
        <w:pStyle w:val="ListNumber"/>
        <w:spacing w:before="20" w:after="40"/>
        <w:ind w:left="432"/>
      </w:pPr>
      <w:r>
        <w:rPr>
          <w:rFonts w:ascii="Arial" w:hAnsi="Arial"/>
          <w:color w:val="000000"/>
          <w:sz w:val="20"/>
        </w:rPr>
        <w:t>Logged-in users and recent authentication events.</w:t>
      </w:r>
    </w:p>
    <w:p>
      <w:pPr>
        <w:pStyle w:val="ListNumber"/>
        <w:spacing w:before="20" w:after="40"/>
        <w:ind w:left="432"/>
      </w:pPr>
      <w:r>
        <w:rPr>
          <w:rFonts w:ascii="Arial" w:hAnsi="Arial"/>
          <w:color w:val="000000"/>
          <w:sz w:val="20"/>
        </w:rPr>
        <w:t>RAM image — if system criticality and investigation scope justify it. Use Velociraptor memory acquisition. Note: this requires significant storage and processing time.</w:t>
      </w:r>
    </w:p>
    <w:p>
      <w:pPr>
        <w:pStyle w:val="ListNumber"/>
        <w:spacing w:before="20" w:after="40"/>
        <w:ind w:left="432"/>
      </w:pPr>
      <w:r>
        <w:rPr>
          <w:rFonts w:ascii="Arial" w:hAnsi="Arial"/>
          <w:color w:val="000000"/>
          <w:sz w:val="20"/>
        </w:rPr>
        <w:t>Calculate SHA-256 hash for every collected artifact immediately after collection. Record hash in chain of custody form.</w:t>
      </w:r>
    </w:p>
    <w:p>
      <w:pPr>
        <w:spacing w:before="160" w:after="40"/>
        <w:pBdr>
          <w:bottom w:val="single" w:sz="6" w:space="1" w:color="2E75B6"/>
        </w:pBdr>
      </w:pPr>
      <w:r>
        <w:rPr>
          <w:rFonts w:ascii="Arial" w:hAnsi="Arial"/>
          <w:b/>
          <w:color w:val="0D1F3C"/>
          <w:sz w:val="20"/>
        </w:rPr>
        <w:t>5.3  Non-Volatile Evidence Collection (L2)</w:t>
      </w:r>
    </w:p>
    <w:p>
      <w:pPr>
        <w:pStyle w:val="ListNumber"/>
        <w:spacing w:before="20" w:after="40"/>
        <w:ind w:left="432"/>
      </w:pPr>
      <w:r>
        <w:rPr>
          <w:rFonts w:ascii="Arial" w:hAnsi="Arial"/>
          <w:color w:val="000000"/>
          <w:sz w:val="20"/>
        </w:rPr>
        <w:t>Collect relevant log files from Elastic SIEM: use KQL query to filter events to the affected host and time window. Export as JSON. Record query string in GLPI.</w:t>
      </w:r>
    </w:p>
    <w:p>
      <w:pPr>
        <w:pStyle w:val="ListNumber"/>
        <w:spacing w:before="20" w:after="40"/>
        <w:ind w:left="432"/>
      </w:pPr>
      <w:r>
        <w:rPr>
          <w:rFonts w:ascii="Arial" w:hAnsi="Arial"/>
          <w:color w:val="000000"/>
          <w:sz w:val="20"/>
        </w:rPr>
        <w:t>Collect Wazuh agent logs for the affected host covering the incident window plus 48 hours prior.</w:t>
      </w:r>
    </w:p>
    <w:p>
      <w:pPr>
        <w:pStyle w:val="ListNumber"/>
        <w:spacing w:before="20" w:after="40"/>
        <w:ind w:left="432"/>
      </w:pPr>
      <w:r>
        <w:rPr>
          <w:rFonts w:ascii="Arial" w:hAnsi="Arial"/>
          <w:color w:val="000000"/>
          <w:sz w:val="20"/>
        </w:rPr>
        <w:t>If email is involved: export the raw email file (.eml) from FortiMail quarantine including full headers.</w:t>
      </w:r>
    </w:p>
    <w:p>
      <w:pPr>
        <w:pStyle w:val="ListNumber"/>
        <w:spacing w:before="20" w:after="40"/>
        <w:ind w:left="432"/>
      </w:pPr>
      <w:r>
        <w:rPr>
          <w:rFonts w:ascii="Arial" w:hAnsi="Arial"/>
          <w:color w:val="000000"/>
          <w:sz w:val="20"/>
        </w:rPr>
        <w:t>If network traffic is relevant: request FortiGate log export for the affected source/destination IP over the incident window.</w:t>
      </w:r>
    </w:p>
    <w:p>
      <w:pPr>
        <w:pStyle w:val="ListNumber"/>
        <w:spacing w:before="20" w:after="40"/>
        <w:ind w:left="432"/>
      </w:pPr>
      <w:r>
        <w:rPr>
          <w:rFonts w:ascii="Arial" w:hAnsi="Arial"/>
          <w:color w:val="000000"/>
          <w:sz w:val="20"/>
        </w:rPr>
        <w:t>If insider threat or user behavior is involved: export Teramind session recordings and activity timeline for the relevant user.</w:t>
      </w:r>
    </w:p>
    <w:p>
      <w:pPr>
        <w:pStyle w:val="ListNumber"/>
        <w:spacing w:before="20" w:after="40"/>
        <w:ind w:left="432"/>
      </w:pPr>
      <w:r>
        <w:rPr>
          <w:rFonts w:ascii="Arial" w:hAnsi="Arial"/>
          <w:color w:val="000000"/>
          <w:sz w:val="20"/>
        </w:rPr>
        <w:t>Compute SHA-256 for every exported file. Record hash alongside the file in the evidence storage location.</w:t>
      </w:r>
    </w:p>
    <w:p>
      <w:pPr>
        <w:spacing w:before="160" w:after="40"/>
        <w:pBdr>
          <w:bottom w:val="single" w:sz="6" w:space="1" w:color="2E75B6"/>
        </w:pBdr>
      </w:pPr>
      <w:r>
        <w:rPr>
          <w:rFonts w:ascii="Arial" w:hAnsi="Arial"/>
          <w:b/>
          <w:color w:val="0D1F3C"/>
          <w:sz w:val="20"/>
        </w:rPr>
        <w:t>5.4  Chain of Custody Documentation</w:t>
      </w:r>
    </w:p>
    <w:p>
      <w:pPr>
        <w:spacing w:before="40" w:after="40"/>
      </w:pPr>
      <w:r>
        <w:rPr>
          <w:rFonts w:ascii="Arial" w:hAnsi="Arial"/>
          <w:b w:val="0"/>
          <w:i w:val="0"/>
          <w:color w:val="000000"/>
          <w:sz w:val="20"/>
        </w:rPr>
        <w:t>Complete the following chain of custody record for every item of evidence. This must be entered into the GLPI incident ticket as an attached form or structured note: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360"/>
          <w:trHeight w:val="360"/>
        </w:trPr>
        <w:tc>
          <w:tcPr>
            <w:tcW w:type="dxa" w:w="2592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768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Required Content</w:t>
            </w:r>
          </w:p>
        </w:tc>
      </w:tr>
      <w:tr>
        <w:trPr>
          <w:trHeight w:val="320"/>
        </w:trPr>
        <w:tc>
          <w:tcPr>
            <w:tcW w:type="dxa" w:w="2592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Evidence ID</w:t>
            </w:r>
          </w:p>
        </w:tc>
        <w:tc>
          <w:tcPr>
            <w:tcW w:type="dxa" w:w="6768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Unique identifier: [GLPI-TICKET#]-EV-[sequence number]. Example: 4521-EV-001</w:t>
            </w:r>
          </w:p>
        </w:tc>
      </w:tr>
      <w:tr>
        <w:trPr>
          <w:trHeight w:val="320"/>
        </w:trP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Date/Time Collected</w:t>
            </w:r>
          </w:p>
        </w:tc>
        <w:tc>
          <w:tcPr>
            <w:tcW w:type="dxa" w:w="67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UTC timestamp. Example: 2026-04-01 14:32 UTC</w:t>
            </w:r>
          </w:p>
        </w:tc>
      </w:tr>
      <w:tr>
        <w:trPr>
          <w:trHeight w:val="320"/>
        </w:trPr>
        <w:tc>
          <w:tcPr>
            <w:tcW w:type="dxa" w:w="2592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Collected By</w:t>
            </w:r>
          </w:p>
        </w:tc>
        <w:tc>
          <w:tcPr>
            <w:tcW w:type="dxa" w:w="6768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Full name and role of the analyst who performed collection</w:t>
            </w:r>
          </w:p>
        </w:tc>
      </w:tr>
      <w:tr>
        <w:trPr>
          <w:trHeight w:val="320"/>
        </w:trP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Source System</w:t>
            </w:r>
          </w:p>
        </w:tc>
        <w:tc>
          <w:tcPr>
            <w:tcW w:type="dxa" w:w="67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Hostname, IP address, and OS of the system evidence was collected from</w:t>
            </w:r>
          </w:p>
        </w:tc>
      </w:tr>
      <w:tr>
        <w:trPr>
          <w:trHeight w:val="320"/>
        </w:trPr>
        <w:tc>
          <w:tcPr>
            <w:tcW w:type="dxa" w:w="2592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Evidence Type</w:t>
            </w:r>
          </w:p>
        </w:tc>
        <w:tc>
          <w:tcPr>
            <w:tcW w:type="dxa" w:w="6768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Memory image / Log export / Email file / Disk image / Screenshot / Other</w:t>
            </w:r>
          </w:p>
        </w:tc>
      </w:tr>
      <w:tr>
        <w:trPr>
          <w:trHeight w:val="320"/>
        </w:trP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Collection Method</w:t>
            </w:r>
          </w:p>
        </w:tc>
        <w:tc>
          <w:tcPr>
            <w:tcW w:type="dxa" w:w="67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Tool used (Velociraptor / Elastic SIEM export / FortiMail / Manual screenshot)</w:t>
            </w:r>
          </w:p>
        </w:tc>
      </w:tr>
      <w:tr>
        <w:trPr>
          <w:trHeight w:val="320"/>
        </w:trPr>
        <w:tc>
          <w:tcPr>
            <w:tcW w:type="dxa" w:w="2592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Storage Location</w:t>
            </w:r>
          </w:p>
        </w:tc>
        <w:tc>
          <w:tcPr>
            <w:tcW w:type="dxa" w:w="6768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Full path to where the evidence file is stored (server path or SOC evidence share)</w:t>
            </w:r>
          </w:p>
        </w:tc>
      </w:tr>
      <w:tr>
        <w:trPr>
          <w:trHeight w:val="320"/>
        </w:trP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SHA-256 Hash</w:t>
            </w:r>
          </w:p>
        </w:tc>
        <w:tc>
          <w:tcPr>
            <w:tcW w:type="dxa" w:w="67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Full hash of the collected file. Example: e3b0c44298fc1c149afb...</w:t>
            </w:r>
          </w:p>
        </w:tc>
      </w:tr>
      <w:tr>
        <w:trPr>
          <w:trHeight w:val="320"/>
        </w:trPr>
        <w:tc>
          <w:tcPr>
            <w:tcW w:type="dxa" w:w="2592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Chain of Transfer</w:t>
            </w:r>
          </w:p>
        </w:tc>
        <w:tc>
          <w:tcPr>
            <w:tcW w:type="dxa" w:w="6768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Every person who accessed or moved the evidence after collection: name, date, reason</w:t>
            </w:r>
          </w:p>
        </w:tc>
      </w:tr>
    </w:tbl>
    <w:p/>
    <w:p>
      <w:pPr>
        <w:spacing w:before="160" w:after="40"/>
        <w:pBdr>
          <w:bottom w:val="single" w:sz="6" w:space="1" w:color="2E75B6"/>
        </w:pBdr>
      </w:pPr>
      <w:r>
        <w:rPr>
          <w:rFonts w:ascii="Arial" w:hAnsi="Arial"/>
          <w:b/>
          <w:color w:val="0D1F3C"/>
          <w:sz w:val="20"/>
        </w:rPr>
        <w:t>5.5  Evidence Storage</w:t>
      </w:r>
    </w:p>
    <w:p>
      <w:pPr>
        <w:pStyle w:val="ListNumber"/>
        <w:spacing w:before="20" w:after="40"/>
        <w:ind w:left="432"/>
      </w:pPr>
      <w:r>
        <w:rPr>
          <w:rFonts w:ascii="Arial" w:hAnsi="Arial"/>
          <w:color w:val="000000"/>
          <w:sz w:val="20"/>
        </w:rPr>
        <w:t>All evidence must be stored in the designated SOC evidence share. Path to be defined by SOC Lead and documented in the GLPI system configuration article.</w:t>
      </w:r>
    </w:p>
    <w:p>
      <w:pPr>
        <w:pStyle w:val="ListNumber"/>
        <w:spacing w:before="20" w:after="40"/>
        <w:ind w:left="432"/>
      </w:pPr>
      <w:r>
        <w:rPr>
          <w:rFonts w:ascii="Arial" w:hAnsi="Arial"/>
          <w:color w:val="000000"/>
          <w:sz w:val="20"/>
        </w:rPr>
        <w:t>Evidence folder structure: /[YEAR]/[GLPI-TICKET#]-[INCIDENT-SHORT-NAME]/</w:t>
      </w:r>
    </w:p>
    <w:p>
      <w:pPr>
        <w:pStyle w:val="ListNumber"/>
        <w:spacing w:before="20" w:after="40"/>
        <w:ind w:left="432"/>
      </w:pPr>
      <w:r>
        <w:rPr>
          <w:rFonts w:ascii="Arial" w:hAnsi="Arial"/>
          <w:color w:val="000000"/>
          <w:sz w:val="20"/>
        </w:rPr>
        <w:t>Access to evidence folders is restricted to L2 analysts and the SOC Lead. L1 analysts must not have write access to the evidence share.</w:t>
      </w:r>
    </w:p>
    <w:p>
      <w:pPr>
        <w:pStyle w:val="ListNumber"/>
        <w:spacing w:before="20" w:after="40"/>
        <w:ind w:left="432"/>
      </w:pPr>
      <w:r>
        <w:rPr>
          <w:rFonts w:ascii="Arial" w:hAnsi="Arial"/>
          <w:color w:val="000000"/>
          <w:sz w:val="20"/>
        </w:rPr>
        <w:t>Evidence must not be deleted without written authorization from the SOC Lead. Minimum retention: 12 months or as required by applicable legal/compliance obligations.</w:t>
      </w:r>
    </w:p>
    <w:p>
      <w:pPr>
        <w:spacing w:before="240" w:after="40"/>
        <w:shd w:val="clear" w:color="auto" w:fill="1A3A6B"/>
      </w:pPr>
      <w:r>
        <w:rPr>
          <w:rFonts w:ascii="Arial" w:hAnsi="Arial"/>
          <w:b/>
          <w:color w:val="FFFFFF"/>
          <w:sz w:val="22"/>
        </w:rPr>
        <w:t>6.  EVIDENCE TRANSFER</w:t>
      </w:r>
    </w:p>
    <w:p>
      <w:pPr>
        <w:pStyle w:val="ListNumber"/>
        <w:spacing w:before="20" w:after="40"/>
        <w:ind w:left="432"/>
      </w:pPr>
      <w:r>
        <w:rPr>
          <w:rFonts w:ascii="Arial" w:hAnsi="Arial"/>
          <w:color w:val="000000"/>
          <w:sz w:val="20"/>
        </w:rPr>
        <w:t>Evidence may only be transferred to an external party (law enforcement, forensic firm, legal counsel) with written authorization from HOIT.</w:t>
      </w:r>
    </w:p>
    <w:p>
      <w:pPr>
        <w:pStyle w:val="ListNumber"/>
        <w:spacing w:before="20" w:after="40"/>
        <w:ind w:left="432"/>
      </w:pPr>
      <w:r>
        <w:rPr>
          <w:rFonts w:ascii="Arial" w:hAnsi="Arial"/>
          <w:color w:val="000000"/>
          <w:sz w:val="20"/>
        </w:rPr>
        <w:t>Any transfer must be documented in the chain of custody record: recipient name, organization, transfer date, method, and authorization reference.</w:t>
      </w:r>
    </w:p>
    <w:p>
      <w:pPr>
        <w:pStyle w:val="ListNumber"/>
        <w:spacing w:before="20" w:after="40"/>
        <w:ind w:left="432"/>
      </w:pPr>
      <w:r>
        <w:rPr>
          <w:rFonts w:ascii="Arial" w:hAnsi="Arial"/>
          <w:color w:val="000000"/>
          <w:sz w:val="20"/>
        </w:rPr>
        <w:t>Evidence must not be shared via email or unencrypted channels. Use encrypted transfer methods only.</w:t>
      </w:r>
    </w:p>
    <w:p>
      <w:pPr>
        <w:spacing w:before="240" w:after="40"/>
        <w:shd w:val="clear" w:color="auto" w:fill="1A3A6B"/>
      </w:pPr>
      <w:r>
        <w:rPr>
          <w:rFonts w:ascii="Arial" w:hAnsi="Arial"/>
          <w:b/>
          <w:color w:val="FFFFFF"/>
          <w:sz w:val="22"/>
        </w:rPr>
        <w:t>7.  COMPLIANCE AND REFERENCES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360"/>
          <w:trHeight w:val="360"/>
        </w:trPr>
        <w:tc>
          <w:tcPr>
            <w:tcW w:type="dxa" w:w="1728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Reference</w:t>
            </w:r>
          </w:p>
        </w:tc>
        <w:tc>
          <w:tcPr>
            <w:tcW w:type="dxa" w:w="7632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rPr>
          <w:trHeight w:val="320"/>
        </w:trPr>
        <w:tc>
          <w:tcPr>
            <w:tcW w:type="dxa" w:w="1728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SOP-004</w:t>
            </w:r>
          </w:p>
        </w:tc>
        <w:tc>
          <w:tcPr>
            <w:tcW w:type="dxa" w:w="7632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Incident Escalation — triggers L2 evidence collection authority.</w:t>
            </w:r>
          </w:p>
        </w:tc>
      </w:tr>
      <w:tr>
        <w:trPr>
          <w:trHeight w:val="320"/>
        </w:trPr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SOP-011</w:t>
            </w:r>
          </w:p>
        </w:tc>
        <w:tc>
          <w:tcPr>
            <w:tcW w:type="dxa" w:w="76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Post-Incident Review — evidence is reviewed as part of lessons learned.</w:t>
            </w:r>
          </w:p>
        </w:tc>
      </w:tr>
      <w:tr>
        <w:trPr>
          <w:trHeight w:val="320"/>
        </w:trPr>
        <w:tc>
          <w:tcPr>
            <w:tcW w:type="dxa" w:w="1728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PB-020</w:t>
            </w:r>
          </w:p>
        </w:tc>
        <w:tc>
          <w:tcPr>
            <w:tcW w:type="dxa" w:w="7632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Velociraptor Endpoint Forensic Collection — execution procedure.</w:t>
            </w:r>
          </w:p>
        </w:tc>
      </w:tr>
      <w:tr>
        <w:trPr>
          <w:trHeight w:val="320"/>
        </w:trPr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PB-021</w:t>
            </w:r>
          </w:p>
        </w:tc>
        <w:tc>
          <w:tcPr>
            <w:tcW w:type="dxa" w:w="76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Velociraptor Threat Hunt — IOC-based collection procedure.</w:t>
            </w:r>
          </w:p>
        </w:tc>
      </w:tr>
      <w:tr>
        <w:trPr>
          <w:trHeight w:val="320"/>
        </w:trPr>
        <w:tc>
          <w:tcPr>
            <w:tcW w:type="dxa" w:w="1728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NIST SP 800-86</w:t>
            </w:r>
          </w:p>
        </w:tc>
        <w:tc>
          <w:tcPr>
            <w:tcW w:type="dxa" w:w="7632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Guide to Integrating Forensic Techniques into IR — reference framework.</w:t>
            </w:r>
          </w:p>
        </w:tc>
      </w:tr>
    </w:tbl>
    <w:p/>
    <w:p>
      <w:pPr>
        <w:spacing w:before="240" w:after="40"/>
        <w:shd w:val="clear" w:color="auto" w:fill="1A3A6B"/>
      </w:pPr>
      <w:r>
        <w:rPr>
          <w:rFonts w:ascii="Arial" w:hAnsi="Arial"/>
          <w:b/>
          <w:color w:val="FFFFFF"/>
          <w:sz w:val="22"/>
        </w:rPr>
        <w:t>8.  REVISION HISTORY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360"/>
          <w:trHeight w:val="360"/>
          <w:trHeight w:val="360"/>
          <w:trHeight w:val="360"/>
        </w:trPr>
        <w:tc>
          <w:tcPr>
            <w:tcW w:type="dxa" w:w="1152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728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2592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5328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Change Summary</w:t>
            </w:r>
          </w:p>
        </w:tc>
      </w:tr>
      <w:tr>
        <w:trPr>
          <w:trHeight w:val="320"/>
        </w:trPr>
        <w:tc>
          <w:tcPr>
            <w:tcW w:type="dxa" w:w="1152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1.0</w:t>
            </w:r>
          </w:p>
        </w:tc>
        <w:tc>
          <w:tcPr>
            <w:tcW w:type="dxa" w:w="1728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2026-04-01</w:t>
            </w:r>
          </w:p>
        </w:tc>
        <w:tc>
          <w:tcPr>
            <w:tcW w:type="dxa" w:w="2592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SOC Lead</w:t>
            </w:r>
          </w:p>
        </w:tc>
        <w:tc>
          <w:tcPr>
            <w:tcW w:type="dxa" w:w="5328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Initial release. Evidence storage path to be added before go-live.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hd w:val="clear" w:color="auto" w:fill="0D1F3C"/>
      <w:jc w:val="left"/>
    </w:pPr>
    <w:r>
      <w:rPr>
        <w:rFonts w:ascii="Arial" w:hAnsi="Arial"/>
        <w:color w:val="FFFFFF"/>
        <w:sz w:val="16"/>
      </w:rPr>
      <w:t xml:space="preserve">  SOP-005  |  Evidence Collection &amp; Chain of Custody  |  SOC — INTERNAL USE ONLY  |  Review annually or after major incident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D1F3C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D1F3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D1F3C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