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D1F3C"/>
        <w:spacing w:before="0" w:after="0"/>
        <w:ind w:left="0"/>
      </w:pPr>
      <w:r>
        <w:rPr>
          <w:rFonts w:ascii="Arial" w:hAnsi="Arial"/>
          <w:b/>
          <w:color w:val="FFFFFF"/>
          <w:sz w:val="18"/>
        </w:rPr>
        <w:t xml:space="preserve">  SOP-006  |  STANDARD OPERATING PROCEDURE</w:t>
      </w:r>
    </w:p>
    <w:p>
      <w:pPr>
        <w:shd w:val="clear" w:color="auto" w:fill="1A3A6B"/>
        <w:spacing w:before="0" w:after="0"/>
      </w:pPr>
      <w:r>
        <w:rPr>
          <w:rFonts w:ascii="Arial" w:hAnsi="Arial"/>
          <w:b/>
          <w:color w:val="FFFFFF"/>
          <w:sz w:val="32"/>
        </w:rPr>
        <w:t xml:space="preserve">  Vulnerability Management &amp; Remediation Tracking</w:t>
      </w:r>
    </w:p>
    <w:p>
      <w:pPr>
        <w:shd w:val="clear" w:color="auto" w:fill="2E75B6"/>
        <w:spacing w:before="0" w:after="120"/>
      </w:pPr>
      <w:r>
        <w:rPr>
          <w:rFonts w:ascii="Arial" w:hAnsi="Arial"/>
          <w:i/>
          <w:color w:val="FFFFFF"/>
          <w:sz w:val="18"/>
        </w:rPr>
        <w:t xml:space="preserve">  Classification: INTERNAL   |   Security Operations Center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Document ID</w:t>
            </w:r>
          </w:p>
        </w:tc>
        <w:tc>
          <w:tcPr>
            <w:tcW w:type="dxa" w:w="1584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584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Approved By</w:t>
            </w:r>
          </w:p>
        </w:tc>
        <w:tc>
          <w:tcPr>
            <w:tcW w:type="dxa" w:w="259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Effective Date</w:t>
            </w:r>
          </w:p>
        </w:tc>
        <w:tc>
          <w:tcPr>
            <w:tcW w:type="dxa" w:w="2736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Review Date</w:t>
            </w:r>
          </w:p>
        </w:tc>
      </w:tr>
      <w:t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SOP-006</w:t>
            </w:r>
          </w:p>
        </w:tc>
        <w:tc>
          <w:tcPr>
            <w:tcW w:type="dxa" w:w="1584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SOC Lead</w:t>
            </w:r>
          </w:p>
        </w:tc>
        <w:tc>
          <w:tcPr>
            <w:tcW w:type="dxa" w:w="1584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HOIT</w:t>
            </w:r>
          </w:p>
        </w:tc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2026-04-01</w:t>
            </w:r>
          </w:p>
        </w:tc>
        <w:tc>
          <w:tcPr>
            <w:tcW w:type="dxa" w:w="273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18"/>
              </w:rPr>
              <w:t>2026-10-01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1.  PURPOSE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This SOP defines the complete vulnerability management lifecycle for the SOC — from Nessus scan execution through vulnerability triage, remediation assignment, tracking, and verification. It establishes accountability and deadline standards that ensure critical vulnerabilities are addressed within defined SLA windows.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2.  SCOPE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This SOP applies to all vulnerability findings produced by Nessus scans across all SOC-managed environments, including: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Client 1 and Client 2 environments — Windows and Linux servers and workstations.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Network infrastructure — FortiGate, FortiMail, FortiWeb, and associated devices.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Web-facing systems monitored via Cloudflare, Medianova, and FortiWeb WAF.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This SOP also applies to critical vulnerabilities disclosed externally (CVE advisories, vendor bulletins) affecting the above environments, even if not yet captured in a Nessus scan.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3. 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  <w:trHeight w:val="360"/>
        </w:trPr>
        <w:tc>
          <w:tcPr>
            <w:tcW w:type="dxa" w:w="216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20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Definition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Nessus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The SOC's primary vulnerability scanning platform. Produces authenticated and unauthenticated scan results with CVSS scoring.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CVSS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Common Vulnerability Scoring System. Numeric score 0–10 indicating severity of a vulnerability.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CVE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Common Vulnerabilities and Exposures. A standardized identifier for a specific publicly known vulnerability.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Remediation Owner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The person or team responsible for applying the fix (patch, configuration change, or mitigation).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Compensating Control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 security measure applied when a vulnerability cannot be patched immediately, to reduce the risk temporarily.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SLA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Service Level Agreement. The maximum time allowed to remediate a vulnerability based on its severity.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4.  ROLES AND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  <w:trHeight w:val="360"/>
        </w:trPr>
        <w:tc>
          <w:tcPr>
            <w:tcW w:type="dxa" w:w="216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720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Vulnerability Management Responsibility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L1 Analyst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Executes scheduled Nessus scans. Reviews scan results. Creates GLPI tickets for Critical and High findings. Notifies L2.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L2 Analyst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Performs deep triage of Critical/High vulnerabilities. Identifies false positives. Assigns remediation owners. Tracks SLA compliance.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Lead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Reviews monthly vulnerability KPIs. Escalates SLA breaches to HOIT. Approves compensating controls.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Remediation Owner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System or application owner responsible for applying the patch or mitigation. Defined per environment.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HOIT</w:t>
            </w:r>
          </w:p>
        </w:tc>
        <w:tc>
          <w:tcPr>
            <w:tcW w:type="dxa" w:w="72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Receives monthly vulnerability report. Approves exception requests for vulnerabilities that cannot be remediated within SLA.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5.  VULNERABILITY MANAGEMENT PROCEDURE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5.1  Scan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/>
          <w:trHeight w:val="360"/>
          <w:trHeight w:val="360"/>
          <w:trHeight w:val="360"/>
        </w:trPr>
        <w:tc>
          <w:tcPr>
            <w:tcW w:type="dxa" w:w="216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187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88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44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Responsible Analyst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Full Authenticated Scan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Weekly (every Monday)</w:t>
            </w:r>
          </w:p>
        </w:tc>
        <w:tc>
          <w:tcPr>
            <w:tcW w:type="dxa" w:w="28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All servers — Client 1 and Client 2</w:t>
            </w:r>
          </w:p>
        </w:tc>
        <w:tc>
          <w:tcPr>
            <w:tcW w:type="dxa" w:w="244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L1 — use Playbook PB-005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Workstation Scan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Bi-weekly (every other Monday)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All workstations in scope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L1 — use Playbook PB-005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Web Application Scan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Monthly (first Monday)</w:t>
            </w:r>
          </w:p>
        </w:tc>
        <w:tc>
          <w:tcPr>
            <w:tcW w:type="dxa" w:w="288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All web-facing systems</w:t>
            </w:r>
          </w:p>
        </w:tc>
        <w:tc>
          <w:tcPr>
            <w:tcW w:type="dxa" w:w="244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L2</w:t>
            </w:r>
          </w:p>
        </w:tc>
      </w:tr>
      <w:tr>
        <w:trPr>
          <w:trHeight w:val="320"/>
        </w:trP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Ad-hoc / Emergency Scan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As required — after patch deployment or new CVE advisory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Affected systems only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L2 authorized</w:t>
            </w:r>
          </w:p>
        </w:tc>
      </w:tr>
    </w:tbl>
    <w:p/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5.2  Scan Execution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Follow Playbook PB-005 for all scheduled scan execution steps.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After scan completes, export results in both PDF (for reporting) and CSV (for GLPI import).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Record scan completion in GLPI: scan date, scope, total vulnerabilities by severity, and Nessus report file location.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Do not modify Nessus scan policies without L2 authorization. Unauthorized policy changes may cause incomplete coverage.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5.3  Vulnerability Triage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Apply severity mapping from SOP-002 Section 5.4 to translate Nessus CVSS scores to SOC ticket priorities.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For every Critical (P1) and High (P2) finding: create an individual GLPI ticket per SOP-003 within the same shift as the scan.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Use Playbook PB-006 for detailed Critical/High triage steps.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Assess exploitability context: Is the vulnerability internet-facing? Does an exploit exist in the wild? Is the affected system a high-value target (DC, backup server, payment system)?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Document triage findings in the GLPI ticket: affected asset, CVSS score, CVE number, exploitability assessment, and recommended remediation.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Review for false positives: if Nessus reports a vulnerability that is not applicable (wrong OS version detected, service not actually running), document the justification and mark as Accepted Risk with SOC Lead approval.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5.4  Remediation Assignment and SLA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/>
          <w:trHeight w:val="360"/>
          <w:trHeight w:val="360"/>
          <w:trHeight w:val="360"/>
        </w:trPr>
        <w:tc>
          <w:tcPr>
            <w:tcW w:type="dxa" w:w="187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GLPI Priority</w:t>
            </w:r>
          </w:p>
        </w:tc>
        <w:tc>
          <w:tcPr>
            <w:tcW w:type="dxa" w:w="216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Remediation SLA</w:t>
            </w:r>
          </w:p>
        </w:tc>
        <w:tc>
          <w:tcPr>
            <w:tcW w:type="dxa" w:w="3600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Escalation if Missed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Critical (CVSS 9.0+)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P1 — Very High</w:t>
            </w:r>
          </w:p>
        </w:tc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48 hours</w:t>
            </w:r>
          </w:p>
        </w:tc>
        <w:tc>
          <w:tcPr>
            <w:tcW w:type="dxa" w:w="36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Lead notifies HOIT immediately. Exception request required.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High (CVSS 7.0–8.9)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P2 — High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7 calendar days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L2 notifies SOC Lead. SOC Lead follows up with remediation owner.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Medium (CVSS 4.0–6.9)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P3 — Medium</w:t>
            </w:r>
          </w:p>
        </w:tc>
        <w:tc>
          <w:tcPr>
            <w:tcW w:type="dxa" w:w="216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30 calendar days</w:t>
            </w:r>
          </w:p>
        </w:tc>
        <w:tc>
          <w:tcPr>
            <w:tcW w:type="dxa" w:w="3600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L2 flags in monthly report.</w:t>
            </w:r>
          </w:p>
        </w:tc>
      </w:tr>
      <w:tr>
        <w:trPr>
          <w:trHeight w:val="320"/>
        </w:trPr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Low (CVSS 0.1–3.9)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P4 — Low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90 calendar days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Reviewed quarterly.</w:t>
            </w:r>
          </w:p>
        </w:tc>
      </w:tr>
    </w:tbl>
    <w:p/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L2 assigns each vulnerability ticket to the appropriate Remediation Owner in GLPI.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The Remediation Owner is responsible for updating the ticket with patch/fix status. If the owner cannot remediate within SLA, they must request an extension from the SOC Lead with written justification.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If a vulnerability cannot be patched within SLA, a Compensating Control must be implemented and approved by the SOC Lead. Document the control in the GLPI ticket.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5.5  Verification and Closure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After remediation is reported complete, L2 must schedule a re-scan of the affected system within 5 business days.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The vulnerability ticket may only be moved to Solved after the re-scan confirms the vulnerability is no longer present.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If the re-scan still detects the vulnerability, reopen the ticket, update the status to Processing, and contact the Remediation Owner to re-investigate.</w:t>
      </w:r>
    </w:p>
    <w:p>
      <w:pPr>
        <w:pStyle w:val="ListNumber"/>
        <w:spacing w:before="20" w:after="40"/>
        <w:ind w:left="432"/>
      </w:pPr>
      <w:r>
        <w:rPr>
          <w:rFonts w:ascii="Arial" w:hAnsi="Arial"/>
          <w:color w:val="000000"/>
          <w:sz w:val="20"/>
        </w:rPr>
        <w:t>All closed vulnerability tickets must retain the re-scan evidence (screenshot or Nessus report excerpt) in GLPI for audit purposes.</w:t>
      </w:r>
    </w:p>
    <w:p>
      <w:pPr>
        <w:spacing w:before="160" w:after="40"/>
        <w:pBdr>
          <w:bottom w:val="single" w:sz="6" w:space="1" w:color="2E75B6"/>
        </w:pBdr>
      </w:pPr>
      <w:r>
        <w:rPr>
          <w:rFonts w:ascii="Arial" w:hAnsi="Arial"/>
          <w:b/>
          <w:color w:val="0D1F3C"/>
          <w:sz w:val="20"/>
        </w:rPr>
        <w:t>5.6  Reporting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/>
          <w:trHeight w:val="360"/>
          <w:trHeight w:val="360"/>
          <w:trHeight w:val="360"/>
        </w:trPr>
        <w:tc>
          <w:tcPr>
            <w:tcW w:type="dxa" w:w="2304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Report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87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4176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Content</w:t>
            </w:r>
          </w:p>
        </w:tc>
      </w:tr>
      <w:tr>
        <w:trPr>
          <w:trHeight w:val="320"/>
        </w:trPr>
        <w:tc>
          <w:tcPr>
            <w:tcW w:type="dxa" w:w="2304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Vulnerability Weekly Summary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Weekly (every Friday)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Lead</w:t>
            </w:r>
          </w:p>
        </w:tc>
        <w:tc>
          <w:tcPr>
            <w:tcW w:type="dxa" w:w="417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New findings by severity, SLA compliance rate, remediation status.</w:t>
            </w:r>
          </w:p>
        </w:tc>
      </w:tr>
      <w:tr>
        <w:trPr>
          <w:trHeight w:val="320"/>
        </w:trP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Monthly Vulnerability KPI Report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Monthly (first Monday)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HOIT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Total open vulnerabilities by severity, SLA breaches, top 5 critical findings, remediation progress.</w:t>
            </w:r>
          </w:p>
        </w:tc>
      </w:tr>
      <w:tr>
        <w:trPr>
          <w:trHeight w:val="320"/>
        </w:trPr>
        <w:tc>
          <w:tcPr>
            <w:tcW w:type="dxa" w:w="2304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Emergency CVE Advisory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As needed</w:t>
            </w:r>
          </w:p>
        </w:tc>
        <w:tc>
          <w:tcPr>
            <w:tcW w:type="dxa" w:w="187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Lead + HOIT</w:t>
            </w:r>
          </w:p>
        </w:tc>
        <w:tc>
          <w:tcPr>
            <w:tcW w:type="dxa" w:w="4176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New high-impact CVE affecting in-scope systems. Includes exposure assessment and mitigation timeline.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6.  EXCEPTIONS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Vulnerability SLA exceptions require: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Written request from the Remediation Owner stating the reason and proposed new deadline.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Compensating control implementation and documentation.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color w:val="000000"/>
          <w:sz w:val="20"/>
        </w:rPr>
        <w:t>Approval from SOC Lead (P3/P4) or HOIT (P1/P2).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000000"/>
          <w:sz w:val="20"/>
        </w:rPr>
        <w:t>Exception requests that are not approved result in the vulnerability being flagged as SLA-breached in the monthly KPI report to HOIT.</w:t>
      </w:r>
    </w:p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7.  COMPLIANCE AND REFERENCES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60"/>
          <w:trHeight w:val="360"/>
        </w:trPr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763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SOP-002</w:t>
            </w:r>
          </w:p>
        </w:tc>
        <w:tc>
          <w:tcPr>
            <w:tcW w:type="dxa" w:w="76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Alert Triage — severity mapping applied to CVSS scores.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SOP-003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GLPI Ticket Lifecycle — governs vulnerability ticket creation and closure.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SOP-004</w:t>
            </w:r>
          </w:p>
        </w:tc>
        <w:tc>
          <w:tcPr>
            <w:tcW w:type="dxa" w:w="76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Escalation — governs notification for Critical SLA breaches.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PB-005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Weekly Nessus Scan Execution &amp; Report Review — scan execution procedure.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PB-006</w:t>
            </w:r>
          </w:p>
        </w:tc>
        <w:tc>
          <w:tcPr>
            <w:tcW w:type="dxa" w:w="763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Critical/High Vulnerability Triage &amp; Owner Assignment — triage procedure.</w:t>
            </w:r>
          </w:p>
        </w:tc>
      </w:tr>
      <w:tr>
        <w:trPr>
          <w:trHeight w:val="320"/>
        </w:trP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NIST SP 800-40r4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Guide to Enterprise Patch Management Planning — reference framework.</w:t>
            </w:r>
          </w:p>
        </w:tc>
      </w:tr>
    </w:tbl>
    <w:p/>
    <w:p>
      <w:pPr>
        <w:spacing w:before="240" w:after="40"/>
        <w:shd w:val="clear" w:color="auto" w:fill="1A3A6B"/>
      </w:pPr>
      <w:r>
        <w:rPr>
          <w:rFonts w:ascii="Arial" w:hAnsi="Arial"/>
          <w:b/>
          <w:color w:val="FFFFFF"/>
          <w:sz w:val="22"/>
        </w:rPr>
        <w:t>8.  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360"/>
          <w:trHeight w:val="360"/>
          <w:trHeight w:val="360"/>
          <w:trHeight w:val="360"/>
        </w:trPr>
        <w:tc>
          <w:tcPr>
            <w:tcW w:type="dxa" w:w="115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92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5328"/>
            <w:shd w:val="clear" w:color="auto" w:fill="0D1F3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Change Summary</w:t>
            </w:r>
          </w:p>
        </w:tc>
      </w:tr>
      <w:tr>
        <w:trPr>
          <w:trHeight w:val="320"/>
        </w:trPr>
        <w:tc>
          <w:tcPr>
            <w:tcW w:type="dxa" w:w="115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1.0</w:t>
            </w:r>
          </w:p>
        </w:tc>
        <w:tc>
          <w:tcPr>
            <w:tcW w:type="dxa" w:w="17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2026-04-01</w:t>
            </w:r>
          </w:p>
        </w:tc>
        <w:tc>
          <w:tcPr>
            <w:tcW w:type="dxa" w:w="2592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SOC Lead</w:t>
            </w:r>
          </w:p>
        </w:tc>
        <w:tc>
          <w:tcPr>
            <w:tcW w:type="dxa" w:w="5328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00000"/>
                <w:sz w:val="18"/>
              </w:rPr>
              <w:t>Initial release. Remediation owner contacts to be added per environment before go-live.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hd w:val="clear" w:color="auto" w:fill="0D1F3C"/>
      <w:jc w:val="left"/>
    </w:pPr>
    <w:r>
      <w:rPr>
        <w:rFonts w:ascii="Arial" w:hAnsi="Arial"/>
        <w:color w:val="FFFFFF"/>
        <w:sz w:val="16"/>
      </w:rPr>
      <w:t xml:space="preserve">  SOP-006  |  Vulnerability Management &amp; Remediation Tracking  |  SOC — INTERNAL USE ONLY  |  Review annually or after major incident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F3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F3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D1F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