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F402" w14:textId="77777777" w:rsidR="00A73AEF" w:rsidRDefault="00000000">
      <w:pPr>
        <w:spacing w:after="40"/>
      </w:pPr>
      <w:r>
        <w:rPr>
          <w:b/>
          <w:color w:val="595959"/>
          <w:sz w:val="18"/>
        </w:rPr>
        <w:t>PARTICIPANT HANDOUT 5–7</w:t>
      </w:r>
    </w:p>
    <w:p w14:paraId="012CC45A" w14:textId="77777777" w:rsidR="00A73AEF" w:rsidRDefault="00000000">
      <w:pPr>
        <w:spacing w:after="60"/>
      </w:pPr>
      <w:r>
        <w:rPr>
          <w:b/>
          <w:color w:val="0E2841"/>
          <w:sz w:val="32"/>
        </w:rPr>
        <w:t>One decision, three gates — the activity pack</w:t>
      </w:r>
    </w:p>
    <w:p w14:paraId="2D755915" w14:textId="0B350CEC" w:rsidR="00A73AEF" w:rsidRDefault="00000000">
      <w:r>
        <w:rPr>
          <w:b/>
          <w:color w:val="0D6652"/>
          <w:sz w:val="20"/>
        </w:rPr>
        <w:t>Session 7 — Day three, 09:00–10:30   ·   Three rounds of 8–11 minutes   ·   Mixed tripartite tables</w:t>
      </w:r>
    </w:p>
    <w:p w14:paraId="09E750CD" w14:textId="7E374296" w:rsidR="00A73AEF" w:rsidRDefault="00000000">
      <w:r>
        <w:rPr>
          <w:i/>
          <w:color w:val="595959"/>
        </w:rPr>
        <w:t>You keep what you write — it is the model for the next conclusion that crosses your desk.</w:t>
      </w:r>
    </w:p>
    <w:tbl>
      <w:tblPr>
        <w:tblStyle w:val="TableGrid"/>
        <w:tblW w:w="0" w:type="auto"/>
        <w:tblLook w:val="04A0" w:firstRow="1" w:lastRow="0" w:firstColumn="1" w:lastColumn="0" w:noHBand="0" w:noVBand="1"/>
      </w:tblPr>
      <w:tblGrid>
        <w:gridCol w:w="792"/>
        <w:gridCol w:w="1800"/>
        <w:gridCol w:w="6192"/>
        <w:gridCol w:w="1008"/>
      </w:tblGrid>
      <w:tr w:rsidR="00A73AEF" w14:paraId="69FB9CDC" w14:textId="77777777">
        <w:tc>
          <w:tcPr>
            <w:tcW w:w="792" w:type="dxa"/>
            <w:shd w:val="clear" w:color="auto" w:fill="0D6652"/>
          </w:tcPr>
          <w:p w14:paraId="0A13831C" w14:textId="77777777" w:rsidR="00A73AEF" w:rsidRDefault="00000000">
            <w:pPr>
              <w:spacing w:before="20" w:after="40"/>
            </w:pPr>
            <w:r>
              <w:rPr>
                <w:b/>
                <w:color w:val="FFFFFF"/>
                <w:sz w:val="19"/>
              </w:rPr>
              <w:t>Round</w:t>
            </w:r>
          </w:p>
        </w:tc>
        <w:tc>
          <w:tcPr>
            <w:tcW w:w="1800" w:type="dxa"/>
            <w:shd w:val="clear" w:color="auto" w:fill="0D6652"/>
          </w:tcPr>
          <w:p w14:paraId="29996E9A" w14:textId="77777777" w:rsidR="00A73AEF" w:rsidRDefault="00000000">
            <w:pPr>
              <w:spacing w:before="20" w:after="40"/>
            </w:pPr>
            <w:r>
              <w:rPr>
                <w:b/>
                <w:color w:val="FFFFFF"/>
                <w:sz w:val="19"/>
              </w:rPr>
              <w:t>The gate</w:t>
            </w:r>
          </w:p>
        </w:tc>
        <w:tc>
          <w:tcPr>
            <w:tcW w:w="6192" w:type="dxa"/>
            <w:shd w:val="clear" w:color="auto" w:fill="0D6652"/>
          </w:tcPr>
          <w:p w14:paraId="7E34C639" w14:textId="77777777" w:rsidR="00A73AEF" w:rsidRDefault="00000000">
            <w:pPr>
              <w:spacing w:before="20" w:after="40"/>
            </w:pPr>
            <w:r>
              <w:rPr>
                <w:b/>
                <w:color w:val="FFFFFF"/>
                <w:sz w:val="19"/>
              </w:rPr>
              <w:t>The question</w:t>
            </w:r>
          </w:p>
        </w:tc>
        <w:tc>
          <w:tcPr>
            <w:tcW w:w="1008" w:type="dxa"/>
            <w:shd w:val="clear" w:color="auto" w:fill="0D6652"/>
          </w:tcPr>
          <w:p w14:paraId="49A56AB6" w14:textId="77777777" w:rsidR="00A73AEF" w:rsidRDefault="00000000">
            <w:pPr>
              <w:spacing w:before="20" w:after="40"/>
            </w:pPr>
            <w:r>
              <w:rPr>
                <w:b/>
                <w:color w:val="FFFFFF"/>
                <w:sz w:val="19"/>
              </w:rPr>
              <w:t>Points</w:t>
            </w:r>
          </w:p>
        </w:tc>
      </w:tr>
      <w:tr w:rsidR="00A73AEF" w14:paraId="42E37513" w14:textId="77777777">
        <w:trPr>
          <w:trHeight w:val="576"/>
        </w:trPr>
        <w:tc>
          <w:tcPr>
            <w:tcW w:w="792" w:type="dxa"/>
          </w:tcPr>
          <w:p w14:paraId="74BD8E78" w14:textId="77777777" w:rsidR="00A73AEF" w:rsidRDefault="00000000">
            <w:pPr>
              <w:spacing w:before="20" w:after="20"/>
            </w:pPr>
            <w:r>
              <w:rPr>
                <w:sz w:val="19"/>
              </w:rPr>
              <w:t>1</w:t>
            </w:r>
          </w:p>
        </w:tc>
        <w:tc>
          <w:tcPr>
            <w:tcW w:w="1800" w:type="dxa"/>
          </w:tcPr>
          <w:p w14:paraId="270F76AD" w14:textId="77777777" w:rsidR="00A73AEF" w:rsidRDefault="00000000">
            <w:pPr>
              <w:spacing w:before="20" w:after="20"/>
            </w:pPr>
            <w:r>
              <w:rPr>
                <w:sz w:val="19"/>
              </w:rPr>
              <w:t>Reach</w:t>
            </w:r>
          </w:p>
        </w:tc>
        <w:tc>
          <w:tcPr>
            <w:tcW w:w="6192" w:type="dxa"/>
          </w:tcPr>
          <w:p w14:paraId="17487FAD" w14:textId="77777777" w:rsidR="00A73AEF" w:rsidRDefault="00000000">
            <w:pPr>
              <w:spacing w:before="20" w:after="20"/>
            </w:pPr>
            <w:r>
              <w:rPr>
                <w:sz w:val="19"/>
              </w:rPr>
              <w:t>Who does this measure actually reach — and who does it quietly miss?</w:t>
            </w:r>
          </w:p>
        </w:tc>
        <w:tc>
          <w:tcPr>
            <w:tcW w:w="1008" w:type="dxa"/>
          </w:tcPr>
          <w:p w14:paraId="5356C57F" w14:textId="77777777" w:rsidR="00A73AEF" w:rsidRDefault="00000000">
            <w:pPr>
              <w:spacing w:before="20" w:after="20"/>
            </w:pPr>
            <w:r>
              <w:rPr>
                <w:sz w:val="19"/>
              </w:rPr>
              <w:t>10</w:t>
            </w:r>
          </w:p>
        </w:tc>
      </w:tr>
      <w:tr w:rsidR="00A73AEF" w14:paraId="5D785B55" w14:textId="77777777">
        <w:trPr>
          <w:trHeight w:val="576"/>
        </w:trPr>
        <w:tc>
          <w:tcPr>
            <w:tcW w:w="792" w:type="dxa"/>
            <w:shd w:val="clear" w:color="auto" w:fill="F4F6F5"/>
          </w:tcPr>
          <w:p w14:paraId="2B0F2EDF" w14:textId="77777777" w:rsidR="00A73AEF" w:rsidRDefault="00000000">
            <w:pPr>
              <w:spacing w:before="20" w:after="20"/>
            </w:pPr>
            <w:r>
              <w:rPr>
                <w:sz w:val="19"/>
              </w:rPr>
              <w:t>2</w:t>
            </w:r>
          </w:p>
        </w:tc>
        <w:tc>
          <w:tcPr>
            <w:tcW w:w="1800" w:type="dxa"/>
            <w:shd w:val="clear" w:color="auto" w:fill="F4F6F5"/>
          </w:tcPr>
          <w:p w14:paraId="0085FA1B" w14:textId="77777777" w:rsidR="00A73AEF" w:rsidRDefault="00000000">
            <w:pPr>
              <w:spacing w:before="20" w:after="20"/>
            </w:pPr>
            <w:r>
              <w:rPr>
                <w:sz w:val="19"/>
              </w:rPr>
              <w:t>Evidence</w:t>
            </w:r>
          </w:p>
        </w:tc>
        <w:tc>
          <w:tcPr>
            <w:tcW w:w="6192" w:type="dxa"/>
            <w:shd w:val="clear" w:color="auto" w:fill="F4F6F5"/>
          </w:tcPr>
          <w:p w14:paraId="2ED89029" w14:textId="77777777" w:rsidR="00A73AEF" w:rsidRDefault="00000000">
            <w:pPr>
              <w:spacing w:before="20" w:after="20"/>
            </w:pPr>
            <w:r>
              <w:rPr>
                <w:sz w:val="19"/>
              </w:rPr>
              <w:t>What facts are settled before the argument starts, and who settled them?</w:t>
            </w:r>
          </w:p>
        </w:tc>
        <w:tc>
          <w:tcPr>
            <w:tcW w:w="1008" w:type="dxa"/>
            <w:shd w:val="clear" w:color="auto" w:fill="F4F6F5"/>
          </w:tcPr>
          <w:p w14:paraId="451F5122" w14:textId="77777777" w:rsidR="00A73AEF" w:rsidRDefault="00000000">
            <w:pPr>
              <w:spacing w:before="20" w:after="20"/>
            </w:pPr>
            <w:r>
              <w:rPr>
                <w:sz w:val="19"/>
              </w:rPr>
              <w:t>10</w:t>
            </w:r>
          </w:p>
        </w:tc>
      </w:tr>
      <w:tr w:rsidR="00A73AEF" w14:paraId="4A6599E4" w14:textId="77777777">
        <w:trPr>
          <w:trHeight w:val="576"/>
        </w:trPr>
        <w:tc>
          <w:tcPr>
            <w:tcW w:w="792" w:type="dxa"/>
          </w:tcPr>
          <w:p w14:paraId="6D54A318" w14:textId="77777777" w:rsidR="00A73AEF" w:rsidRDefault="00000000">
            <w:pPr>
              <w:spacing w:before="20" w:after="20"/>
            </w:pPr>
            <w:r>
              <w:rPr>
                <w:sz w:val="19"/>
              </w:rPr>
              <w:t>3</w:t>
            </w:r>
          </w:p>
        </w:tc>
        <w:tc>
          <w:tcPr>
            <w:tcW w:w="1800" w:type="dxa"/>
          </w:tcPr>
          <w:p w14:paraId="6301BA0A" w14:textId="77777777" w:rsidR="00A73AEF" w:rsidRDefault="00000000">
            <w:pPr>
              <w:spacing w:before="20" w:after="20"/>
            </w:pPr>
            <w:r>
              <w:rPr>
                <w:sz w:val="19"/>
              </w:rPr>
              <w:t>Delivery</w:t>
            </w:r>
          </w:p>
        </w:tc>
        <w:tc>
          <w:tcPr>
            <w:tcW w:w="6192" w:type="dxa"/>
          </w:tcPr>
          <w:p w14:paraId="544B083E" w14:textId="77777777" w:rsidR="00A73AEF" w:rsidRDefault="00000000">
            <w:pPr>
              <w:spacing w:before="20" w:after="20"/>
            </w:pPr>
            <w:r>
              <w:rPr>
                <w:sz w:val="19"/>
              </w:rPr>
              <w:t>Six months from now, how would anybody know whether this happened?</w:t>
            </w:r>
          </w:p>
        </w:tc>
        <w:tc>
          <w:tcPr>
            <w:tcW w:w="1008" w:type="dxa"/>
          </w:tcPr>
          <w:p w14:paraId="5D8820F7" w14:textId="77777777" w:rsidR="00A73AEF" w:rsidRDefault="00000000">
            <w:pPr>
              <w:spacing w:before="20" w:after="20"/>
            </w:pPr>
            <w:r>
              <w:rPr>
                <w:sz w:val="19"/>
              </w:rPr>
              <w:t>10</w:t>
            </w:r>
          </w:p>
        </w:tc>
      </w:tr>
    </w:tbl>
    <w:p w14:paraId="36CDAAD4" w14:textId="77777777" w:rsidR="00A73AEF" w:rsidRDefault="00A73AEF">
      <w:pPr>
        <w:spacing w:after="40"/>
      </w:pPr>
    </w:p>
    <w:p w14:paraId="0B1F492E" w14:textId="77777777" w:rsidR="00A73AEF" w:rsidRDefault="00000000">
      <w:pPr>
        <w:spacing w:before="240" w:after="60"/>
      </w:pPr>
      <w:r>
        <w:rPr>
          <w:b/>
          <w:color w:val="0D6652"/>
          <w:sz w:val="28"/>
        </w:rPr>
        <w:t>The paragraph we are going to fix</w:t>
      </w:r>
    </w:p>
    <w:p w14:paraId="4A472C19" w14:textId="77777777" w:rsidR="00A73AEF" w:rsidRDefault="00000000">
      <w:pPr>
        <w:spacing w:after="120"/>
      </w:pPr>
      <w:r>
        <w:rPr>
          <w:b/>
          <w:color w:val="E72F1F"/>
          <w:sz w:val="19"/>
        </w:rPr>
        <w:t>TRAINING MATERIAL — SIMULATED. Written for this exercise. It is not the conclusion of any real body and nothing in it states Bangladesh law.</w:t>
      </w:r>
    </w:p>
    <w:tbl>
      <w:tblPr>
        <w:tblStyle w:val="TableGrid"/>
        <w:tblW w:w="0" w:type="auto"/>
        <w:tblLook w:val="04A0" w:firstRow="1" w:lastRow="0" w:firstColumn="1" w:lastColumn="0" w:noHBand="0" w:noVBand="1"/>
      </w:tblPr>
      <w:tblGrid>
        <w:gridCol w:w="9792"/>
      </w:tblGrid>
      <w:tr w:rsidR="00A73AEF" w14:paraId="17C337CE" w14:textId="77777777">
        <w:tc>
          <w:tcPr>
            <w:tcW w:w="9792" w:type="dxa"/>
            <w:shd w:val="clear" w:color="auto" w:fill="0D6652"/>
          </w:tcPr>
          <w:p w14:paraId="27739260" w14:textId="77777777" w:rsidR="00A73AEF" w:rsidRDefault="00A73AEF">
            <w:pPr>
              <w:spacing w:before="20" w:after="40"/>
            </w:pPr>
          </w:p>
        </w:tc>
      </w:tr>
      <w:tr w:rsidR="00A73AEF" w14:paraId="4628DD51" w14:textId="77777777">
        <w:trPr>
          <w:trHeight w:val="2160"/>
        </w:trPr>
        <w:tc>
          <w:tcPr>
            <w:tcW w:w="9792" w:type="dxa"/>
          </w:tcPr>
          <w:p w14:paraId="3740A5E4" w14:textId="77777777" w:rsidR="00A73AEF" w:rsidRDefault="00000000">
            <w:pPr>
              <w:spacing w:before="20" w:after="20"/>
            </w:pPr>
            <w:r>
              <w:rPr>
                <w:sz w:val="19"/>
              </w:rPr>
              <w:t>“The Committee, having considered safety conditions in the sector, agrees that establishments with fifty or more workers shall extend their safety committee’s hazard review to cover contracted and seasonal work, and display emergency procedures at every worksite; that workers may report unsafe conditions in writing to the committee; and that stakeholders will improve enforcement soon. Particular attention will be given to the needs of women workers.”</w:t>
            </w:r>
          </w:p>
        </w:tc>
      </w:tr>
    </w:tbl>
    <w:p w14:paraId="28BF3CD3" w14:textId="77777777" w:rsidR="00A73AEF" w:rsidRDefault="00A73AEF">
      <w:pPr>
        <w:spacing w:after="40"/>
      </w:pPr>
    </w:p>
    <w:p w14:paraId="4B8D40AB" w14:textId="77777777" w:rsidR="00A73AEF" w:rsidRDefault="00000000">
      <w:pPr>
        <w:spacing w:before="80" w:after="40"/>
      </w:pPr>
      <w:r>
        <w:rPr>
          <w:i/>
          <w:color w:val="595959"/>
          <w:sz w:val="20"/>
        </w:rPr>
        <w:t>The fifty-worker figure is deliberate: it matches the threshold at which the Labour Rules already require a safety committee. The simulated conclusion adds a review and a display duty on top of that committee — it does not create a post, change a threshold or restate a statutory obligation. Check any legal reference with the national expert before relying on it outside this room.</w:t>
      </w:r>
    </w:p>
    <w:p w14:paraId="04F6CE0B" w14:textId="77777777" w:rsidR="00A73AEF" w:rsidRDefault="00000000">
      <w:pPr>
        <w:spacing w:before="200" w:after="60"/>
      </w:pPr>
      <w:r>
        <w:rPr>
          <w:b/>
          <w:color w:val="0E2841"/>
          <w:sz w:val="24"/>
        </w:rPr>
        <w:t>Background (also simulated)</w:t>
      </w:r>
    </w:p>
    <w:p w14:paraId="0B4B4162" w14:textId="77777777" w:rsidR="00A73AEF" w:rsidRDefault="00000000">
      <w:pPr>
        <w:spacing w:after="80"/>
      </w:pPr>
      <w:r>
        <w:t>The sector is one in which a large share of employment is informal; many units employ fewer than fifty workers; a good deal of the work is subcontracted or done at home; and most of the lowest-graded jobs are held by women. The body has asked for a conclusion by its next ordinary meeting.</w:t>
      </w:r>
    </w:p>
    <w:p w14:paraId="611807B8" w14:textId="77777777" w:rsidR="00A73AEF" w:rsidRDefault="00000000">
      <w:pPr>
        <w:spacing w:after="80"/>
      </w:pPr>
      <w:r>
        <w:rPr>
          <w:i/>
          <w:color w:val="E72F1F"/>
          <w:sz w:val="20"/>
        </w:rPr>
        <w:t>Where the exercise asks you for numbers, use a sector you actually know. Real proportions make this worth doing; invented ones do not.</w:t>
      </w:r>
    </w:p>
    <w:p w14:paraId="71ED03BE" w14:textId="77777777" w:rsidR="00A73AEF" w:rsidRDefault="00000000">
      <w:pPr>
        <w:pageBreakBefore/>
        <w:spacing w:after="60"/>
      </w:pPr>
      <w:r>
        <w:rPr>
          <w:b/>
          <w:color w:val="0D6652"/>
          <w:sz w:val="30"/>
        </w:rPr>
        <w:lastRenderedPageBreak/>
        <w:t>Round 1 · Gate one — Who does it miss?</w:t>
      </w:r>
    </w:p>
    <w:tbl>
      <w:tblPr>
        <w:tblW w:w="0" w:type="auto"/>
        <w:tblLook w:val="04A0" w:firstRow="1" w:lastRow="0" w:firstColumn="1" w:lastColumn="0" w:noHBand="0" w:noVBand="1"/>
      </w:tblPr>
      <w:tblGrid>
        <w:gridCol w:w="10080"/>
      </w:tblGrid>
      <w:tr w:rsidR="00A73AEF" w14:paraId="4C98D0BF" w14:textId="77777777">
        <w:tc>
          <w:tcPr>
            <w:tcW w:w="10080" w:type="dxa"/>
            <w:shd w:val="clear" w:color="auto" w:fill="0D6652"/>
          </w:tcPr>
          <w:p w14:paraId="2CB5916D" w14:textId="77777777" w:rsidR="00A73AEF" w:rsidRDefault="00000000">
            <w:pPr>
              <w:spacing w:before="60" w:after="60"/>
            </w:pPr>
            <w:r>
              <w:rPr>
                <w:b/>
                <w:color w:val="FFFFFF"/>
                <w:sz w:val="20"/>
              </w:rPr>
              <w:t>TASK</w:t>
            </w:r>
            <w:r>
              <w:rPr>
                <w:color w:val="D6E4E0"/>
                <w:sz w:val="20"/>
              </w:rPr>
              <w:t xml:space="preserve">    Run the paragraph through the four questions, name who it misses, and draft ONE amendment that extends its reach furthest.</w:t>
            </w:r>
          </w:p>
        </w:tc>
      </w:tr>
    </w:tbl>
    <w:p w14:paraId="1D8D1A89" w14:textId="77777777" w:rsidR="00A73AEF" w:rsidRDefault="00A73AEF">
      <w:pPr>
        <w:spacing w:after="40"/>
      </w:pPr>
    </w:p>
    <w:p w14:paraId="493FC9DE" w14:textId="77777777" w:rsidR="00A73AEF" w:rsidRDefault="00000000">
      <w:pPr>
        <w:spacing w:before="160" w:after="60"/>
      </w:pPr>
      <w:r>
        <w:rPr>
          <w:b/>
          <w:color w:val="0E2841"/>
          <w:sz w:val="24"/>
        </w:rPr>
        <w:t>The four questions</w:t>
      </w:r>
    </w:p>
    <w:p w14:paraId="2F302A28" w14:textId="77777777" w:rsidR="00A73AEF" w:rsidRDefault="00000000">
      <w:pPr>
        <w:spacing w:after="60"/>
        <w:ind w:left="605" w:hanging="288"/>
      </w:pPr>
      <w:r>
        <w:rPr>
          <w:b/>
          <w:color w:val="E72F1F"/>
          <w:sz w:val="16"/>
        </w:rPr>
        <w:t xml:space="preserve">●  </w:t>
      </w:r>
      <w:r>
        <w:t>Does it need a written contract, or a registered employer?</w:t>
      </w:r>
    </w:p>
    <w:p w14:paraId="65CE1892" w14:textId="77777777" w:rsidR="00A73AEF" w:rsidRDefault="00000000">
      <w:pPr>
        <w:spacing w:after="60"/>
        <w:ind w:left="605" w:hanging="288"/>
      </w:pPr>
      <w:r>
        <w:rPr>
          <w:b/>
          <w:color w:val="E72F1F"/>
          <w:sz w:val="16"/>
        </w:rPr>
        <w:t xml:space="preserve">●  </w:t>
      </w:r>
      <w:r>
        <w:t>Does it need the worker to complain first — and carry the risk of complaining?</w:t>
      </w:r>
    </w:p>
    <w:p w14:paraId="2E91834A" w14:textId="77777777" w:rsidR="00A73AEF" w:rsidRDefault="00000000">
      <w:pPr>
        <w:spacing w:after="60"/>
        <w:ind w:left="605" w:hanging="288"/>
      </w:pPr>
      <w:r>
        <w:rPr>
          <w:b/>
          <w:color w:val="E72F1F"/>
          <w:sz w:val="16"/>
        </w:rPr>
        <w:t xml:space="preserve">●  </w:t>
      </w:r>
      <w:r>
        <w:t>Does it reach people through a channel they already use?</w:t>
      </w:r>
    </w:p>
    <w:p w14:paraId="1F667717" w14:textId="77777777" w:rsidR="00A73AEF" w:rsidRDefault="00000000">
      <w:pPr>
        <w:spacing w:after="60"/>
        <w:ind w:left="605" w:hanging="288"/>
      </w:pPr>
      <w:r>
        <w:rPr>
          <w:b/>
          <w:color w:val="E72F1F"/>
          <w:sz w:val="16"/>
        </w:rPr>
        <w:t xml:space="preserve">●  </w:t>
      </w:r>
      <w:r>
        <w:t>Is the paperwork on the party best able to carry it?</w:t>
      </w:r>
    </w:p>
    <w:p w14:paraId="38F37297" w14:textId="77777777" w:rsidR="00A73AEF" w:rsidRDefault="00000000">
      <w:pPr>
        <w:spacing w:before="40" w:after="160"/>
      </w:pPr>
      <w:r>
        <w:rPr>
          <w:i/>
          <w:color w:val="E72F1F"/>
          <w:sz w:val="20"/>
        </w:rPr>
        <w:t>If the answer to the first two is yes, the measure reaches the formal economy and stops there. The standards behind these questions are on page 6.</w:t>
      </w:r>
    </w:p>
    <w:p w14:paraId="6E7FDE66" w14:textId="77777777" w:rsidR="00A73AEF" w:rsidRDefault="00000000">
      <w:pPr>
        <w:spacing w:after="60"/>
      </w:pPr>
      <w:r>
        <w:rPr>
          <w:b/>
          <w:color w:val="0E2841"/>
          <w:sz w:val="24"/>
        </w:rPr>
        <w:t>Step 1 — Every condition in the paragraph</w:t>
      </w:r>
    </w:p>
    <w:tbl>
      <w:tblPr>
        <w:tblStyle w:val="TableGrid"/>
        <w:tblW w:w="0" w:type="auto"/>
        <w:tblLook w:val="04A0" w:firstRow="1" w:lastRow="0" w:firstColumn="1" w:lastColumn="0" w:noHBand="0" w:noVBand="1"/>
      </w:tblPr>
      <w:tblGrid>
        <w:gridCol w:w="3888"/>
        <w:gridCol w:w="3744"/>
        <w:gridCol w:w="2160"/>
      </w:tblGrid>
      <w:tr w:rsidR="00A73AEF" w14:paraId="1AC7CAF5" w14:textId="77777777">
        <w:tc>
          <w:tcPr>
            <w:tcW w:w="3888" w:type="dxa"/>
            <w:shd w:val="clear" w:color="auto" w:fill="0D6652"/>
          </w:tcPr>
          <w:p w14:paraId="3A83DD33" w14:textId="77777777" w:rsidR="00A73AEF" w:rsidRDefault="00000000">
            <w:pPr>
              <w:spacing w:before="20" w:after="40"/>
            </w:pPr>
            <w:r>
              <w:rPr>
                <w:b/>
                <w:color w:val="FFFFFF"/>
                <w:sz w:val="19"/>
              </w:rPr>
              <w:t>The phrase that sets a condition</w:t>
            </w:r>
          </w:p>
        </w:tc>
        <w:tc>
          <w:tcPr>
            <w:tcW w:w="3744" w:type="dxa"/>
            <w:shd w:val="clear" w:color="auto" w:fill="0D6652"/>
          </w:tcPr>
          <w:p w14:paraId="6FC9C7F7" w14:textId="77777777" w:rsidR="00A73AEF" w:rsidRDefault="00000000">
            <w:pPr>
              <w:spacing w:before="20" w:after="40"/>
            </w:pPr>
            <w:r>
              <w:rPr>
                <w:b/>
                <w:color w:val="FFFFFF"/>
                <w:sz w:val="19"/>
              </w:rPr>
              <w:t>Who that leaves out</w:t>
            </w:r>
          </w:p>
        </w:tc>
        <w:tc>
          <w:tcPr>
            <w:tcW w:w="2160" w:type="dxa"/>
            <w:shd w:val="clear" w:color="auto" w:fill="0D6652"/>
          </w:tcPr>
          <w:p w14:paraId="2B0931CA" w14:textId="77777777" w:rsidR="00A73AEF" w:rsidRDefault="00000000">
            <w:pPr>
              <w:spacing w:before="20" w:after="40"/>
            </w:pPr>
            <w:r>
              <w:rPr>
                <w:b/>
                <w:color w:val="FFFFFF"/>
                <w:sz w:val="19"/>
              </w:rPr>
              <w:t>Roughly how many</w:t>
            </w:r>
          </w:p>
        </w:tc>
      </w:tr>
      <w:tr w:rsidR="00A73AEF" w14:paraId="6A447044" w14:textId="77777777">
        <w:trPr>
          <w:trHeight w:val="720"/>
        </w:trPr>
        <w:tc>
          <w:tcPr>
            <w:tcW w:w="3888" w:type="dxa"/>
          </w:tcPr>
          <w:p w14:paraId="7DC1D1CC" w14:textId="77777777" w:rsidR="00A73AEF" w:rsidRDefault="00A73AEF"/>
        </w:tc>
        <w:tc>
          <w:tcPr>
            <w:tcW w:w="3744" w:type="dxa"/>
          </w:tcPr>
          <w:p w14:paraId="0F9A732D" w14:textId="77777777" w:rsidR="00A73AEF" w:rsidRDefault="00A73AEF"/>
        </w:tc>
        <w:tc>
          <w:tcPr>
            <w:tcW w:w="2160" w:type="dxa"/>
          </w:tcPr>
          <w:p w14:paraId="334146C3" w14:textId="77777777" w:rsidR="00A73AEF" w:rsidRDefault="00A73AEF"/>
        </w:tc>
      </w:tr>
      <w:tr w:rsidR="00A73AEF" w14:paraId="032F20F2" w14:textId="77777777">
        <w:trPr>
          <w:trHeight w:val="720"/>
        </w:trPr>
        <w:tc>
          <w:tcPr>
            <w:tcW w:w="3888" w:type="dxa"/>
            <w:shd w:val="clear" w:color="auto" w:fill="F4F6F5"/>
          </w:tcPr>
          <w:p w14:paraId="5E93E134" w14:textId="77777777" w:rsidR="00A73AEF" w:rsidRDefault="00A73AEF"/>
        </w:tc>
        <w:tc>
          <w:tcPr>
            <w:tcW w:w="3744" w:type="dxa"/>
            <w:shd w:val="clear" w:color="auto" w:fill="F4F6F5"/>
          </w:tcPr>
          <w:p w14:paraId="6A33756F" w14:textId="77777777" w:rsidR="00A73AEF" w:rsidRDefault="00A73AEF"/>
        </w:tc>
        <w:tc>
          <w:tcPr>
            <w:tcW w:w="2160" w:type="dxa"/>
            <w:shd w:val="clear" w:color="auto" w:fill="F4F6F5"/>
          </w:tcPr>
          <w:p w14:paraId="532D1298" w14:textId="77777777" w:rsidR="00A73AEF" w:rsidRDefault="00A73AEF"/>
        </w:tc>
      </w:tr>
      <w:tr w:rsidR="00A73AEF" w14:paraId="0A2A646E" w14:textId="77777777">
        <w:trPr>
          <w:trHeight w:val="720"/>
        </w:trPr>
        <w:tc>
          <w:tcPr>
            <w:tcW w:w="3888" w:type="dxa"/>
          </w:tcPr>
          <w:p w14:paraId="420FA195" w14:textId="77777777" w:rsidR="00A73AEF" w:rsidRDefault="00A73AEF"/>
        </w:tc>
        <w:tc>
          <w:tcPr>
            <w:tcW w:w="3744" w:type="dxa"/>
          </w:tcPr>
          <w:p w14:paraId="6CB69769" w14:textId="77777777" w:rsidR="00A73AEF" w:rsidRDefault="00A73AEF"/>
        </w:tc>
        <w:tc>
          <w:tcPr>
            <w:tcW w:w="2160" w:type="dxa"/>
          </w:tcPr>
          <w:p w14:paraId="33DB9686" w14:textId="77777777" w:rsidR="00A73AEF" w:rsidRDefault="00A73AEF"/>
        </w:tc>
      </w:tr>
    </w:tbl>
    <w:p w14:paraId="175B89F5" w14:textId="77777777" w:rsidR="00A73AEF" w:rsidRDefault="00A73AEF">
      <w:pPr>
        <w:spacing w:after="40"/>
      </w:pPr>
    </w:p>
    <w:p w14:paraId="2DC8461C" w14:textId="77777777" w:rsidR="00A73AEF" w:rsidRDefault="00000000">
      <w:pPr>
        <w:spacing w:before="200" w:after="60"/>
      </w:pPr>
      <w:r>
        <w:rPr>
          <w:b/>
          <w:color w:val="0E2841"/>
          <w:sz w:val="24"/>
        </w:rPr>
        <w:t>Step 2 — The add-on test</w:t>
      </w:r>
    </w:p>
    <w:p w14:paraId="77366C4C" w14:textId="77777777" w:rsidR="00A73AEF" w:rsidRDefault="00000000">
      <w:pPr>
        <w:spacing w:after="80"/>
      </w:pPr>
      <w:r>
        <w:rPr>
          <w:i/>
          <w:color w:val="0E2841"/>
          <w:sz w:val="23"/>
        </w:rPr>
        <w:t>“If you deleted the sentence about women workers, would any other part of this paragraph change?”</w:t>
      </w:r>
    </w:p>
    <w:tbl>
      <w:tblPr>
        <w:tblStyle w:val="TableGrid"/>
        <w:tblW w:w="0" w:type="auto"/>
        <w:tblLook w:val="04A0" w:firstRow="1" w:lastRow="0" w:firstColumn="1" w:lastColumn="0" w:noHBand="0" w:noVBand="1"/>
      </w:tblPr>
      <w:tblGrid>
        <w:gridCol w:w="2160"/>
        <w:gridCol w:w="7632"/>
      </w:tblGrid>
      <w:tr w:rsidR="00A73AEF" w14:paraId="127E8080" w14:textId="77777777">
        <w:tc>
          <w:tcPr>
            <w:tcW w:w="2160" w:type="dxa"/>
            <w:shd w:val="clear" w:color="auto" w:fill="0D6652"/>
          </w:tcPr>
          <w:p w14:paraId="7DE58E6D" w14:textId="77777777" w:rsidR="00A73AEF" w:rsidRDefault="00000000">
            <w:pPr>
              <w:spacing w:before="20" w:after="40"/>
            </w:pPr>
            <w:r>
              <w:rPr>
                <w:b/>
                <w:color w:val="FFFFFF"/>
                <w:sz w:val="19"/>
              </w:rPr>
              <w:t>Your answer</w:t>
            </w:r>
          </w:p>
        </w:tc>
        <w:tc>
          <w:tcPr>
            <w:tcW w:w="7632" w:type="dxa"/>
            <w:shd w:val="clear" w:color="auto" w:fill="0D6652"/>
          </w:tcPr>
          <w:p w14:paraId="6A95DE50" w14:textId="77777777" w:rsidR="00A73AEF" w:rsidRDefault="00000000">
            <w:pPr>
              <w:spacing w:before="20" w:after="40"/>
            </w:pPr>
            <w:r>
              <w:rPr>
                <w:b/>
                <w:color w:val="FFFFFF"/>
                <w:sz w:val="19"/>
              </w:rPr>
              <w:t>If no — what would have to change for the answer to be yes?</w:t>
            </w:r>
          </w:p>
        </w:tc>
      </w:tr>
      <w:tr w:rsidR="00A73AEF" w14:paraId="68EE2DD8" w14:textId="77777777">
        <w:trPr>
          <w:trHeight w:val="1008"/>
        </w:trPr>
        <w:tc>
          <w:tcPr>
            <w:tcW w:w="2160" w:type="dxa"/>
          </w:tcPr>
          <w:p w14:paraId="1A147563" w14:textId="77777777" w:rsidR="00A73AEF" w:rsidRDefault="00A73AEF"/>
        </w:tc>
        <w:tc>
          <w:tcPr>
            <w:tcW w:w="7632" w:type="dxa"/>
          </w:tcPr>
          <w:p w14:paraId="1DE80400" w14:textId="77777777" w:rsidR="00A73AEF" w:rsidRDefault="00A73AEF"/>
        </w:tc>
      </w:tr>
    </w:tbl>
    <w:p w14:paraId="14619A01" w14:textId="77777777" w:rsidR="00A73AEF" w:rsidRDefault="00A73AEF">
      <w:pPr>
        <w:spacing w:after="40"/>
      </w:pPr>
    </w:p>
    <w:p w14:paraId="7F5DC65E" w14:textId="77777777" w:rsidR="00A73AEF" w:rsidRDefault="00000000">
      <w:pPr>
        <w:spacing w:before="200" w:after="60"/>
      </w:pPr>
      <w:r>
        <w:rPr>
          <w:b/>
          <w:color w:val="0E2841"/>
          <w:sz w:val="24"/>
        </w:rPr>
        <w:t>Step 3 — Your amendment</w:t>
      </w:r>
    </w:p>
    <w:p w14:paraId="4B8FF238" w14:textId="77777777" w:rsidR="00A73AEF" w:rsidRDefault="00000000">
      <w:pPr>
        <w:spacing w:after="80"/>
      </w:pPr>
      <w:r>
        <w:rPr>
          <w:i/>
          <w:color w:val="595959"/>
          <w:sz w:val="20"/>
        </w:rPr>
        <w:t>Real words. Something that could be lifted and dropped into the paragraph as it stands. “Should consider gender” scores nothing — that is the add-on you have just learned to spot.</w:t>
      </w:r>
    </w:p>
    <w:tbl>
      <w:tblPr>
        <w:tblW w:w="0" w:type="auto"/>
        <w:tblBorders>
          <w:bottom w:val="single" w:sz="4" w:space="0" w:color="BFBFBF"/>
          <w:insideH w:val="single" w:sz="4" w:space="0" w:color="BFBFBF"/>
        </w:tblBorders>
        <w:tblLook w:val="04A0" w:firstRow="1" w:lastRow="0" w:firstColumn="1" w:lastColumn="0" w:noHBand="0" w:noVBand="1"/>
      </w:tblPr>
      <w:tblGrid>
        <w:gridCol w:w="9792"/>
      </w:tblGrid>
      <w:tr w:rsidR="00A73AEF" w14:paraId="3FB72FDE" w14:textId="77777777">
        <w:trPr>
          <w:trHeight w:val="432"/>
        </w:trPr>
        <w:tc>
          <w:tcPr>
            <w:tcW w:w="9792" w:type="dxa"/>
          </w:tcPr>
          <w:p w14:paraId="6C4C21BD" w14:textId="77777777" w:rsidR="00A73AEF" w:rsidRDefault="00A73AEF">
            <w:pPr>
              <w:spacing w:after="0"/>
            </w:pPr>
          </w:p>
        </w:tc>
      </w:tr>
      <w:tr w:rsidR="00A73AEF" w14:paraId="2A28CB15" w14:textId="77777777">
        <w:trPr>
          <w:trHeight w:val="432"/>
        </w:trPr>
        <w:tc>
          <w:tcPr>
            <w:tcW w:w="9792" w:type="dxa"/>
          </w:tcPr>
          <w:p w14:paraId="71B43A2D" w14:textId="77777777" w:rsidR="00A73AEF" w:rsidRDefault="00A73AEF">
            <w:pPr>
              <w:spacing w:after="0"/>
            </w:pPr>
          </w:p>
        </w:tc>
      </w:tr>
      <w:tr w:rsidR="00A73AEF" w14:paraId="79FCF24D" w14:textId="77777777">
        <w:trPr>
          <w:trHeight w:val="432"/>
        </w:trPr>
        <w:tc>
          <w:tcPr>
            <w:tcW w:w="9792" w:type="dxa"/>
          </w:tcPr>
          <w:p w14:paraId="7A03AC7B" w14:textId="77777777" w:rsidR="00A73AEF" w:rsidRDefault="00A73AEF">
            <w:pPr>
              <w:spacing w:after="0"/>
            </w:pPr>
          </w:p>
        </w:tc>
      </w:tr>
    </w:tbl>
    <w:p w14:paraId="77E86B7B" w14:textId="77777777" w:rsidR="00A73AEF" w:rsidRDefault="00A73AEF">
      <w:pPr>
        <w:spacing w:after="40"/>
      </w:pPr>
    </w:p>
    <w:p w14:paraId="2A704319" w14:textId="77777777" w:rsidR="00A73AEF" w:rsidRDefault="00000000">
      <w:pPr>
        <w:pageBreakBefore/>
        <w:spacing w:after="60"/>
      </w:pPr>
      <w:r>
        <w:rPr>
          <w:b/>
          <w:color w:val="0D6652"/>
          <w:sz w:val="30"/>
        </w:rPr>
        <w:lastRenderedPageBreak/>
        <w:t>Round 2 · Gate two — Settle the facts</w:t>
      </w:r>
    </w:p>
    <w:tbl>
      <w:tblPr>
        <w:tblW w:w="0" w:type="auto"/>
        <w:tblLook w:val="04A0" w:firstRow="1" w:lastRow="0" w:firstColumn="1" w:lastColumn="0" w:noHBand="0" w:noVBand="1"/>
      </w:tblPr>
      <w:tblGrid>
        <w:gridCol w:w="10080"/>
      </w:tblGrid>
      <w:tr w:rsidR="00A73AEF" w14:paraId="15469AB9" w14:textId="77777777">
        <w:tc>
          <w:tcPr>
            <w:tcW w:w="10080" w:type="dxa"/>
            <w:shd w:val="clear" w:color="auto" w:fill="0D6652"/>
          </w:tcPr>
          <w:p w14:paraId="2FCAE1D6" w14:textId="77777777" w:rsidR="00A73AEF" w:rsidRDefault="00000000">
            <w:pPr>
              <w:spacing w:before="60" w:after="60"/>
            </w:pPr>
            <w:r>
              <w:rPr>
                <w:b/>
                <w:color w:val="FFFFFF"/>
                <w:sz w:val="20"/>
              </w:rPr>
              <w:t>TASK</w:t>
            </w:r>
            <w:r>
              <w:rPr>
                <w:color w:val="D6E4E0"/>
                <w:sz w:val="20"/>
              </w:rPr>
              <w:t xml:space="preserve">    You are the secretariat. Specify the brief you would circulate before this safety decision — and deal with the figure the parties will dispute.</w:t>
            </w:r>
          </w:p>
        </w:tc>
      </w:tr>
    </w:tbl>
    <w:p w14:paraId="50AA65BA" w14:textId="77777777" w:rsidR="00A73AEF" w:rsidRDefault="00A73AEF">
      <w:pPr>
        <w:spacing w:after="40"/>
      </w:pPr>
    </w:p>
    <w:p w14:paraId="340D6517" w14:textId="77777777" w:rsidR="00A73AEF" w:rsidRDefault="00000000">
      <w:pPr>
        <w:spacing w:before="160" w:after="60"/>
      </w:pPr>
      <w:r>
        <w:rPr>
          <w:b/>
          <w:color w:val="0E2841"/>
          <w:sz w:val="24"/>
        </w:rPr>
        <w:t>What the paragraph rests on</w:t>
      </w:r>
    </w:p>
    <w:p w14:paraId="00EBF901" w14:textId="77777777" w:rsidR="00A73AEF" w:rsidRDefault="00000000">
      <w:pPr>
        <w:spacing w:after="80"/>
      </w:pPr>
      <w:r>
        <w:t>“Having considered safety conditions in the sector.” Considered what? No source is named, no period, no figure — and on that basis the body is asked to conclude.</w:t>
      </w:r>
    </w:p>
    <w:p w14:paraId="77BC4013" w14:textId="77777777" w:rsidR="00A73AEF" w:rsidRDefault="00000000">
      <w:pPr>
        <w:spacing w:after="160"/>
      </w:pPr>
      <w:r>
        <w:rPr>
          <w:i/>
          <w:color w:val="595959"/>
          <w:sz w:val="20"/>
        </w:rPr>
        <w:t>The same problem is clearest in wage setting, which is why Convention No. 131 lists two sets of criteria — the needs of workers and their families, and economic factors — and assigns no weight between them. The weighting is the body’s decision. What the secretariat controls is whether both are evidenced at all.</w:t>
      </w:r>
    </w:p>
    <w:p w14:paraId="0BF31942" w14:textId="77777777" w:rsidR="00A73AEF" w:rsidRDefault="00000000">
      <w:pPr>
        <w:spacing w:after="60"/>
      </w:pPr>
      <w:r>
        <w:rPr>
          <w:b/>
          <w:color w:val="0E2841"/>
          <w:sz w:val="24"/>
        </w:rPr>
        <w:t>Step 1 — Four sources the body must see</w:t>
      </w:r>
    </w:p>
    <w:tbl>
      <w:tblPr>
        <w:tblStyle w:val="TableGrid"/>
        <w:tblW w:w="0" w:type="auto"/>
        <w:tblLook w:val="04A0" w:firstRow="1" w:lastRow="0" w:firstColumn="1" w:lastColumn="0" w:noHBand="0" w:noVBand="1"/>
      </w:tblPr>
      <w:tblGrid>
        <w:gridCol w:w="504"/>
        <w:gridCol w:w="3024"/>
        <w:gridCol w:w="3384"/>
        <w:gridCol w:w="2880"/>
      </w:tblGrid>
      <w:tr w:rsidR="00A73AEF" w14:paraId="7362F301" w14:textId="77777777">
        <w:tc>
          <w:tcPr>
            <w:tcW w:w="504" w:type="dxa"/>
            <w:shd w:val="clear" w:color="auto" w:fill="0D6652"/>
          </w:tcPr>
          <w:p w14:paraId="081CBDD7" w14:textId="77777777" w:rsidR="00A73AEF" w:rsidRDefault="00A73AEF">
            <w:pPr>
              <w:spacing w:before="20" w:after="40"/>
            </w:pPr>
          </w:p>
        </w:tc>
        <w:tc>
          <w:tcPr>
            <w:tcW w:w="3024" w:type="dxa"/>
            <w:shd w:val="clear" w:color="auto" w:fill="0D6652"/>
          </w:tcPr>
          <w:p w14:paraId="51AB91CF" w14:textId="77777777" w:rsidR="00A73AEF" w:rsidRDefault="00000000">
            <w:pPr>
              <w:spacing w:before="20" w:after="40"/>
            </w:pPr>
            <w:r>
              <w:rPr>
                <w:b/>
                <w:color w:val="FFFFFF"/>
                <w:sz w:val="19"/>
              </w:rPr>
              <w:t>The source</w:t>
            </w:r>
          </w:p>
        </w:tc>
        <w:tc>
          <w:tcPr>
            <w:tcW w:w="3384" w:type="dxa"/>
            <w:shd w:val="clear" w:color="auto" w:fill="0D6652"/>
          </w:tcPr>
          <w:p w14:paraId="3E058E96" w14:textId="77777777" w:rsidR="00A73AEF" w:rsidRDefault="00000000">
            <w:pPr>
              <w:spacing w:before="20" w:after="40"/>
            </w:pPr>
            <w:r>
              <w:rPr>
                <w:b/>
                <w:color w:val="FFFFFF"/>
                <w:sz w:val="19"/>
              </w:rPr>
              <w:t>Who produces it</w:t>
            </w:r>
          </w:p>
        </w:tc>
        <w:tc>
          <w:tcPr>
            <w:tcW w:w="2880" w:type="dxa"/>
            <w:shd w:val="clear" w:color="auto" w:fill="0D6652"/>
          </w:tcPr>
          <w:p w14:paraId="763BE8E8" w14:textId="77777777" w:rsidR="00A73AEF" w:rsidRDefault="00000000">
            <w:pPr>
              <w:spacing w:before="20" w:after="40"/>
            </w:pPr>
            <w:r>
              <w:rPr>
                <w:b/>
                <w:color w:val="FFFFFF"/>
                <w:sz w:val="19"/>
              </w:rPr>
              <w:t>When it was collected</w:t>
            </w:r>
            <w:r>
              <w:rPr>
                <w:b/>
                <w:color w:val="FFFFFF"/>
                <w:sz w:val="19"/>
              </w:rPr>
              <w:br/>
              <w:t>(not published)</w:t>
            </w:r>
          </w:p>
        </w:tc>
      </w:tr>
      <w:tr w:rsidR="00A73AEF" w14:paraId="479DDF2F" w14:textId="77777777">
        <w:trPr>
          <w:trHeight w:val="576"/>
        </w:trPr>
        <w:tc>
          <w:tcPr>
            <w:tcW w:w="504" w:type="dxa"/>
          </w:tcPr>
          <w:p w14:paraId="36116EC4" w14:textId="77777777" w:rsidR="00A73AEF" w:rsidRDefault="00000000">
            <w:pPr>
              <w:spacing w:before="20" w:after="20"/>
            </w:pPr>
            <w:r>
              <w:rPr>
                <w:sz w:val="19"/>
              </w:rPr>
              <w:t>1</w:t>
            </w:r>
          </w:p>
        </w:tc>
        <w:tc>
          <w:tcPr>
            <w:tcW w:w="3024" w:type="dxa"/>
          </w:tcPr>
          <w:p w14:paraId="55D3235A" w14:textId="77777777" w:rsidR="00A73AEF" w:rsidRDefault="00A73AEF"/>
        </w:tc>
        <w:tc>
          <w:tcPr>
            <w:tcW w:w="3384" w:type="dxa"/>
          </w:tcPr>
          <w:p w14:paraId="20001ED8" w14:textId="77777777" w:rsidR="00A73AEF" w:rsidRDefault="00A73AEF"/>
        </w:tc>
        <w:tc>
          <w:tcPr>
            <w:tcW w:w="2880" w:type="dxa"/>
          </w:tcPr>
          <w:p w14:paraId="3FAC1491" w14:textId="77777777" w:rsidR="00A73AEF" w:rsidRDefault="00A73AEF"/>
        </w:tc>
      </w:tr>
      <w:tr w:rsidR="00A73AEF" w14:paraId="6EC399E1" w14:textId="77777777">
        <w:trPr>
          <w:trHeight w:val="576"/>
        </w:trPr>
        <w:tc>
          <w:tcPr>
            <w:tcW w:w="504" w:type="dxa"/>
            <w:shd w:val="clear" w:color="auto" w:fill="F4F6F5"/>
          </w:tcPr>
          <w:p w14:paraId="0E87E61E" w14:textId="77777777" w:rsidR="00A73AEF" w:rsidRDefault="00000000">
            <w:pPr>
              <w:spacing w:before="20" w:after="20"/>
            </w:pPr>
            <w:r>
              <w:rPr>
                <w:sz w:val="19"/>
              </w:rPr>
              <w:t>2</w:t>
            </w:r>
          </w:p>
        </w:tc>
        <w:tc>
          <w:tcPr>
            <w:tcW w:w="3024" w:type="dxa"/>
            <w:shd w:val="clear" w:color="auto" w:fill="F4F6F5"/>
          </w:tcPr>
          <w:p w14:paraId="0E93D0C9" w14:textId="77777777" w:rsidR="00A73AEF" w:rsidRDefault="00A73AEF"/>
        </w:tc>
        <w:tc>
          <w:tcPr>
            <w:tcW w:w="3384" w:type="dxa"/>
            <w:shd w:val="clear" w:color="auto" w:fill="F4F6F5"/>
          </w:tcPr>
          <w:p w14:paraId="57BD7839" w14:textId="77777777" w:rsidR="00A73AEF" w:rsidRDefault="00A73AEF"/>
        </w:tc>
        <w:tc>
          <w:tcPr>
            <w:tcW w:w="2880" w:type="dxa"/>
            <w:shd w:val="clear" w:color="auto" w:fill="F4F6F5"/>
          </w:tcPr>
          <w:p w14:paraId="1ABA0E4F" w14:textId="77777777" w:rsidR="00A73AEF" w:rsidRDefault="00A73AEF"/>
        </w:tc>
      </w:tr>
      <w:tr w:rsidR="00A73AEF" w14:paraId="22BEB6AC" w14:textId="77777777">
        <w:trPr>
          <w:trHeight w:val="576"/>
        </w:trPr>
        <w:tc>
          <w:tcPr>
            <w:tcW w:w="504" w:type="dxa"/>
          </w:tcPr>
          <w:p w14:paraId="60F33AE2" w14:textId="77777777" w:rsidR="00A73AEF" w:rsidRDefault="00000000">
            <w:pPr>
              <w:spacing w:before="20" w:after="20"/>
            </w:pPr>
            <w:r>
              <w:rPr>
                <w:sz w:val="19"/>
              </w:rPr>
              <w:t>3</w:t>
            </w:r>
          </w:p>
        </w:tc>
        <w:tc>
          <w:tcPr>
            <w:tcW w:w="3024" w:type="dxa"/>
          </w:tcPr>
          <w:p w14:paraId="6E26CA8A" w14:textId="77777777" w:rsidR="00A73AEF" w:rsidRDefault="00A73AEF"/>
        </w:tc>
        <w:tc>
          <w:tcPr>
            <w:tcW w:w="3384" w:type="dxa"/>
          </w:tcPr>
          <w:p w14:paraId="6134F330" w14:textId="77777777" w:rsidR="00A73AEF" w:rsidRDefault="00A73AEF"/>
        </w:tc>
        <w:tc>
          <w:tcPr>
            <w:tcW w:w="2880" w:type="dxa"/>
          </w:tcPr>
          <w:p w14:paraId="4762575F" w14:textId="77777777" w:rsidR="00A73AEF" w:rsidRDefault="00A73AEF"/>
        </w:tc>
      </w:tr>
      <w:tr w:rsidR="00A73AEF" w14:paraId="0BACCBB0" w14:textId="77777777">
        <w:trPr>
          <w:trHeight w:val="576"/>
        </w:trPr>
        <w:tc>
          <w:tcPr>
            <w:tcW w:w="504" w:type="dxa"/>
            <w:shd w:val="clear" w:color="auto" w:fill="F4F6F5"/>
          </w:tcPr>
          <w:p w14:paraId="0972B230" w14:textId="77777777" w:rsidR="00A73AEF" w:rsidRDefault="00000000">
            <w:pPr>
              <w:spacing w:before="20" w:after="20"/>
            </w:pPr>
            <w:r>
              <w:rPr>
                <w:sz w:val="19"/>
              </w:rPr>
              <w:t>4</w:t>
            </w:r>
          </w:p>
        </w:tc>
        <w:tc>
          <w:tcPr>
            <w:tcW w:w="3024" w:type="dxa"/>
            <w:shd w:val="clear" w:color="auto" w:fill="F4F6F5"/>
          </w:tcPr>
          <w:p w14:paraId="102A9CC7" w14:textId="77777777" w:rsidR="00A73AEF" w:rsidRDefault="00A73AEF"/>
        </w:tc>
        <w:tc>
          <w:tcPr>
            <w:tcW w:w="3384" w:type="dxa"/>
            <w:shd w:val="clear" w:color="auto" w:fill="F4F6F5"/>
          </w:tcPr>
          <w:p w14:paraId="4DCD40C1" w14:textId="77777777" w:rsidR="00A73AEF" w:rsidRDefault="00A73AEF"/>
        </w:tc>
        <w:tc>
          <w:tcPr>
            <w:tcW w:w="2880" w:type="dxa"/>
            <w:shd w:val="clear" w:color="auto" w:fill="F4F6F5"/>
          </w:tcPr>
          <w:p w14:paraId="563A0A5F" w14:textId="77777777" w:rsidR="00A73AEF" w:rsidRDefault="00A73AEF"/>
        </w:tc>
      </w:tr>
    </w:tbl>
    <w:p w14:paraId="7F0EC4FF" w14:textId="77777777" w:rsidR="00A73AEF" w:rsidRDefault="00A73AEF">
      <w:pPr>
        <w:spacing w:after="40"/>
      </w:pPr>
    </w:p>
    <w:p w14:paraId="74A87553" w14:textId="77777777" w:rsidR="00A73AEF" w:rsidRDefault="00000000">
      <w:pPr>
        <w:spacing w:before="200" w:after="60"/>
      </w:pPr>
      <w:r>
        <w:rPr>
          <w:b/>
          <w:color w:val="0E2841"/>
          <w:sz w:val="24"/>
        </w:rPr>
        <w:t>Step 2 — The one the parties will dispute</w:t>
      </w:r>
    </w:p>
    <w:tbl>
      <w:tblPr>
        <w:tblStyle w:val="TableGrid"/>
        <w:tblW w:w="0" w:type="auto"/>
        <w:tblLook w:val="04A0" w:firstRow="1" w:lastRow="0" w:firstColumn="1" w:lastColumn="0" w:noHBand="0" w:noVBand="1"/>
      </w:tblPr>
      <w:tblGrid>
        <w:gridCol w:w="3168"/>
        <w:gridCol w:w="6624"/>
      </w:tblGrid>
      <w:tr w:rsidR="00A73AEF" w14:paraId="10297007" w14:textId="77777777">
        <w:tc>
          <w:tcPr>
            <w:tcW w:w="3168" w:type="dxa"/>
            <w:shd w:val="clear" w:color="auto" w:fill="0D6652"/>
          </w:tcPr>
          <w:p w14:paraId="7DA9F9BE" w14:textId="77777777" w:rsidR="00A73AEF" w:rsidRDefault="00000000">
            <w:pPr>
              <w:spacing w:before="20" w:after="40"/>
            </w:pPr>
            <w:r>
              <w:rPr>
                <w:b/>
                <w:color w:val="FFFFFF"/>
                <w:sz w:val="19"/>
              </w:rPr>
              <w:t>The source</w:t>
            </w:r>
          </w:p>
        </w:tc>
        <w:tc>
          <w:tcPr>
            <w:tcW w:w="6624" w:type="dxa"/>
            <w:shd w:val="clear" w:color="auto" w:fill="0D6652"/>
          </w:tcPr>
          <w:p w14:paraId="7CDEF351" w14:textId="77777777" w:rsidR="00A73AEF" w:rsidRDefault="00000000">
            <w:pPr>
              <w:spacing w:before="20" w:after="40"/>
            </w:pPr>
            <w:r>
              <w:rPr>
                <w:b/>
                <w:color w:val="FFFFFF"/>
                <w:sz w:val="19"/>
              </w:rPr>
              <w:t>Who disputes it, and on what ground</w:t>
            </w:r>
          </w:p>
        </w:tc>
      </w:tr>
      <w:tr w:rsidR="00A73AEF" w14:paraId="4CBA113C" w14:textId="77777777">
        <w:trPr>
          <w:trHeight w:val="720"/>
        </w:trPr>
        <w:tc>
          <w:tcPr>
            <w:tcW w:w="3168" w:type="dxa"/>
          </w:tcPr>
          <w:p w14:paraId="20BB6AED" w14:textId="77777777" w:rsidR="00A73AEF" w:rsidRDefault="00A73AEF"/>
        </w:tc>
        <w:tc>
          <w:tcPr>
            <w:tcW w:w="6624" w:type="dxa"/>
          </w:tcPr>
          <w:p w14:paraId="5101CA48" w14:textId="77777777" w:rsidR="00A73AEF" w:rsidRDefault="00A73AEF"/>
        </w:tc>
      </w:tr>
    </w:tbl>
    <w:p w14:paraId="193405EA" w14:textId="77777777" w:rsidR="00A73AEF" w:rsidRDefault="00A73AEF">
      <w:pPr>
        <w:spacing w:after="40"/>
      </w:pPr>
    </w:p>
    <w:p w14:paraId="7BD390AF" w14:textId="77777777" w:rsidR="00A73AEF" w:rsidRDefault="00000000">
      <w:pPr>
        <w:spacing w:before="200" w:after="60"/>
      </w:pPr>
      <w:r>
        <w:rPr>
          <w:b/>
          <w:color w:val="0E2841"/>
          <w:sz w:val="24"/>
        </w:rPr>
        <w:t>Step 3 — The sentence that records the dispute</w:t>
      </w:r>
    </w:p>
    <w:p w14:paraId="7E628FFE" w14:textId="77777777" w:rsidR="00A73AEF" w:rsidRDefault="00000000">
      <w:pPr>
        <w:spacing w:after="80"/>
      </w:pPr>
      <w:r>
        <w:rPr>
          <w:i/>
          <w:color w:val="595959"/>
          <w:sz w:val="20"/>
        </w:rPr>
        <w:t>A worked shape: “Recorded incidents from establishment returns and the figures submitted by the worker members differ by X for the same period. The difference arises from the treatment of unregistered units. Both are reproduced at annex A.”</w:t>
      </w:r>
    </w:p>
    <w:p w14:paraId="263AFE62" w14:textId="77777777" w:rsidR="00A73AEF" w:rsidRDefault="00000000">
      <w:pPr>
        <w:spacing w:after="100"/>
      </w:pPr>
      <w:r>
        <w:rPr>
          <w:b/>
          <w:color w:val="E72F1F"/>
        </w:rPr>
        <w:t>The test: could a member disagree with the figure and still accept your sentence as a fair statement of the disagreement?</w:t>
      </w:r>
    </w:p>
    <w:tbl>
      <w:tblPr>
        <w:tblW w:w="0" w:type="auto"/>
        <w:tblBorders>
          <w:bottom w:val="single" w:sz="4" w:space="0" w:color="BFBFBF"/>
          <w:insideH w:val="single" w:sz="4" w:space="0" w:color="BFBFBF"/>
        </w:tblBorders>
        <w:tblLook w:val="04A0" w:firstRow="1" w:lastRow="0" w:firstColumn="1" w:lastColumn="0" w:noHBand="0" w:noVBand="1"/>
      </w:tblPr>
      <w:tblGrid>
        <w:gridCol w:w="9792"/>
      </w:tblGrid>
      <w:tr w:rsidR="00A73AEF" w14:paraId="1B1018F9" w14:textId="77777777">
        <w:trPr>
          <w:trHeight w:val="432"/>
        </w:trPr>
        <w:tc>
          <w:tcPr>
            <w:tcW w:w="9792" w:type="dxa"/>
          </w:tcPr>
          <w:p w14:paraId="403DB9DD" w14:textId="77777777" w:rsidR="00A73AEF" w:rsidRDefault="00A73AEF">
            <w:pPr>
              <w:spacing w:after="0"/>
            </w:pPr>
          </w:p>
        </w:tc>
      </w:tr>
      <w:tr w:rsidR="00A73AEF" w14:paraId="71BB5668" w14:textId="77777777">
        <w:trPr>
          <w:trHeight w:val="432"/>
        </w:trPr>
        <w:tc>
          <w:tcPr>
            <w:tcW w:w="9792" w:type="dxa"/>
          </w:tcPr>
          <w:p w14:paraId="539AB916" w14:textId="77777777" w:rsidR="00A73AEF" w:rsidRDefault="00A73AEF">
            <w:pPr>
              <w:spacing w:after="0"/>
            </w:pPr>
          </w:p>
        </w:tc>
      </w:tr>
      <w:tr w:rsidR="00A73AEF" w14:paraId="77AEB7A3" w14:textId="77777777">
        <w:trPr>
          <w:trHeight w:val="432"/>
        </w:trPr>
        <w:tc>
          <w:tcPr>
            <w:tcW w:w="9792" w:type="dxa"/>
          </w:tcPr>
          <w:p w14:paraId="3AEED6AE" w14:textId="77777777" w:rsidR="00A73AEF" w:rsidRDefault="00A73AEF">
            <w:pPr>
              <w:spacing w:after="0"/>
            </w:pPr>
          </w:p>
        </w:tc>
      </w:tr>
    </w:tbl>
    <w:p w14:paraId="04C7CDAC" w14:textId="77777777" w:rsidR="00A73AEF" w:rsidRDefault="00A73AEF">
      <w:pPr>
        <w:spacing w:after="40"/>
      </w:pPr>
    </w:p>
    <w:p w14:paraId="0029F0DE" w14:textId="77777777" w:rsidR="00A73AEF" w:rsidRDefault="00000000">
      <w:pPr>
        <w:pageBreakBefore/>
        <w:spacing w:after="60"/>
      </w:pPr>
      <w:r>
        <w:rPr>
          <w:b/>
          <w:color w:val="0D6652"/>
          <w:sz w:val="30"/>
        </w:rPr>
        <w:lastRenderedPageBreak/>
        <w:t>Round 3 · Gate three — Make it survive</w:t>
      </w:r>
    </w:p>
    <w:tbl>
      <w:tblPr>
        <w:tblW w:w="0" w:type="auto"/>
        <w:tblLook w:val="04A0" w:firstRow="1" w:lastRow="0" w:firstColumn="1" w:lastColumn="0" w:noHBand="0" w:noVBand="1"/>
      </w:tblPr>
      <w:tblGrid>
        <w:gridCol w:w="10080"/>
      </w:tblGrid>
      <w:tr w:rsidR="00A73AEF" w14:paraId="72FA5915" w14:textId="77777777">
        <w:tc>
          <w:tcPr>
            <w:tcW w:w="10080" w:type="dxa"/>
            <w:shd w:val="clear" w:color="auto" w:fill="0D6652"/>
          </w:tcPr>
          <w:p w14:paraId="640A1CA9" w14:textId="77777777" w:rsidR="00A73AEF" w:rsidRDefault="00000000">
            <w:pPr>
              <w:spacing w:before="60" w:after="60"/>
            </w:pPr>
            <w:r>
              <w:rPr>
                <w:b/>
                <w:color w:val="FFFFFF"/>
                <w:sz w:val="20"/>
              </w:rPr>
              <w:t>TASK</w:t>
            </w:r>
            <w:r>
              <w:rPr>
                <w:color w:val="D6E4E0"/>
                <w:sz w:val="20"/>
              </w:rPr>
              <w:t xml:space="preserve">    Rewrite the whole paragraph so that it passes all three gates. Keep the substance — the body still wants the same thing.</w:t>
            </w:r>
          </w:p>
        </w:tc>
      </w:tr>
    </w:tbl>
    <w:p w14:paraId="0938731E" w14:textId="77777777" w:rsidR="00A73AEF" w:rsidRDefault="00A73AEF">
      <w:pPr>
        <w:spacing w:after="40"/>
      </w:pPr>
    </w:p>
    <w:p w14:paraId="55A4FC5F" w14:textId="77777777" w:rsidR="00A73AEF" w:rsidRDefault="00000000">
      <w:pPr>
        <w:spacing w:before="160" w:after="60"/>
      </w:pPr>
      <w:r>
        <w:rPr>
          <w:b/>
          <w:color w:val="0E2841"/>
          <w:sz w:val="24"/>
        </w:rPr>
        <w:t>Three fields are missing from every action in the original</w:t>
      </w:r>
    </w:p>
    <w:tbl>
      <w:tblPr>
        <w:tblStyle w:val="TableGrid"/>
        <w:tblW w:w="0" w:type="auto"/>
        <w:tblLook w:val="04A0" w:firstRow="1" w:lastRow="0" w:firstColumn="1" w:lastColumn="0" w:noHBand="0" w:noVBand="1"/>
      </w:tblPr>
      <w:tblGrid>
        <w:gridCol w:w="3312"/>
        <w:gridCol w:w="3168"/>
        <w:gridCol w:w="3312"/>
      </w:tblGrid>
      <w:tr w:rsidR="00A73AEF" w14:paraId="517B2CD5" w14:textId="77777777">
        <w:tc>
          <w:tcPr>
            <w:tcW w:w="3312" w:type="dxa"/>
            <w:shd w:val="clear" w:color="auto" w:fill="0D6652"/>
          </w:tcPr>
          <w:p w14:paraId="3572A460" w14:textId="77777777" w:rsidR="00A73AEF" w:rsidRDefault="00000000">
            <w:pPr>
              <w:spacing w:before="20" w:after="40"/>
            </w:pPr>
            <w:r>
              <w:rPr>
                <w:b/>
                <w:color w:val="FFFFFF"/>
                <w:sz w:val="19"/>
              </w:rPr>
              <w:t>A post, not an institution</w:t>
            </w:r>
          </w:p>
        </w:tc>
        <w:tc>
          <w:tcPr>
            <w:tcW w:w="3168" w:type="dxa"/>
            <w:shd w:val="clear" w:color="auto" w:fill="0D6652"/>
          </w:tcPr>
          <w:p w14:paraId="0A18C4E1" w14:textId="77777777" w:rsidR="00A73AEF" w:rsidRDefault="00000000">
            <w:pPr>
              <w:spacing w:before="20" w:after="40"/>
            </w:pPr>
            <w:r>
              <w:rPr>
                <w:b/>
                <w:color w:val="FFFFFF"/>
                <w:sz w:val="19"/>
              </w:rPr>
              <w:t>A date, not a duration</w:t>
            </w:r>
          </w:p>
        </w:tc>
        <w:tc>
          <w:tcPr>
            <w:tcW w:w="3312" w:type="dxa"/>
            <w:shd w:val="clear" w:color="auto" w:fill="0D6652"/>
          </w:tcPr>
          <w:p w14:paraId="7345A295" w14:textId="77777777" w:rsidR="00A73AEF" w:rsidRDefault="00000000">
            <w:pPr>
              <w:spacing w:before="20" w:after="40"/>
            </w:pPr>
            <w:r>
              <w:rPr>
                <w:b/>
                <w:color w:val="FFFFFF"/>
                <w:sz w:val="19"/>
              </w:rPr>
              <w:t>A test, not a hope</w:t>
            </w:r>
          </w:p>
        </w:tc>
      </w:tr>
      <w:tr w:rsidR="00A73AEF" w14:paraId="216A91A9" w14:textId="77777777">
        <w:trPr>
          <w:trHeight w:val="1368"/>
        </w:trPr>
        <w:tc>
          <w:tcPr>
            <w:tcW w:w="3312" w:type="dxa"/>
          </w:tcPr>
          <w:p w14:paraId="7D73C735" w14:textId="77777777" w:rsidR="00A73AEF" w:rsidRDefault="00000000">
            <w:pPr>
              <w:spacing w:before="20" w:after="20"/>
            </w:pPr>
            <w:r>
              <w:rPr>
                <w:sz w:val="19"/>
              </w:rPr>
              <w:t>If you cannot telephone the owner, it is not an owner. A post survives the person moving on; a name does not.</w:t>
            </w:r>
          </w:p>
        </w:tc>
        <w:tc>
          <w:tcPr>
            <w:tcW w:w="3168" w:type="dxa"/>
          </w:tcPr>
          <w:p w14:paraId="5DAE48AB" w14:textId="77777777" w:rsidR="00A73AEF" w:rsidRDefault="00000000">
            <w:pPr>
              <w:spacing w:before="20" w:after="20"/>
            </w:pPr>
            <w:r>
              <w:rPr>
                <w:sz w:val="19"/>
              </w:rPr>
              <w:t>“Within six months” starts from nothing. “By 30 November” starts from today.</w:t>
            </w:r>
          </w:p>
        </w:tc>
        <w:tc>
          <w:tcPr>
            <w:tcW w:w="3312" w:type="dxa"/>
          </w:tcPr>
          <w:p w14:paraId="0226B140" w14:textId="77777777" w:rsidR="00A73AEF" w:rsidRDefault="00000000">
            <w:pPr>
              <w:spacing w:before="20" w:after="20"/>
            </w:pPr>
            <w:r>
              <w:rPr>
                <w:sz w:val="19"/>
              </w:rPr>
              <w:t>What document will exist, and who looks at it to say this is finished?</w:t>
            </w:r>
          </w:p>
        </w:tc>
      </w:tr>
    </w:tbl>
    <w:p w14:paraId="1062B6B9" w14:textId="77777777" w:rsidR="00A73AEF" w:rsidRDefault="00A73AEF">
      <w:pPr>
        <w:spacing w:after="40"/>
      </w:pPr>
    </w:p>
    <w:p w14:paraId="360895C6" w14:textId="77777777" w:rsidR="00A73AEF" w:rsidRDefault="00000000">
      <w:pPr>
        <w:spacing w:before="200" w:after="60"/>
      </w:pPr>
      <w:r>
        <w:rPr>
          <w:b/>
          <w:color w:val="0E2841"/>
          <w:sz w:val="24"/>
        </w:rPr>
        <w:t>Step 1 — Every action in your rewrite</w:t>
      </w:r>
    </w:p>
    <w:tbl>
      <w:tblPr>
        <w:tblStyle w:val="TableGrid"/>
        <w:tblW w:w="0" w:type="auto"/>
        <w:tblLook w:val="04A0" w:firstRow="1" w:lastRow="0" w:firstColumn="1" w:lastColumn="0" w:noHBand="0" w:noVBand="1"/>
      </w:tblPr>
      <w:tblGrid>
        <w:gridCol w:w="3312"/>
        <w:gridCol w:w="2304"/>
        <w:gridCol w:w="1728"/>
        <w:gridCol w:w="2448"/>
      </w:tblGrid>
      <w:tr w:rsidR="00A73AEF" w14:paraId="39A0039E" w14:textId="77777777">
        <w:tc>
          <w:tcPr>
            <w:tcW w:w="3312" w:type="dxa"/>
            <w:shd w:val="clear" w:color="auto" w:fill="0D6652"/>
          </w:tcPr>
          <w:p w14:paraId="02669A1C" w14:textId="77777777" w:rsidR="00A73AEF" w:rsidRDefault="00000000">
            <w:pPr>
              <w:spacing w:before="20" w:after="40"/>
            </w:pPr>
            <w:r>
              <w:rPr>
                <w:b/>
                <w:color w:val="FFFFFF"/>
                <w:sz w:val="19"/>
              </w:rPr>
              <w:t>The action</w:t>
            </w:r>
          </w:p>
        </w:tc>
        <w:tc>
          <w:tcPr>
            <w:tcW w:w="2304" w:type="dxa"/>
            <w:shd w:val="clear" w:color="auto" w:fill="0D6652"/>
          </w:tcPr>
          <w:p w14:paraId="3532DB18" w14:textId="77777777" w:rsidR="00A73AEF" w:rsidRDefault="00000000">
            <w:pPr>
              <w:spacing w:before="20" w:after="40"/>
            </w:pPr>
            <w:r>
              <w:rPr>
                <w:b/>
                <w:color w:val="FFFFFF"/>
                <w:sz w:val="19"/>
              </w:rPr>
              <w:t>Owner (a post)</w:t>
            </w:r>
          </w:p>
        </w:tc>
        <w:tc>
          <w:tcPr>
            <w:tcW w:w="1728" w:type="dxa"/>
            <w:shd w:val="clear" w:color="auto" w:fill="0D6652"/>
          </w:tcPr>
          <w:p w14:paraId="7B0C0707" w14:textId="77777777" w:rsidR="00A73AEF" w:rsidRDefault="00000000">
            <w:pPr>
              <w:spacing w:before="20" w:after="40"/>
            </w:pPr>
            <w:r>
              <w:rPr>
                <w:b/>
                <w:color w:val="FFFFFF"/>
                <w:sz w:val="19"/>
              </w:rPr>
              <w:t>By when (a date)</w:t>
            </w:r>
          </w:p>
        </w:tc>
        <w:tc>
          <w:tcPr>
            <w:tcW w:w="2448" w:type="dxa"/>
            <w:shd w:val="clear" w:color="auto" w:fill="0D6652"/>
          </w:tcPr>
          <w:p w14:paraId="17768A30" w14:textId="77777777" w:rsidR="00A73AEF" w:rsidRDefault="00000000">
            <w:pPr>
              <w:spacing w:before="20" w:after="40"/>
            </w:pPr>
            <w:r>
              <w:rPr>
                <w:b/>
                <w:color w:val="FFFFFF"/>
                <w:sz w:val="19"/>
              </w:rPr>
              <w:t>How it will be verified</w:t>
            </w:r>
          </w:p>
        </w:tc>
      </w:tr>
      <w:tr w:rsidR="00A73AEF" w14:paraId="670EC168" w14:textId="77777777">
        <w:trPr>
          <w:trHeight w:val="648"/>
        </w:trPr>
        <w:tc>
          <w:tcPr>
            <w:tcW w:w="3312" w:type="dxa"/>
          </w:tcPr>
          <w:p w14:paraId="4AB7965F" w14:textId="77777777" w:rsidR="00A73AEF" w:rsidRDefault="00A73AEF"/>
        </w:tc>
        <w:tc>
          <w:tcPr>
            <w:tcW w:w="2304" w:type="dxa"/>
          </w:tcPr>
          <w:p w14:paraId="0010896A" w14:textId="77777777" w:rsidR="00A73AEF" w:rsidRDefault="00A73AEF"/>
        </w:tc>
        <w:tc>
          <w:tcPr>
            <w:tcW w:w="1728" w:type="dxa"/>
          </w:tcPr>
          <w:p w14:paraId="15746540" w14:textId="77777777" w:rsidR="00A73AEF" w:rsidRDefault="00A73AEF"/>
        </w:tc>
        <w:tc>
          <w:tcPr>
            <w:tcW w:w="2448" w:type="dxa"/>
          </w:tcPr>
          <w:p w14:paraId="2D5D1581" w14:textId="77777777" w:rsidR="00A73AEF" w:rsidRDefault="00A73AEF"/>
        </w:tc>
      </w:tr>
      <w:tr w:rsidR="00A73AEF" w14:paraId="1317ECCA" w14:textId="77777777">
        <w:trPr>
          <w:trHeight w:val="648"/>
        </w:trPr>
        <w:tc>
          <w:tcPr>
            <w:tcW w:w="3312" w:type="dxa"/>
            <w:shd w:val="clear" w:color="auto" w:fill="F4F6F5"/>
          </w:tcPr>
          <w:p w14:paraId="3C1EAEB7" w14:textId="77777777" w:rsidR="00A73AEF" w:rsidRDefault="00A73AEF"/>
        </w:tc>
        <w:tc>
          <w:tcPr>
            <w:tcW w:w="2304" w:type="dxa"/>
            <w:shd w:val="clear" w:color="auto" w:fill="F4F6F5"/>
          </w:tcPr>
          <w:p w14:paraId="00216698" w14:textId="77777777" w:rsidR="00A73AEF" w:rsidRDefault="00A73AEF"/>
        </w:tc>
        <w:tc>
          <w:tcPr>
            <w:tcW w:w="1728" w:type="dxa"/>
            <w:shd w:val="clear" w:color="auto" w:fill="F4F6F5"/>
          </w:tcPr>
          <w:p w14:paraId="1C698CF8" w14:textId="77777777" w:rsidR="00A73AEF" w:rsidRDefault="00A73AEF"/>
        </w:tc>
        <w:tc>
          <w:tcPr>
            <w:tcW w:w="2448" w:type="dxa"/>
            <w:shd w:val="clear" w:color="auto" w:fill="F4F6F5"/>
          </w:tcPr>
          <w:p w14:paraId="1851BEF8" w14:textId="77777777" w:rsidR="00A73AEF" w:rsidRDefault="00A73AEF"/>
        </w:tc>
      </w:tr>
      <w:tr w:rsidR="00A73AEF" w14:paraId="1DF700AA" w14:textId="77777777">
        <w:trPr>
          <w:trHeight w:val="648"/>
        </w:trPr>
        <w:tc>
          <w:tcPr>
            <w:tcW w:w="3312" w:type="dxa"/>
          </w:tcPr>
          <w:p w14:paraId="17E3B9CE" w14:textId="77777777" w:rsidR="00A73AEF" w:rsidRDefault="00A73AEF"/>
        </w:tc>
        <w:tc>
          <w:tcPr>
            <w:tcW w:w="2304" w:type="dxa"/>
          </w:tcPr>
          <w:p w14:paraId="165BE510" w14:textId="77777777" w:rsidR="00A73AEF" w:rsidRDefault="00A73AEF"/>
        </w:tc>
        <w:tc>
          <w:tcPr>
            <w:tcW w:w="1728" w:type="dxa"/>
          </w:tcPr>
          <w:p w14:paraId="5E6F4664" w14:textId="77777777" w:rsidR="00A73AEF" w:rsidRDefault="00A73AEF"/>
        </w:tc>
        <w:tc>
          <w:tcPr>
            <w:tcW w:w="2448" w:type="dxa"/>
          </w:tcPr>
          <w:p w14:paraId="6DEC5147" w14:textId="77777777" w:rsidR="00A73AEF" w:rsidRDefault="00A73AEF"/>
        </w:tc>
      </w:tr>
      <w:tr w:rsidR="00A73AEF" w14:paraId="376FD2D8" w14:textId="77777777">
        <w:trPr>
          <w:trHeight w:val="648"/>
        </w:trPr>
        <w:tc>
          <w:tcPr>
            <w:tcW w:w="3312" w:type="dxa"/>
            <w:shd w:val="clear" w:color="auto" w:fill="F4F6F5"/>
          </w:tcPr>
          <w:p w14:paraId="27E13494" w14:textId="77777777" w:rsidR="00A73AEF" w:rsidRDefault="00A73AEF"/>
        </w:tc>
        <w:tc>
          <w:tcPr>
            <w:tcW w:w="2304" w:type="dxa"/>
            <w:shd w:val="clear" w:color="auto" w:fill="F4F6F5"/>
          </w:tcPr>
          <w:p w14:paraId="05AADBCC" w14:textId="77777777" w:rsidR="00A73AEF" w:rsidRDefault="00A73AEF"/>
        </w:tc>
        <w:tc>
          <w:tcPr>
            <w:tcW w:w="1728" w:type="dxa"/>
            <w:shd w:val="clear" w:color="auto" w:fill="F4F6F5"/>
          </w:tcPr>
          <w:p w14:paraId="06BEE646" w14:textId="77777777" w:rsidR="00A73AEF" w:rsidRDefault="00A73AEF"/>
        </w:tc>
        <w:tc>
          <w:tcPr>
            <w:tcW w:w="2448" w:type="dxa"/>
            <w:shd w:val="clear" w:color="auto" w:fill="F4F6F5"/>
          </w:tcPr>
          <w:p w14:paraId="6494B1A4" w14:textId="77777777" w:rsidR="00A73AEF" w:rsidRDefault="00A73AEF"/>
        </w:tc>
      </w:tr>
    </w:tbl>
    <w:p w14:paraId="57F88262" w14:textId="77777777" w:rsidR="00A73AEF" w:rsidRDefault="00A73AEF">
      <w:pPr>
        <w:spacing w:after="40"/>
      </w:pPr>
    </w:p>
    <w:p w14:paraId="73AEC23D" w14:textId="77777777" w:rsidR="00A73AEF" w:rsidRDefault="00000000">
      <w:pPr>
        <w:spacing w:before="200" w:after="60"/>
      </w:pPr>
      <w:r>
        <w:rPr>
          <w:b/>
          <w:color w:val="0E2841"/>
          <w:sz w:val="24"/>
        </w:rPr>
        <w:t>Step 2 — The rewritten paragraph</w:t>
      </w:r>
    </w:p>
    <w:p w14:paraId="125E99CC" w14:textId="77777777" w:rsidR="00A73AEF" w:rsidRDefault="00000000">
      <w:pPr>
        <w:spacing w:after="80"/>
      </w:pPr>
      <w:r>
        <w:rPr>
          <w:i/>
          <w:color w:val="595959"/>
          <w:sz w:val="20"/>
        </w:rPr>
        <w:t>Three or four sentences is the right answer. Write it on the flipchart as well, large enough to read from the front.</w:t>
      </w:r>
    </w:p>
    <w:tbl>
      <w:tblPr>
        <w:tblW w:w="0" w:type="auto"/>
        <w:tblBorders>
          <w:bottom w:val="single" w:sz="4" w:space="0" w:color="BFBFBF"/>
          <w:insideH w:val="single" w:sz="4" w:space="0" w:color="BFBFBF"/>
        </w:tblBorders>
        <w:tblLook w:val="04A0" w:firstRow="1" w:lastRow="0" w:firstColumn="1" w:lastColumn="0" w:noHBand="0" w:noVBand="1"/>
      </w:tblPr>
      <w:tblGrid>
        <w:gridCol w:w="9792"/>
      </w:tblGrid>
      <w:tr w:rsidR="00A73AEF" w14:paraId="4EAB114E" w14:textId="77777777">
        <w:trPr>
          <w:trHeight w:val="432"/>
        </w:trPr>
        <w:tc>
          <w:tcPr>
            <w:tcW w:w="9792" w:type="dxa"/>
          </w:tcPr>
          <w:p w14:paraId="523ECF7F" w14:textId="77777777" w:rsidR="00A73AEF" w:rsidRDefault="00A73AEF">
            <w:pPr>
              <w:spacing w:after="0"/>
            </w:pPr>
          </w:p>
        </w:tc>
      </w:tr>
      <w:tr w:rsidR="00A73AEF" w14:paraId="55B05285" w14:textId="77777777">
        <w:trPr>
          <w:trHeight w:val="432"/>
        </w:trPr>
        <w:tc>
          <w:tcPr>
            <w:tcW w:w="9792" w:type="dxa"/>
          </w:tcPr>
          <w:p w14:paraId="13C3B2D5" w14:textId="77777777" w:rsidR="00A73AEF" w:rsidRDefault="00A73AEF">
            <w:pPr>
              <w:spacing w:after="0"/>
            </w:pPr>
          </w:p>
        </w:tc>
      </w:tr>
      <w:tr w:rsidR="00A73AEF" w14:paraId="76E7CBB7" w14:textId="77777777">
        <w:trPr>
          <w:trHeight w:val="432"/>
        </w:trPr>
        <w:tc>
          <w:tcPr>
            <w:tcW w:w="9792" w:type="dxa"/>
          </w:tcPr>
          <w:p w14:paraId="685A9A8C" w14:textId="77777777" w:rsidR="00A73AEF" w:rsidRDefault="00A73AEF">
            <w:pPr>
              <w:spacing w:after="0"/>
            </w:pPr>
          </w:p>
        </w:tc>
      </w:tr>
      <w:tr w:rsidR="00A73AEF" w14:paraId="6A7C6D2A" w14:textId="77777777">
        <w:trPr>
          <w:trHeight w:val="432"/>
        </w:trPr>
        <w:tc>
          <w:tcPr>
            <w:tcW w:w="9792" w:type="dxa"/>
          </w:tcPr>
          <w:p w14:paraId="357F2A09" w14:textId="77777777" w:rsidR="00A73AEF" w:rsidRDefault="00A73AEF">
            <w:pPr>
              <w:spacing w:after="0"/>
            </w:pPr>
          </w:p>
        </w:tc>
      </w:tr>
      <w:tr w:rsidR="00A73AEF" w14:paraId="16BE5373" w14:textId="77777777">
        <w:trPr>
          <w:trHeight w:val="432"/>
        </w:trPr>
        <w:tc>
          <w:tcPr>
            <w:tcW w:w="9792" w:type="dxa"/>
          </w:tcPr>
          <w:p w14:paraId="4274D28D" w14:textId="77777777" w:rsidR="00A73AEF" w:rsidRDefault="00A73AEF">
            <w:pPr>
              <w:spacing w:after="0"/>
            </w:pPr>
          </w:p>
        </w:tc>
      </w:tr>
      <w:tr w:rsidR="00A73AEF" w14:paraId="35F50172" w14:textId="77777777">
        <w:trPr>
          <w:trHeight w:val="432"/>
        </w:trPr>
        <w:tc>
          <w:tcPr>
            <w:tcW w:w="9792" w:type="dxa"/>
          </w:tcPr>
          <w:p w14:paraId="1E942FA8" w14:textId="77777777" w:rsidR="00A73AEF" w:rsidRDefault="00A73AEF">
            <w:pPr>
              <w:spacing w:after="0"/>
            </w:pPr>
          </w:p>
        </w:tc>
      </w:tr>
    </w:tbl>
    <w:p w14:paraId="13453BD9" w14:textId="77777777" w:rsidR="00A73AEF" w:rsidRDefault="00A73AEF">
      <w:pPr>
        <w:spacing w:after="40"/>
      </w:pPr>
    </w:p>
    <w:p w14:paraId="6215A79B" w14:textId="77777777" w:rsidR="00A73AEF" w:rsidRDefault="00000000">
      <w:pPr>
        <w:pageBreakBefore/>
        <w:spacing w:after="60"/>
      </w:pPr>
      <w:r>
        <w:rPr>
          <w:b/>
          <w:color w:val="0D6652"/>
          <w:sz w:val="30"/>
        </w:rPr>
        <w:lastRenderedPageBreak/>
        <w:t>Score your table</w:t>
      </w:r>
    </w:p>
    <w:tbl>
      <w:tblPr>
        <w:tblStyle w:val="TableGrid"/>
        <w:tblW w:w="0" w:type="auto"/>
        <w:tblLook w:val="04A0" w:firstRow="1" w:lastRow="0" w:firstColumn="1" w:lastColumn="0" w:noHBand="0" w:noVBand="1"/>
      </w:tblPr>
      <w:tblGrid>
        <w:gridCol w:w="1728"/>
        <w:gridCol w:w="6624"/>
        <w:gridCol w:w="1440"/>
      </w:tblGrid>
      <w:tr w:rsidR="00A73AEF" w14:paraId="7E38EC9D" w14:textId="77777777">
        <w:tc>
          <w:tcPr>
            <w:tcW w:w="1728" w:type="dxa"/>
            <w:shd w:val="clear" w:color="auto" w:fill="0D6652"/>
          </w:tcPr>
          <w:p w14:paraId="73CBD2DA" w14:textId="77777777" w:rsidR="00A73AEF" w:rsidRDefault="00000000">
            <w:pPr>
              <w:spacing w:before="20" w:after="40"/>
            </w:pPr>
            <w:r>
              <w:rPr>
                <w:b/>
                <w:color w:val="FFFFFF"/>
                <w:sz w:val="19"/>
              </w:rPr>
              <w:t>Round</w:t>
            </w:r>
          </w:p>
        </w:tc>
        <w:tc>
          <w:tcPr>
            <w:tcW w:w="6624" w:type="dxa"/>
            <w:shd w:val="clear" w:color="auto" w:fill="0D6652"/>
          </w:tcPr>
          <w:p w14:paraId="6D64E476" w14:textId="77777777" w:rsidR="00A73AEF" w:rsidRDefault="00000000">
            <w:pPr>
              <w:spacing w:before="20" w:after="40"/>
            </w:pPr>
            <w:r>
              <w:rPr>
                <w:b/>
                <w:color w:val="FFFFFF"/>
                <w:sz w:val="19"/>
              </w:rPr>
              <w:t>What earns the ten points</w:t>
            </w:r>
          </w:p>
        </w:tc>
        <w:tc>
          <w:tcPr>
            <w:tcW w:w="1440" w:type="dxa"/>
            <w:shd w:val="clear" w:color="auto" w:fill="0D6652"/>
          </w:tcPr>
          <w:p w14:paraId="529D7907" w14:textId="77777777" w:rsidR="00A73AEF" w:rsidRDefault="00000000">
            <w:pPr>
              <w:spacing w:before="20" w:after="40"/>
            </w:pPr>
            <w:r>
              <w:rPr>
                <w:b/>
                <w:color w:val="FFFFFF"/>
                <w:sz w:val="19"/>
              </w:rPr>
              <w:t>Your score</w:t>
            </w:r>
          </w:p>
        </w:tc>
      </w:tr>
      <w:tr w:rsidR="00A73AEF" w14:paraId="4EC55693" w14:textId="77777777">
        <w:trPr>
          <w:trHeight w:val="720"/>
        </w:trPr>
        <w:tc>
          <w:tcPr>
            <w:tcW w:w="1728" w:type="dxa"/>
          </w:tcPr>
          <w:p w14:paraId="68DA3287" w14:textId="77777777" w:rsidR="00A73AEF" w:rsidRDefault="00000000">
            <w:pPr>
              <w:spacing w:before="20" w:after="20"/>
            </w:pPr>
            <w:r>
              <w:rPr>
                <w:sz w:val="19"/>
              </w:rPr>
              <w:t>1 · Reach</w:t>
            </w:r>
          </w:p>
        </w:tc>
        <w:tc>
          <w:tcPr>
            <w:tcW w:w="6624" w:type="dxa"/>
          </w:tcPr>
          <w:p w14:paraId="15D149AD" w14:textId="77777777" w:rsidR="00A73AEF" w:rsidRDefault="00000000">
            <w:pPr>
              <w:spacing w:before="20" w:after="20"/>
            </w:pPr>
            <w:r>
              <w:rPr>
                <w:sz w:val="19"/>
              </w:rPr>
              <w:t>A drafted amendment that moves who the measure reaches — not a comment</w:t>
            </w:r>
          </w:p>
        </w:tc>
        <w:tc>
          <w:tcPr>
            <w:tcW w:w="1440" w:type="dxa"/>
          </w:tcPr>
          <w:p w14:paraId="19042327" w14:textId="77777777" w:rsidR="00A73AEF" w:rsidRDefault="00A73AEF"/>
        </w:tc>
      </w:tr>
      <w:tr w:rsidR="00A73AEF" w14:paraId="4F6FE28F" w14:textId="77777777">
        <w:trPr>
          <w:trHeight w:val="720"/>
        </w:trPr>
        <w:tc>
          <w:tcPr>
            <w:tcW w:w="1728" w:type="dxa"/>
            <w:shd w:val="clear" w:color="auto" w:fill="F4F6F5"/>
          </w:tcPr>
          <w:p w14:paraId="03972337" w14:textId="77777777" w:rsidR="00A73AEF" w:rsidRDefault="00000000">
            <w:pPr>
              <w:spacing w:before="20" w:after="20"/>
            </w:pPr>
            <w:r>
              <w:rPr>
                <w:sz w:val="19"/>
              </w:rPr>
              <w:t>2 · Evidence</w:t>
            </w:r>
          </w:p>
        </w:tc>
        <w:tc>
          <w:tcPr>
            <w:tcW w:w="6624" w:type="dxa"/>
            <w:shd w:val="clear" w:color="auto" w:fill="F4F6F5"/>
          </w:tcPr>
          <w:p w14:paraId="582EB857" w14:textId="77777777" w:rsidR="00A73AEF" w:rsidRDefault="00000000">
            <w:pPr>
              <w:spacing w:before="20" w:after="20"/>
            </w:pPr>
            <w:r>
              <w:rPr>
                <w:sz w:val="19"/>
              </w:rPr>
              <w:t>A dispute sentence both sides could live with</w:t>
            </w:r>
          </w:p>
        </w:tc>
        <w:tc>
          <w:tcPr>
            <w:tcW w:w="1440" w:type="dxa"/>
            <w:shd w:val="clear" w:color="auto" w:fill="F4F6F5"/>
          </w:tcPr>
          <w:p w14:paraId="1362C6C3" w14:textId="77777777" w:rsidR="00A73AEF" w:rsidRDefault="00A73AEF"/>
        </w:tc>
      </w:tr>
      <w:tr w:rsidR="00A73AEF" w14:paraId="5F38AC6A" w14:textId="77777777">
        <w:trPr>
          <w:trHeight w:val="720"/>
        </w:trPr>
        <w:tc>
          <w:tcPr>
            <w:tcW w:w="1728" w:type="dxa"/>
          </w:tcPr>
          <w:p w14:paraId="125358E0" w14:textId="77777777" w:rsidR="00A73AEF" w:rsidRDefault="00000000">
            <w:pPr>
              <w:spacing w:before="20" w:after="20"/>
            </w:pPr>
            <w:r>
              <w:rPr>
                <w:sz w:val="19"/>
              </w:rPr>
              <w:t>3 · Delivery</w:t>
            </w:r>
          </w:p>
        </w:tc>
        <w:tc>
          <w:tcPr>
            <w:tcW w:w="6624" w:type="dxa"/>
          </w:tcPr>
          <w:p w14:paraId="22854372" w14:textId="77777777" w:rsidR="00A73AEF" w:rsidRDefault="00000000">
            <w:pPr>
              <w:spacing w:before="20" w:after="20"/>
            </w:pPr>
            <w:r>
              <w:rPr>
                <w:sz w:val="19"/>
              </w:rPr>
              <w:t>One point each: a post · a date · a test · an evidence source · a wider reach</w:t>
            </w:r>
          </w:p>
        </w:tc>
        <w:tc>
          <w:tcPr>
            <w:tcW w:w="1440" w:type="dxa"/>
          </w:tcPr>
          <w:p w14:paraId="6D793D7C" w14:textId="77777777" w:rsidR="00A73AEF" w:rsidRDefault="00A73AEF"/>
        </w:tc>
      </w:tr>
    </w:tbl>
    <w:p w14:paraId="1C3B4DC7" w14:textId="77777777" w:rsidR="00A73AEF" w:rsidRDefault="00A73AEF">
      <w:pPr>
        <w:spacing w:after="40"/>
      </w:pPr>
    </w:p>
    <w:p w14:paraId="2A239B05" w14:textId="77777777" w:rsidR="00A73AEF" w:rsidRDefault="00000000">
      <w:pPr>
        <w:spacing w:before="80"/>
      </w:pPr>
      <w:r>
        <w:rPr>
          <w:b/>
          <w:color w:val="E72F1F"/>
        </w:rPr>
        <w:t>Five out of five in round three is a conclusion that would survive in your own body.</w:t>
      </w:r>
    </w:p>
    <w:p w14:paraId="32FECC7C" w14:textId="77777777" w:rsidR="00A73AEF" w:rsidRDefault="00000000">
      <w:pPr>
        <w:spacing w:after="60"/>
      </w:pPr>
      <w:r>
        <w:rPr>
          <w:b/>
          <w:color w:val="0D6652"/>
          <w:sz w:val="30"/>
        </w:rPr>
        <w:t>Three tests to take home</w:t>
      </w:r>
    </w:p>
    <w:p w14:paraId="73F77754" w14:textId="77777777" w:rsidR="00A73AEF" w:rsidRDefault="00000000">
      <w:pPr>
        <w:spacing w:after="80"/>
      </w:pPr>
      <w:r>
        <w:rPr>
          <w:i/>
          <w:color w:val="595959"/>
          <w:sz w:val="20"/>
        </w:rPr>
        <w:t>They work on any paper, in any sector — including papers with nothing to do with safety. Write them inside the cover of the notebook you take to your own meetings.</w:t>
      </w:r>
    </w:p>
    <w:p w14:paraId="77A9B9E3" w14:textId="77777777" w:rsidR="00A73AEF" w:rsidRDefault="00000000">
      <w:pPr>
        <w:spacing w:after="80"/>
        <w:ind w:left="605" w:hanging="317"/>
      </w:pPr>
      <w:r>
        <w:rPr>
          <w:b/>
          <w:color w:val="0D6652"/>
        </w:rPr>
        <w:t xml:space="preserve">1.  </w:t>
      </w:r>
      <w:r>
        <w:t>Who does this reach — and who does it quietly miss?</w:t>
      </w:r>
    </w:p>
    <w:p w14:paraId="454D3AB7" w14:textId="77777777" w:rsidR="00A73AEF" w:rsidRDefault="00000000">
      <w:pPr>
        <w:spacing w:after="80"/>
        <w:ind w:left="605" w:hanging="317"/>
      </w:pPr>
      <w:r>
        <w:rPr>
          <w:b/>
          <w:color w:val="0D6652"/>
        </w:rPr>
        <w:t xml:space="preserve">2.  </w:t>
      </w:r>
      <w:r>
        <w:t>What is settled before the argument starts?</w:t>
      </w:r>
    </w:p>
    <w:p w14:paraId="3ED2650F" w14:textId="77777777" w:rsidR="00A73AEF" w:rsidRDefault="00000000">
      <w:pPr>
        <w:spacing w:after="80"/>
        <w:ind w:left="605" w:hanging="317"/>
      </w:pPr>
      <w:r>
        <w:rPr>
          <w:b/>
          <w:color w:val="0D6652"/>
        </w:rPr>
        <w:t xml:space="preserve">3.  </w:t>
      </w:r>
      <w:r>
        <w:t>Six months from now, how would anybody know this happened?</w:t>
      </w:r>
    </w:p>
    <w:p w14:paraId="287BBD7A" w14:textId="77777777" w:rsidR="00A73AEF" w:rsidRDefault="00000000">
      <w:pPr>
        <w:spacing w:before="120"/>
      </w:pPr>
      <w:r>
        <w:rPr>
          <w:b/>
          <w:color w:val="0E2841"/>
        </w:rPr>
        <w:t>And one for whoever is chairing: before the item closes, is there one person in the room who knows what they do on Monday morning? If not, the conclusion is not finished, whatever the minutes say.</w:t>
      </w:r>
    </w:p>
    <w:p w14:paraId="2E20C0AC" w14:textId="77777777" w:rsidR="00A73AEF" w:rsidRDefault="00000000">
      <w:pPr>
        <w:spacing w:after="60"/>
      </w:pPr>
      <w:r>
        <w:rPr>
          <w:b/>
          <w:color w:val="0D6652"/>
          <w:sz w:val="30"/>
        </w:rPr>
        <w:t>What ninety minutes could not carry</w:t>
      </w:r>
    </w:p>
    <w:tbl>
      <w:tblPr>
        <w:tblStyle w:val="TableGrid"/>
        <w:tblW w:w="0" w:type="auto"/>
        <w:tblLook w:val="04A0" w:firstRow="1" w:lastRow="0" w:firstColumn="1" w:lastColumn="0" w:noHBand="0" w:noVBand="1"/>
      </w:tblPr>
      <w:tblGrid>
        <w:gridCol w:w="2880"/>
        <w:gridCol w:w="6912"/>
      </w:tblGrid>
      <w:tr w:rsidR="00A73AEF" w14:paraId="6C985F03" w14:textId="77777777">
        <w:tc>
          <w:tcPr>
            <w:tcW w:w="2880" w:type="dxa"/>
            <w:shd w:val="clear" w:color="auto" w:fill="0D6652"/>
          </w:tcPr>
          <w:p w14:paraId="398C47AC" w14:textId="77777777" w:rsidR="00A73AEF" w:rsidRDefault="00000000">
            <w:pPr>
              <w:spacing w:before="20" w:after="40"/>
            </w:pPr>
            <w:r>
              <w:rPr>
                <w:b/>
                <w:color w:val="FFFFFF"/>
                <w:sz w:val="19"/>
              </w:rPr>
              <w:t>Handout</w:t>
            </w:r>
          </w:p>
        </w:tc>
        <w:tc>
          <w:tcPr>
            <w:tcW w:w="6912" w:type="dxa"/>
            <w:shd w:val="clear" w:color="auto" w:fill="0D6652"/>
          </w:tcPr>
          <w:p w14:paraId="55A66C5F" w14:textId="77777777" w:rsidR="00A73AEF" w:rsidRDefault="00000000">
            <w:pPr>
              <w:spacing w:before="20" w:after="40"/>
            </w:pPr>
            <w:r>
              <w:rPr>
                <w:b/>
                <w:color w:val="FFFFFF"/>
                <w:sz w:val="19"/>
              </w:rPr>
              <w:t>What is in it that we did not reach today</w:t>
            </w:r>
          </w:p>
        </w:tc>
      </w:tr>
      <w:tr w:rsidR="00A73AEF" w14:paraId="3B0EF97F" w14:textId="77777777">
        <w:trPr>
          <w:trHeight w:val="1008"/>
        </w:trPr>
        <w:tc>
          <w:tcPr>
            <w:tcW w:w="2880" w:type="dxa"/>
          </w:tcPr>
          <w:p w14:paraId="2C81E283" w14:textId="77777777" w:rsidR="00A73AEF" w:rsidRDefault="00000000">
            <w:pPr>
              <w:spacing w:before="20" w:after="20"/>
            </w:pPr>
            <w:r>
              <w:rPr>
                <w:sz w:val="19"/>
              </w:rPr>
              <w:t>5.1 — The inclusion audit</w:t>
            </w:r>
          </w:p>
        </w:tc>
        <w:tc>
          <w:tcPr>
            <w:tcW w:w="6912" w:type="dxa"/>
          </w:tcPr>
          <w:p w14:paraId="0DDB8F23" w14:textId="77777777" w:rsidR="00A73AEF" w:rsidRDefault="00000000">
            <w:pPr>
              <w:spacing w:before="20" w:after="20"/>
            </w:pPr>
            <w:r>
              <w:rPr>
                <w:sz w:val="19"/>
              </w:rPr>
              <w:t>Gender at each stage of the policy cycle; the two routes for extending representation; how a fourth constituency can be seated without diluting collective bargaining</w:t>
            </w:r>
          </w:p>
        </w:tc>
      </w:tr>
      <w:tr w:rsidR="00A73AEF" w14:paraId="51B1E482" w14:textId="77777777">
        <w:trPr>
          <w:trHeight w:val="1008"/>
        </w:trPr>
        <w:tc>
          <w:tcPr>
            <w:tcW w:w="2880" w:type="dxa"/>
            <w:shd w:val="clear" w:color="auto" w:fill="F4F6F5"/>
          </w:tcPr>
          <w:p w14:paraId="4886576D" w14:textId="77777777" w:rsidR="00A73AEF" w:rsidRDefault="00000000">
            <w:pPr>
              <w:spacing w:before="20" w:after="20"/>
            </w:pPr>
            <w:r>
              <w:rPr>
                <w:sz w:val="19"/>
              </w:rPr>
              <w:t>6.1 — Pre-negotiation fact base</w:t>
            </w:r>
          </w:p>
        </w:tc>
        <w:tc>
          <w:tcPr>
            <w:tcW w:w="6912" w:type="dxa"/>
            <w:shd w:val="clear" w:color="auto" w:fill="F4F6F5"/>
          </w:tcPr>
          <w:p w14:paraId="64D4C5B7" w14:textId="77777777" w:rsidR="00A73AEF" w:rsidRDefault="00000000">
            <w:pPr>
              <w:spacing w:before="20" w:after="20"/>
            </w:pPr>
            <w:r>
              <w:rPr>
                <w:sz w:val="19"/>
              </w:rPr>
              <w:t>The four decisions underneath any wage system; statutory fixing and collective bargaining as complements; the scope question; the review trigger</w:t>
            </w:r>
          </w:p>
        </w:tc>
      </w:tr>
      <w:tr w:rsidR="00A73AEF" w14:paraId="73EBA3E3" w14:textId="77777777">
        <w:trPr>
          <w:trHeight w:val="1008"/>
        </w:trPr>
        <w:tc>
          <w:tcPr>
            <w:tcW w:w="2880" w:type="dxa"/>
          </w:tcPr>
          <w:p w14:paraId="30981FB3" w14:textId="77777777" w:rsidR="00A73AEF" w:rsidRDefault="00000000">
            <w:pPr>
              <w:spacing w:before="20" w:after="20"/>
            </w:pPr>
            <w:r>
              <w:rPr>
                <w:sz w:val="19"/>
              </w:rPr>
              <w:t>7.1 — Conclusions and implementation</w:t>
            </w:r>
          </w:p>
        </w:tc>
        <w:tc>
          <w:tcPr>
            <w:tcW w:w="6912" w:type="dxa"/>
          </w:tcPr>
          <w:p w14:paraId="5704F303" w14:textId="77777777" w:rsidR="00A73AEF" w:rsidRDefault="00000000">
            <w:pPr>
              <w:spacing w:before="20" w:after="20"/>
            </w:pPr>
            <w:r>
              <w:rPr>
                <w:sz w:val="19"/>
              </w:rPr>
              <w:t>Right-sizing a first commitment; sequencing a reform across meetings; the three categories of commitment; the secretariat time arithmetic</w:t>
            </w:r>
          </w:p>
        </w:tc>
      </w:tr>
    </w:tbl>
    <w:p w14:paraId="31FB2796" w14:textId="77777777" w:rsidR="00A73AEF" w:rsidRDefault="00A73AEF">
      <w:pPr>
        <w:spacing w:after="40"/>
      </w:pPr>
    </w:p>
    <w:p w14:paraId="0B2A8388" w14:textId="77777777" w:rsidR="00A73AEF" w:rsidRDefault="00000000">
      <w:pPr>
        <w:pageBreakBefore/>
        <w:spacing w:after="60"/>
      </w:pPr>
      <w:r>
        <w:rPr>
          <w:b/>
          <w:color w:val="0D6652"/>
          <w:sz w:val="30"/>
        </w:rPr>
        <w:lastRenderedPageBreak/>
        <w:t>The standards behind gate one</w:t>
      </w:r>
    </w:p>
    <w:p w14:paraId="7904AA4E" w14:textId="77777777" w:rsidR="00A73AEF" w:rsidRDefault="00000000">
      <w:pPr>
        <w:spacing w:after="120"/>
      </w:pPr>
      <w:r>
        <w:rPr>
          <w:i/>
          <w:color w:val="595959"/>
          <w:sz w:val="20"/>
        </w:rPr>
        <w:t>Why a tripartite body spends its time on who a measure reaches: because a series of international labour standards requires it. Ratification differs from country to country; relevance does not. Check ratification status with the national expert before citing an obligation.</w:t>
      </w:r>
    </w:p>
    <w:p w14:paraId="4306717D" w14:textId="77777777" w:rsidR="00A73AEF" w:rsidRDefault="00000000">
      <w:pPr>
        <w:spacing w:after="60"/>
      </w:pPr>
      <w:r>
        <w:rPr>
          <w:b/>
          <w:color w:val="0D6652"/>
          <w:sz w:val="24"/>
        </w:rPr>
        <w:t>Fundamental Conventions — the 1998 Declaration</w:t>
      </w:r>
    </w:p>
    <w:tbl>
      <w:tblPr>
        <w:tblStyle w:val="TableGrid"/>
        <w:tblW w:w="0" w:type="auto"/>
        <w:tblLook w:val="04A0" w:firstRow="1" w:lastRow="0" w:firstColumn="1" w:lastColumn="0" w:noHBand="0" w:noVBand="1"/>
      </w:tblPr>
      <w:tblGrid>
        <w:gridCol w:w="3312"/>
        <w:gridCol w:w="6480"/>
      </w:tblGrid>
      <w:tr w:rsidR="00A73AEF" w14:paraId="4EA14F59" w14:textId="77777777">
        <w:tc>
          <w:tcPr>
            <w:tcW w:w="3312" w:type="dxa"/>
            <w:shd w:val="clear" w:color="auto" w:fill="0D6652"/>
          </w:tcPr>
          <w:p w14:paraId="693CABB0" w14:textId="77777777" w:rsidR="00A73AEF" w:rsidRDefault="00000000">
            <w:pPr>
              <w:spacing w:before="20" w:after="40"/>
            </w:pPr>
            <w:r>
              <w:rPr>
                <w:b/>
                <w:color w:val="FFFFFF"/>
                <w:sz w:val="19"/>
              </w:rPr>
              <w:t>Instrument</w:t>
            </w:r>
          </w:p>
        </w:tc>
        <w:tc>
          <w:tcPr>
            <w:tcW w:w="6480" w:type="dxa"/>
            <w:shd w:val="clear" w:color="auto" w:fill="0D6652"/>
          </w:tcPr>
          <w:p w14:paraId="579372A0" w14:textId="77777777" w:rsidR="00A73AEF" w:rsidRDefault="00000000">
            <w:pPr>
              <w:spacing w:before="20" w:after="40"/>
            </w:pPr>
            <w:r>
              <w:rPr>
                <w:b/>
                <w:color w:val="FFFFFF"/>
                <w:sz w:val="19"/>
              </w:rPr>
              <w:t>What it asks of a measure like this one</w:t>
            </w:r>
          </w:p>
        </w:tc>
      </w:tr>
      <w:tr w:rsidR="00A73AEF" w14:paraId="7B7A1876" w14:textId="77777777">
        <w:trPr>
          <w:trHeight w:val="864"/>
        </w:trPr>
        <w:tc>
          <w:tcPr>
            <w:tcW w:w="3312" w:type="dxa"/>
          </w:tcPr>
          <w:p w14:paraId="1D6DE067" w14:textId="77777777" w:rsidR="00A73AEF" w:rsidRDefault="00000000">
            <w:pPr>
              <w:spacing w:before="20" w:after="20"/>
            </w:pPr>
            <w:r>
              <w:rPr>
                <w:sz w:val="19"/>
              </w:rPr>
              <w:t>No. 100 (1951) — Equal Remuneration</w:t>
            </w:r>
          </w:p>
        </w:tc>
        <w:tc>
          <w:tcPr>
            <w:tcW w:w="6480" w:type="dxa"/>
          </w:tcPr>
          <w:p w14:paraId="1B468572" w14:textId="77777777" w:rsidR="00A73AEF" w:rsidRDefault="00000000">
            <w:pPr>
              <w:spacing w:before="20" w:after="20"/>
            </w:pPr>
            <w:r>
              <w:rPr>
                <w:sz w:val="19"/>
              </w:rPr>
              <w:t>Equal remuneration for work of equal value. Jobs are compared on four factors: skill, effort, responsibility and working conditions. Conditions is one of the four — so safety is also a pay question.</w:t>
            </w:r>
          </w:p>
        </w:tc>
      </w:tr>
      <w:tr w:rsidR="00A73AEF" w14:paraId="6C0EC912" w14:textId="77777777">
        <w:trPr>
          <w:trHeight w:val="864"/>
        </w:trPr>
        <w:tc>
          <w:tcPr>
            <w:tcW w:w="3312" w:type="dxa"/>
            <w:shd w:val="clear" w:color="auto" w:fill="F4F6F5"/>
          </w:tcPr>
          <w:p w14:paraId="160973F6" w14:textId="77777777" w:rsidR="00A73AEF" w:rsidRDefault="00000000">
            <w:pPr>
              <w:spacing w:before="20" w:after="20"/>
            </w:pPr>
            <w:r>
              <w:rPr>
                <w:sz w:val="19"/>
              </w:rPr>
              <w:t>No. 111 (1958) — Discrimination (Employment and Occupation)</w:t>
            </w:r>
          </w:p>
        </w:tc>
        <w:tc>
          <w:tcPr>
            <w:tcW w:w="6480" w:type="dxa"/>
            <w:shd w:val="clear" w:color="auto" w:fill="F4F6F5"/>
          </w:tcPr>
          <w:p w14:paraId="03B2590C" w14:textId="77777777" w:rsidR="00A73AEF" w:rsidRDefault="00000000">
            <w:pPr>
              <w:spacing w:before="20" w:after="20"/>
            </w:pPr>
            <w:r>
              <w:rPr>
                <w:sz w:val="19"/>
              </w:rPr>
              <w:t>Whether the most hazardous or lowest-graded jobs are held by particular groups, and why.</w:t>
            </w:r>
          </w:p>
        </w:tc>
      </w:tr>
      <w:tr w:rsidR="00A73AEF" w14:paraId="775643D0" w14:textId="77777777">
        <w:trPr>
          <w:trHeight w:val="864"/>
        </w:trPr>
        <w:tc>
          <w:tcPr>
            <w:tcW w:w="3312" w:type="dxa"/>
          </w:tcPr>
          <w:p w14:paraId="0E449BB9" w14:textId="77777777" w:rsidR="00A73AEF" w:rsidRDefault="00000000">
            <w:pPr>
              <w:spacing w:before="20" w:after="20"/>
            </w:pPr>
            <w:r>
              <w:rPr>
                <w:sz w:val="19"/>
              </w:rPr>
              <w:t>Nos. 155 (1981) and 187 (2006) — Occupational Safety and Health</w:t>
            </w:r>
          </w:p>
        </w:tc>
        <w:tc>
          <w:tcPr>
            <w:tcW w:w="6480" w:type="dxa"/>
          </w:tcPr>
          <w:p w14:paraId="7916B623" w14:textId="77777777" w:rsidR="00A73AEF" w:rsidRDefault="00000000">
            <w:pPr>
              <w:spacing w:before="20" w:after="20"/>
            </w:pPr>
            <w:r>
              <w:rPr>
                <w:sz w:val="19"/>
              </w:rPr>
              <w:t>Whether the risk was assessed at all. In 2022 the International Labour Conference added a safe and healthy working environment to the fundamental principles and rights at work, and these two became fundamental Conventions.</w:t>
            </w:r>
          </w:p>
        </w:tc>
      </w:tr>
    </w:tbl>
    <w:p w14:paraId="4374805E" w14:textId="77777777" w:rsidR="00A73AEF" w:rsidRDefault="00A73AEF">
      <w:pPr>
        <w:spacing w:after="40"/>
      </w:pPr>
    </w:p>
    <w:p w14:paraId="676D6F16" w14:textId="77777777" w:rsidR="00A73AEF" w:rsidRDefault="00000000">
      <w:pPr>
        <w:spacing w:before="200" w:after="60"/>
      </w:pPr>
      <w:r>
        <w:rPr>
          <w:b/>
          <w:color w:val="0D6652"/>
          <w:sz w:val="24"/>
        </w:rPr>
        <w:t>Technical Conventions and Recommendations</w:t>
      </w:r>
    </w:p>
    <w:tbl>
      <w:tblPr>
        <w:tblStyle w:val="TableGrid"/>
        <w:tblW w:w="0" w:type="auto"/>
        <w:tblLook w:val="04A0" w:firstRow="1" w:lastRow="0" w:firstColumn="1" w:lastColumn="0" w:noHBand="0" w:noVBand="1"/>
      </w:tblPr>
      <w:tblGrid>
        <w:gridCol w:w="3312"/>
        <w:gridCol w:w="6480"/>
      </w:tblGrid>
      <w:tr w:rsidR="00A73AEF" w14:paraId="5CC1512F" w14:textId="77777777">
        <w:tc>
          <w:tcPr>
            <w:tcW w:w="3312" w:type="dxa"/>
            <w:shd w:val="clear" w:color="auto" w:fill="0D6652"/>
          </w:tcPr>
          <w:p w14:paraId="6C4B9022" w14:textId="77777777" w:rsidR="00A73AEF" w:rsidRDefault="00000000">
            <w:pPr>
              <w:spacing w:before="20" w:after="40"/>
            </w:pPr>
            <w:r>
              <w:rPr>
                <w:b/>
                <w:color w:val="FFFFFF"/>
                <w:sz w:val="19"/>
              </w:rPr>
              <w:t>Instrument</w:t>
            </w:r>
          </w:p>
        </w:tc>
        <w:tc>
          <w:tcPr>
            <w:tcW w:w="6480" w:type="dxa"/>
            <w:shd w:val="clear" w:color="auto" w:fill="0D6652"/>
          </w:tcPr>
          <w:p w14:paraId="29E54CD5" w14:textId="77777777" w:rsidR="00A73AEF" w:rsidRDefault="00000000">
            <w:pPr>
              <w:spacing w:before="20" w:after="40"/>
            </w:pPr>
            <w:r>
              <w:rPr>
                <w:b/>
                <w:color w:val="FFFFFF"/>
                <w:sz w:val="19"/>
              </w:rPr>
              <w:t>What it asks of a measure like this one</w:t>
            </w:r>
          </w:p>
        </w:tc>
      </w:tr>
      <w:tr w:rsidR="00A73AEF" w14:paraId="3944D661" w14:textId="77777777">
        <w:trPr>
          <w:trHeight w:val="864"/>
        </w:trPr>
        <w:tc>
          <w:tcPr>
            <w:tcW w:w="3312" w:type="dxa"/>
          </w:tcPr>
          <w:p w14:paraId="7F544EB0" w14:textId="77777777" w:rsidR="00A73AEF" w:rsidRDefault="00000000">
            <w:pPr>
              <w:spacing w:before="20" w:after="20"/>
            </w:pPr>
            <w:r>
              <w:rPr>
                <w:sz w:val="19"/>
              </w:rPr>
              <w:t>No. 190 (2019) — Violence and Harassment</w:t>
            </w:r>
          </w:p>
        </w:tc>
        <w:tc>
          <w:tcPr>
            <w:tcW w:w="6480" w:type="dxa"/>
          </w:tcPr>
          <w:p w14:paraId="605BB53D" w14:textId="77777777" w:rsidR="00A73AEF" w:rsidRDefault="00000000">
            <w:pPr>
              <w:spacing w:before="20" w:after="20"/>
            </w:pPr>
            <w:r>
              <w:rPr>
                <w:sz w:val="19"/>
              </w:rPr>
              <w:t>Treats violence and harassment as a workplace risk to be identified and prevented — so it belongs in a hazard register, not only in a disciplinary procedure.</w:t>
            </w:r>
          </w:p>
        </w:tc>
      </w:tr>
      <w:tr w:rsidR="00A73AEF" w14:paraId="1BBEB5DE" w14:textId="77777777">
        <w:trPr>
          <w:trHeight w:val="864"/>
        </w:trPr>
        <w:tc>
          <w:tcPr>
            <w:tcW w:w="3312" w:type="dxa"/>
            <w:shd w:val="clear" w:color="auto" w:fill="F4F6F5"/>
          </w:tcPr>
          <w:p w14:paraId="20E10C53" w14:textId="77777777" w:rsidR="00A73AEF" w:rsidRDefault="00000000">
            <w:pPr>
              <w:spacing w:before="20" w:after="20"/>
            </w:pPr>
            <w:r>
              <w:rPr>
                <w:sz w:val="19"/>
              </w:rPr>
              <w:t>No. 183 (2000) — Maternity Protection</w:t>
            </w:r>
          </w:p>
        </w:tc>
        <w:tc>
          <w:tcPr>
            <w:tcW w:w="6480" w:type="dxa"/>
            <w:shd w:val="clear" w:color="auto" w:fill="F4F6F5"/>
          </w:tcPr>
          <w:p w14:paraId="74A291C2" w14:textId="77777777" w:rsidR="00A73AEF" w:rsidRDefault="00000000">
            <w:pPr>
              <w:spacing w:before="20" w:after="20"/>
            </w:pPr>
            <w:r>
              <w:rPr>
                <w:sz w:val="19"/>
              </w:rPr>
              <w:t>That pregnant and nursing workers are not obliged to perform work prejudicial to their health.</w:t>
            </w:r>
          </w:p>
        </w:tc>
      </w:tr>
      <w:tr w:rsidR="00A73AEF" w14:paraId="5B03DF96" w14:textId="77777777">
        <w:trPr>
          <w:trHeight w:val="864"/>
        </w:trPr>
        <w:tc>
          <w:tcPr>
            <w:tcW w:w="3312" w:type="dxa"/>
          </w:tcPr>
          <w:p w14:paraId="7E53B8D2" w14:textId="77777777" w:rsidR="00A73AEF" w:rsidRDefault="00000000">
            <w:pPr>
              <w:spacing w:before="20" w:after="20"/>
            </w:pPr>
            <w:r>
              <w:rPr>
                <w:sz w:val="19"/>
              </w:rPr>
              <w:t>No. 156 (1981) — Workers with Family Responsibilities</w:t>
            </w:r>
          </w:p>
        </w:tc>
        <w:tc>
          <w:tcPr>
            <w:tcW w:w="6480" w:type="dxa"/>
          </w:tcPr>
          <w:p w14:paraId="6CE652D0" w14:textId="77777777" w:rsidR="00A73AEF" w:rsidRDefault="00000000">
            <w:pPr>
              <w:spacing w:before="20" w:after="20"/>
            </w:pPr>
            <w:r>
              <w:rPr>
                <w:sz w:val="19"/>
              </w:rPr>
              <w:t>Whether the hours and shift pattern can actually be worked by someone with family responsibilities.</w:t>
            </w:r>
          </w:p>
        </w:tc>
      </w:tr>
      <w:tr w:rsidR="00A73AEF" w14:paraId="13D7D64E" w14:textId="77777777">
        <w:trPr>
          <w:trHeight w:val="864"/>
        </w:trPr>
        <w:tc>
          <w:tcPr>
            <w:tcW w:w="3312" w:type="dxa"/>
            <w:shd w:val="clear" w:color="auto" w:fill="F4F6F5"/>
          </w:tcPr>
          <w:p w14:paraId="3EA5583B" w14:textId="77777777" w:rsidR="00A73AEF" w:rsidRDefault="00000000">
            <w:pPr>
              <w:spacing w:before="20" w:after="20"/>
            </w:pPr>
            <w:r>
              <w:rPr>
                <w:sz w:val="19"/>
              </w:rPr>
              <w:t>No. 131 (1970) — Minimum Wage Fixing, with Recommendation No. 135</w:t>
            </w:r>
          </w:p>
        </w:tc>
        <w:tc>
          <w:tcPr>
            <w:tcW w:w="6480" w:type="dxa"/>
            <w:shd w:val="clear" w:color="auto" w:fill="F4F6F5"/>
          </w:tcPr>
          <w:p w14:paraId="6836A7FF" w14:textId="77777777" w:rsidR="00A73AEF" w:rsidRDefault="00000000">
            <w:pPr>
              <w:spacing w:before="20" w:after="20"/>
            </w:pPr>
            <w:r>
              <w:rPr>
                <w:sz w:val="19"/>
              </w:rPr>
              <w:t>Two sets of criteria — the needs of workers and their families, and economic factors — with no weight assigned between them. The weighting is the body’s decision.</w:t>
            </w:r>
          </w:p>
        </w:tc>
      </w:tr>
      <w:tr w:rsidR="00A73AEF" w14:paraId="1E215D93" w14:textId="77777777">
        <w:trPr>
          <w:trHeight w:val="864"/>
        </w:trPr>
        <w:tc>
          <w:tcPr>
            <w:tcW w:w="3312" w:type="dxa"/>
          </w:tcPr>
          <w:p w14:paraId="5A451AB1" w14:textId="77777777" w:rsidR="00A73AEF" w:rsidRDefault="00000000">
            <w:pPr>
              <w:spacing w:before="20" w:after="20"/>
            </w:pPr>
            <w:r>
              <w:rPr>
                <w:sz w:val="19"/>
              </w:rPr>
              <w:t>Recommendation No. 204 (2015) — Transition from the Informal to the Formal Economy</w:t>
            </w:r>
          </w:p>
        </w:tc>
        <w:tc>
          <w:tcPr>
            <w:tcW w:w="6480" w:type="dxa"/>
          </w:tcPr>
          <w:p w14:paraId="281DE686" w14:textId="77777777" w:rsidR="00A73AEF" w:rsidRDefault="00000000">
            <w:pPr>
              <w:spacing w:before="20" w:after="20"/>
            </w:pPr>
            <w:r>
              <w:rPr>
                <w:sz w:val="19"/>
              </w:rPr>
              <w:t>Whether the measure reaches units and workers outside the formal frame at all, and that tripartite mechanisms include membership-based organizations of those workers.</w:t>
            </w:r>
          </w:p>
        </w:tc>
      </w:tr>
    </w:tbl>
    <w:p w14:paraId="010FA167" w14:textId="77777777" w:rsidR="00A73AEF" w:rsidRDefault="00A73AEF">
      <w:pPr>
        <w:spacing w:after="40"/>
      </w:pPr>
    </w:p>
    <w:sectPr w:rsidR="00A73AEF" w:rsidSect="00034616">
      <w:headerReference w:type="default" r:id="rId8"/>
      <w:footerReference w:type="default" r:id="rId9"/>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51CD6" w14:textId="77777777" w:rsidR="009462E9" w:rsidRDefault="009462E9">
      <w:pPr>
        <w:spacing w:after="0" w:line="240" w:lineRule="auto"/>
      </w:pPr>
      <w:r>
        <w:separator/>
      </w:r>
    </w:p>
  </w:endnote>
  <w:endnote w:type="continuationSeparator" w:id="0">
    <w:p w14:paraId="55E9BF2D" w14:textId="77777777" w:rsidR="009462E9" w:rsidRDefault="009462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D258C" w14:textId="77777777" w:rsidR="00A73AEF" w:rsidRDefault="00000000">
    <w:pPr>
      <w:pStyle w:val="Footer"/>
      <w:jc w:val="right"/>
    </w:pPr>
    <w:r>
      <w:rPr>
        <w:color w:val="595959"/>
        <w:sz w:val="16"/>
      </w:rPr>
      <w:t>A3519987  ·  Handout 5–7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88517" w14:textId="77777777" w:rsidR="009462E9" w:rsidRDefault="009462E9">
      <w:pPr>
        <w:spacing w:after="0" w:line="240" w:lineRule="auto"/>
      </w:pPr>
      <w:r>
        <w:separator/>
      </w:r>
    </w:p>
  </w:footnote>
  <w:footnote w:type="continuationSeparator" w:id="0">
    <w:p w14:paraId="5EAA307C" w14:textId="77777777" w:rsidR="009462E9" w:rsidRDefault="009462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224B" w14:textId="77777777" w:rsidR="00A73AEF" w:rsidRDefault="00000000">
    <w:pPr>
      <w:pStyle w:val="Header"/>
    </w:pPr>
    <w:r>
      <w:rPr>
        <w:color w:val="595959"/>
        <w:sz w:val="16"/>
      </w:rPr>
      <w:t>International Training Centre of the ILO   |   A3519987   |   Strengthening Tripartite Social Dialogue Institutions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5633791">
    <w:abstractNumId w:val="8"/>
  </w:num>
  <w:num w:numId="2" w16cid:durableId="733088197">
    <w:abstractNumId w:val="6"/>
  </w:num>
  <w:num w:numId="3" w16cid:durableId="2078354450">
    <w:abstractNumId w:val="5"/>
  </w:num>
  <w:num w:numId="4" w16cid:durableId="524440612">
    <w:abstractNumId w:val="4"/>
  </w:num>
  <w:num w:numId="5" w16cid:durableId="145248463">
    <w:abstractNumId w:val="7"/>
  </w:num>
  <w:num w:numId="6" w16cid:durableId="1303190466">
    <w:abstractNumId w:val="3"/>
  </w:num>
  <w:num w:numId="7" w16cid:durableId="21590278">
    <w:abstractNumId w:val="2"/>
  </w:num>
  <w:num w:numId="8" w16cid:durableId="359858890">
    <w:abstractNumId w:val="1"/>
  </w:num>
  <w:num w:numId="9" w16cid:durableId="1546680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01440"/>
    <w:rsid w:val="009462E9"/>
    <w:rsid w:val="00A73AEF"/>
    <w:rsid w:val="00AA1D8D"/>
    <w:rsid w:val="00B47730"/>
    <w:rsid w:val="00CB0664"/>
    <w:rsid w:val="00DA440A"/>
    <w:rsid w:val="00DB2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56356C"/>
  <w14:defaultImageDpi w14:val="300"/>
  <w15:docId w15:val="{4D6E320D-D475-4C59-9AF4-E2F0B76DA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Darrin Govind Dookie</cp:lastModifiedBy>
  <cp:revision>3</cp:revision>
  <dcterms:created xsi:type="dcterms:W3CDTF">2026-10-27T13:33:00Z</dcterms:created>
  <dcterms:modified xsi:type="dcterms:W3CDTF">2026-10-27T13:33:00Z</dcterms:modified>
  <cp:category/>
</cp:coreProperties>
</file>