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595959"/>
          <w:sz w:val="18"/>
        </w:rPr>
        <w:t>PARTICIPANT HANDOUT 1.1</w:t>
      </w:r>
    </w:p>
    <w:p>
      <w:pPr>
        <w:spacing w:before="0" w:after="60"/>
      </w:pPr>
      <w:r>
        <w:rPr>
          <w:rFonts w:ascii="Calibri" w:hAnsi="Calibri"/>
          <w:b/>
          <w:i w:val="0"/>
          <w:color w:val="0E2841"/>
          <w:sz w:val="32"/>
        </w:rPr>
        <w:t>What works, and what blocks</w:t>
      </w:r>
    </w:p>
    <w:p>
      <w:pPr>
        <w:spacing w:before="0" w:after="200"/>
      </w:pPr>
      <w:r>
        <w:rPr>
          <w:rFonts w:ascii="Calibri" w:hAnsi="Calibri"/>
          <w:b/>
          <w:i w:val="0"/>
          <w:color w:val="0D6652"/>
          <w:sz w:val="20"/>
        </w:rPr>
        <w:t>Session 1 — Day one, 09:00–10:30   ·   12 minutes   ·   Mixed tripartite groups of five or six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0"/>
      </w:tblGrid>
      <w:tr>
        <w:tc>
          <w:tcPr>
            <w:tcW w:type="dxa" w:w="10080"/>
            <w:shd w:val="clear" w:color="auto" w:fill="0D6652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TASK</w:t>
            </w:r>
            <w:r>
              <w:rPr>
                <w:rFonts w:ascii="Calibri" w:hAnsi="Calibri"/>
                <w:color w:val="D6E4E0"/>
                <w:sz w:val="20"/>
              </w:rPr>
              <w:t xml:space="preserve">    Identify what your institution genuinely does well, and the single biggest thing that blocks it from contributing to policy.</w:t>
            </w:r>
          </w:p>
        </w:tc>
      </w:tr>
    </w:tbl>
    <w:p>
      <w:pPr>
        <w:spacing w:after="40"/>
      </w:pPr>
    </w:p>
    <w:p>
      <w:pPr>
        <w:spacing w:before="0" w:after="80"/>
        <w:ind w:left="605" w:hanging="317"/>
      </w:pPr>
      <w:r>
        <w:rPr>
          <w:rFonts w:ascii="Calibri" w:hAnsi="Calibri"/>
          <w:b/>
          <w:color w:val="0D6652"/>
          <w:sz w:val="21"/>
        </w:rPr>
        <w:t xml:space="preserve">1.  </w:t>
      </w:r>
      <w:r>
        <w:rPr>
          <w:rFonts w:ascii="Calibri" w:hAnsi="Calibri"/>
          <w:sz w:val="21"/>
        </w:rPr>
        <w:t>Each person names one thing their institution does well. Two minutes, no discussion.</w:t>
      </w:r>
    </w:p>
    <w:p>
      <w:pPr>
        <w:spacing w:before="0" w:after="80"/>
        <w:ind w:left="605" w:hanging="317"/>
      </w:pPr>
      <w:r>
        <w:rPr>
          <w:rFonts w:ascii="Calibri" w:hAnsi="Calibri"/>
          <w:b/>
          <w:color w:val="0D6652"/>
          <w:sz w:val="21"/>
        </w:rPr>
        <w:t xml:space="preserve">2.  </w:t>
      </w:r>
      <w:r>
        <w:rPr>
          <w:rFonts w:ascii="Calibri" w:hAnsi="Calibri"/>
          <w:sz w:val="21"/>
        </w:rPr>
        <w:t>The group agrees the single biggest blockage. It must be a sentence, not a word — "capacity" and "political will" are categories, not blockages. Say what specifically does not happen.</w:t>
      </w:r>
    </w:p>
    <w:p>
      <w:pPr>
        <w:spacing w:before="0" w:after="80"/>
        <w:ind w:left="605" w:hanging="317"/>
      </w:pPr>
      <w:r>
        <w:rPr>
          <w:rFonts w:ascii="Calibri" w:hAnsi="Calibri"/>
          <w:b/>
          <w:color w:val="0D6652"/>
          <w:sz w:val="21"/>
        </w:rPr>
        <w:t xml:space="preserve">3.  </w:t>
      </w:r>
      <w:r>
        <w:rPr>
          <w:rFonts w:ascii="Calibri" w:hAnsi="Calibri"/>
          <w:sz w:val="21"/>
        </w:rPr>
        <w:t>Place that blockage at the stage of the policy cycle where it bites.</w:t>
      </w:r>
    </w:p>
    <w:p>
      <w:pPr>
        <w:spacing w:before="0" w:after="80"/>
        <w:ind w:left="605" w:hanging="317"/>
      </w:pPr>
      <w:r>
        <w:rPr>
          <w:rFonts w:ascii="Calibri" w:hAnsi="Calibri"/>
          <w:b/>
          <w:color w:val="0D6652"/>
          <w:sz w:val="21"/>
        </w:rPr>
        <w:t xml:space="preserve">4.  </w:t>
      </w:r>
      <w:r>
        <w:rPr>
          <w:rFonts w:ascii="Calibri" w:hAnsi="Calibri"/>
          <w:sz w:val="21"/>
        </w:rPr>
        <w:t>Complete the card below and be ready to report in one minute.</w:t>
      </w:r>
    </w:p>
    <w:p>
      <w:pPr>
        <w:spacing w:before="200" w:after="80"/>
      </w:pPr>
      <w:r>
        <w:rPr>
          <w:rFonts w:ascii="Calibri" w:hAnsi="Calibri"/>
          <w:b/>
          <w:i w:val="0"/>
          <w:color w:val="0D6652"/>
          <w:sz w:val="24"/>
        </w:rPr>
        <w:t>Group card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45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633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</w:r>
          </w:p>
        </w:tc>
      </w:tr>
      <w:tr>
        <w:trPr>
          <w:trHeight w:val="1080"/>
        </w:trPr>
        <w:tc>
          <w:tcPr>
            <w:tcW w:type="dxa" w:w="345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One thing our institution does well</w:t>
            </w:r>
          </w:p>
        </w:tc>
        <w:tc>
          <w:tcPr>
            <w:tcW w:type="dxa" w:w="6336"/>
          </w:tcPr>
          <w:p/>
        </w:tc>
      </w:tr>
      <w:tr>
        <w:trPr>
          <w:trHeight w:val="1080"/>
        </w:trPr>
        <w:tc>
          <w:tcPr>
            <w:tcW w:type="dxa" w:w="345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The single biggest blockage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(a sentence)</w:t>
            </w:r>
          </w:p>
        </w:tc>
        <w:tc>
          <w:tcPr>
            <w:tcW w:type="dxa" w:w="6336"/>
          </w:tcPr>
          <w:p/>
        </w:tc>
      </w:tr>
      <w:tr>
        <w:trPr>
          <w:trHeight w:val="1080"/>
        </w:trPr>
        <w:tc>
          <w:tcPr>
            <w:tcW w:type="dxa" w:w="345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Where it bites in the policy cycle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(agenda setting / formulation / decision /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implementation / monitoring)</w:t>
            </w:r>
          </w:p>
        </w:tc>
        <w:tc>
          <w:tcPr>
            <w:tcW w:type="dxa" w:w="6336"/>
          </w:tcPr>
          <w:p/>
        </w:tc>
      </w:tr>
      <w:tr>
        <w:trPr>
          <w:trHeight w:val="1080"/>
        </w:trPr>
        <w:tc>
          <w:tcPr>
            <w:tcW w:type="dxa" w:w="345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Who could remove it</w:t>
            </w:r>
          </w:p>
        </w:tc>
        <w:tc>
          <w:tcPr>
            <w:tcW w:type="dxa" w:w="6336"/>
          </w:tcPr>
          <w:p/>
        </w:tc>
      </w:tr>
    </w:tbl>
    <w:p>
      <w:pPr>
        <w:spacing w:after="40"/>
      </w:pPr>
    </w:p>
    <w:p>
      <w:pPr>
        <w:spacing w:before="80" w:after="80"/>
      </w:pPr>
      <w:r>
        <w:rPr>
          <w:rFonts w:ascii="Calibri" w:hAnsi="Calibri"/>
          <w:b w:val="0"/>
          <w:i/>
          <w:color w:val="595959"/>
          <w:sz w:val="19"/>
        </w:rPr>
        <w:t>Facilitators collect these cards. They are used to form the working-group themes on day three.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5959"/>
        <w:sz w:val="16"/>
      </w:rPr>
      <w:t>A3519987  ·  Handout 1.1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color w:val="595959"/>
        <w:sz w:val="16"/>
      </w:rPr>
      <w:t>International Training Centre of the ILO   |   A3519987   |   Strengthening Tripartite Social Dialogue Institutions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