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595959"/>
          <w:sz w:val="18"/>
        </w:rPr>
        <w:t>PARTICIPANT HANDOUT 11.1</w:t>
      </w:r>
    </w:p>
    <w:p>
      <w:pPr>
        <w:spacing w:before="0" w:after="60"/>
      </w:pPr>
      <w:r>
        <w:rPr>
          <w:rFonts w:ascii="Calibri" w:hAnsi="Calibri"/>
          <w:b/>
          <w:i w:val="0"/>
          <w:color w:val="0E2841"/>
          <w:sz w:val="32"/>
        </w:rPr>
        <w:t>Institutional diagnostic and reform pathway</w:t>
      </w:r>
    </w:p>
    <w:p>
      <w:pPr>
        <w:spacing w:before="0" w:after="200"/>
      </w:pPr>
      <w:r>
        <w:rPr>
          <w:rFonts w:ascii="Calibri" w:hAnsi="Calibri"/>
          <w:b/>
          <w:i w:val="0"/>
          <w:color w:val="0D6652"/>
          <w:sz w:val="20"/>
        </w:rPr>
        <w:t>Session 11 — Day three, 13:30–15:00   ·   20 minutes   ·   Four mixed tripartite groups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80"/>
      </w:tblGrid>
      <w:tr>
        <w:tc>
          <w:tcPr>
            <w:tcW w:type="dxa" w:w="10080"/>
            <w:shd w:val="clear" w:color="auto" w:fill="0D665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  <w:r>
              <w:rPr>
                <w:rFonts w:ascii="Calibri" w:hAnsi="Calibri"/>
                <w:color w:val="D6E4E0"/>
                <w:sz w:val="20"/>
              </w:rPr>
              <w:t xml:space="preserve">    Diagnose the main cause of underperformance in the institution you know best, and sequence a realistic two-year reform pathway.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Institution: ______________________________________________</w:t>
      </w:r>
    </w:p>
    <w:p>
      <w:pPr>
        <w:spacing w:before="0" w:after="60"/>
      </w:pPr>
      <w:r>
        <w:rPr>
          <w:rFonts w:ascii="Calibri" w:hAnsi="Calibri"/>
          <w:b/>
          <w:i w:val="0"/>
          <w:color w:val="0E2841"/>
          <w:sz w:val="23"/>
        </w:rPr>
        <w:t>The underperformance, in one sentence — what does not happen that should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right w:val="none" w:sz="0"/>
          <w:insideV w:val="none" w:sz="0"/>
          <w:bottom w:val="single" w:sz="4" w:color="BFBFBF"/>
          <w:insideH w:val="single" w:sz="4" w:color="BFBFBF"/>
        </w:tblBorders>
      </w:tblPr>
      <w:tblGrid>
        <w:gridCol w:w="10080"/>
      </w:tblGrid>
      <w:tr>
        <w:trPr>
          <w:trHeight w:val="432"/>
        </w:trPr>
        <w:tc>
          <w:tcPr>
            <w:tcW w:type="dxa" w:w="9792"/>
          </w:tcPr>
          <w:p>
            <w:pPr>
              <w:spacing w:after="0"/>
            </w:pPr>
          </w:p>
        </w:tc>
      </w:tr>
      <w:tr>
        <w:trPr>
          <w:trHeight w:val="432"/>
        </w:trPr>
        <w:tc>
          <w:tcPr>
            <w:tcW w:type="dxa" w:w="9792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80" w:after="60"/>
      </w:pPr>
      <w:r>
        <w:rPr>
          <w:rFonts w:ascii="Calibri" w:hAnsi="Calibri"/>
          <w:b/>
          <w:i w:val="0"/>
          <w:color w:val="0D6652"/>
          <w:sz w:val="25"/>
        </w:rPr>
        <w:t>Step 1 — Diagnosis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1728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Cause</w:t>
            </w:r>
          </w:p>
        </w:tc>
        <w:tc>
          <w:tcPr>
            <w:tcW w:type="dxa" w:w="432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Diagnostic question</w:t>
            </w:r>
          </w:p>
        </w:tc>
        <w:tc>
          <w:tcPr>
            <w:tcW w:type="dxa" w:w="324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Evidence for or against</w:t>
            </w:r>
          </w:p>
        </w:tc>
      </w:tr>
      <w:tr>
        <w:trPr>
          <w:trHeight w:val="792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□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Mandate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Has the body ever attempted this and been told it could not?</w:t>
            </w:r>
          </w:p>
        </w:tc>
        <w:tc>
          <w:tcPr>
            <w:tcW w:type="dxa" w:w="3240"/>
          </w:tcPr>
          <w:p/>
        </w:tc>
      </w:tr>
      <w:tr>
        <w:trPr>
          <w:trHeight w:val="792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□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Capacity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Would more staff fix it, or would the same staff working differently fix it?</w:t>
            </w:r>
          </w:p>
        </w:tc>
        <w:tc>
          <w:tcPr>
            <w:tcW w:type="dxa" w:w="3240"/>
          </w:tcPr>
          <w:p/>
        </w:tc>
      </w:tr>
      <w:tr>
        <w:trPr>
          <w:trHeight w:val="792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□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Procedure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Are the working methods wasting the mandate and capacity that exist?</w:t>
            </w:r>
          </w:p>
        </w:tc>
        <w:tc>
          <w:tcPr>
            <w:tcW w:type="dxa" w:w="3240"/>
          </w:tcPr>
          <w:p/>
        </w:tc>
      </w:tr>
      <w:tr>
        <w:trPr>
          <w:trHeight w:val="792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□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Participation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Do those attending have authority to commit their organizations?</w:t>
            </w:r>
          </w:p>
        </w:tc>
        <w:tc>
          <w:tcPr>
            <w:tcW w:type="dxa" w:w="3240"/>
          </w:tcPr>
          <w:p/>
        </w:tc>
      </w:tr>
      <w:tr>
        <w:trPr>
          <w:trHeight w:val="792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□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Political space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Is everything in place but the decisions not wanted?</w:t>
            </w:r>
          </w:p>
        </w:tc>
        <w:tc>
          <w:tcPr>
            <w:tcW w:type="dxa" w:w="3240"/>
          </w:tcPr>
          <w:p/>
        </w:tc>
      </w:tr>
    </w:tbl>
    <w:p>
      <w:pPr>
        <w:spacing w:after="40"/>
      </w:pPr>
    </w:p>
    <w:p>
      <w:pPr>
        <w:spacing w:before="120" w:after="60"/>
      </w:pPr>
      <w:r>
        <w:rPr>
          <w:rFonts w:ascii="Calibri" w:hAnsi="Calibri"/>
          <w:b/>
          <w:i w:val="0"/>
          <w:color w:val="0D6652"/>
          <w:sz w:val="25"/>
        </w:rPr>
        <w:t>Step 2 — Practice changes that could start within three months</w:t>
      </w:r>
    </w:p>
    <w:p>
      <w:pPr>
        <w:spacing w:before="0" w:after="60"/>
      </w:pPr>
      <w:r>
        <w:rPr>
          <w:rFonts w:ascii="Calibri" w:hAnsi="Calibri"/>
          <w:b w:val="0"/>
          <w:i/>
          <w:color w:val="595959"/>
          <w:sz w:val="20"/>
        </w:rPr>
        <w:t>These need no instrument and, mostly, no decision beyond the secretariat and the chair.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576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Change</w:t>
            </w:r>
          </w:p>
        </w:tc>
        <w:tc>
          <w:tcPr>
            <w:tcW w:type="dxa" w:w="201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Who decides</w:t>
            </w:r>
          </w:p>
        </w:tc>
        <w:tc>
          <w:tcPr>
            <w:tcW w:type="dxa" w:w="1512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Start by</w:t>
            </w:r>
          </w:p>
        </w:tc>
      </w:tr>
      <w:tr>
        <w:trPr>
          <w:trHeight w:val="605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5760"/>
          </w:tcPr>
          <w:p/>
        </w:tc>
        <w:tc>
          <w:tcPr>
            <w:tcW w:type="dxa" w:w="2016"/>
          </w:tcPr>
          <w:p/>
        </w:tc>
        <w:tc>
          <w:tcPr>
            <w:tcW w:type="dxa" w:w="1512"/>
          </w:tcPr>
          <w:p/>
        </w:tc>
      </w:tr>
      <w:tr>
        <w:trPr>
          <w:trHeight w:val="605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5760"/>
          </w:tcPr>
          <w:p/>
        </w:tc>
        <w:tc>
          <w:tcPr>
            <w:tcW w:type="dxa" w:w="2016"/>
          </w:tcPr>
          <w:p/>
        </w:tc>
        <w:tc>
          <w:tcPr>
            <w:tcW w:type="dxa" w:w="1512"/>
          </w:tcPr>
          <w:p/>
        </w:tc>
      </w:tr>
      <w:tr>
        <w:trPr>
          <w:trHeight w:val="605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5760"/>
          </w:tcPr>
          <w:p/>
        </w:tc>
        <w:tc>
          <w:tcPr>
            <w:tcW w:type="dxa" w:w="2016"/>
          </w:tcPr>
          <w:p/>
        </w:tc>
        <w:tc>
          <w:tcPr>
            <w:tcW w:type="dxa" w:w="1512"/>
          </w:tcPr>
          <w:p/>
        </w:tc>
      </w:tr>
      <w:tr>
        <w:trPr>
          <w:trHeight w:val="605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5760"/>
          </w:tcPr>
          <w:p/>
        </w:tc>
        <w:tc>
          <w:tcPr>
            <w:tcW w:type="dxa" w:w="2016"/>
          </w:tcPr>
          <w:p/>
        </w:tc>
        <w:tc>
          <w:tcPr>
            <w:tcW w:type="dxa" w:w="1512"/>
          </w:tcPr>
          <w:p/>
        </w:tc>
      </w:tr>
      <w:tr>
        <w:trPr>
          <w:trHeight w:val="605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5760"/>
          </w:tcPr>
          <w:p/>
        </w:tc>
        <w:tc>
          <w:tcPr>
            <w:tcW w:type="dxa" w:w="2016"/>
          </w:tcPr>
          <w:p/>
        </w:tc>
        <w:tc>
          <w:tcPr>
            <w:tcW w:type="dxa" w:w="1512"/>
          </w:tcPr>
          <w:p/>
        </w:tc>
      </w:tr>
    </w:tbl>
    <w:p>
      <w:pPr>
        <w:spacing w:after="40"/>
      </w:pPr>
    </w:p>
    <w:p>
      <w:pPr>
        <w:spacing w:before="120" w:after="60"/>
      </w:pPr>
      <w:r>
        <w:rPr>
          <w:rFonts w:ascii="Calibri" w:hAnsi="Calibri"/>
          <w:b/>
          <w:i w:val="0"/>
          <w:color w:val="0D6652"/>
          <w:sz w:val="25"/>
        </w:rPr>
        <w:t>Step 3 — The one capacity request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45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you would ask for</w:t>
            </w:r>
          </w:p>
        </w:tc>
        <w:tc>
          <w:tcPr>
            <w:tcW w:type="dxa" w:w="374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record you would build first</w:t>
            </w:r>
          </w:p>
        </w:tc>
        <w:tc>
          <w:tcPr>
            <w:tcW w:type="dxa" w:w="2592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When you would submit it</w:t>
            </w:r>
          </w:p>
        </w:tc>
      </w:tr>
      <w:tr>
        <w:trPr>
          <w:trHeight w:val="1152"/>
        </w:trPr>
        <w:tc>
          <w:tcPr>
            <w:tcW w:type="dxa" w:w="3456"/>
          </w:tcPr>
          <w:p/>
        </w:tc>
        <w:tc>
          <w:tcPr>
            <w:tcW w:type="dxa" w:w="3744"/>
          </w:tcPr>
          <w:p/>
        </w:tc>
        <w:tc>
          <w:tcPr>
            <w:tcW w:type="dxa" w:w="2592"/>
          </w:tcPr>
          <w:p/>
        </w:tc>
      </w:tr>
    </w:tbl>
    <w:p>
      <w:pPr>
        <w:spacing w:after="40"/>
      </w:pPr>
    </w:p>
    <w:p>
      <w:pPr>
        <w:spacing w:before="120" w:after="60"/>
      </w:pPr>
      <w:r>
        <w:rPr>
          <w:rFonts w:ascii="Calibri" w:hAnsi="Calibri"/>
          <w:b/>
          <w:i w:val="0"/>
          <w:color w:val="0D6652"/>
          <w:sz w:val="25"/>
        </w:rPr>
        <w:t>Step 4 — The one instrument change, if any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608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would change</w:t>
            </w:r>
          </w:p>
        </w:tc>
        <w:tc>
          <w:tcPr>
            <w:tcW w:type="dxa" w:w="518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must be true before you propose it</w:t>
            </w:r>
          </w:p>
        </w:tc>
      </w:tr>
      <w:tr>
        <w:trPr>
          <w:trHeight w:val="1152"/>
        </w:trPr>
        <w:tc>
          <w:tcPr>
            <w:tcW w:type="dxa" w:w="4608"/>
          </w:tcPr>
          <w:p/>
        </w:tc>
        <w:tc>
          <w:tcPr>
            <w:tcW w:type="dxa" w:w="5184"/>
          </w:tcPr>
          <w:p/>
        </w:tc>
      </w:tr>
    </w:tbl>
    <w:p>
      <w:pPr>
        <w:spacing w:after="40"/>
      </w:pPr>
    </w:p>
    <w:p>
      <w:pPr>
        <w:spacing w:before="120" w:after="60"/>
      </w:pPr>
      <w:r>
        <w:rPr>
          <w:rFonts w:ascii="Calibri" w:hAnsi="Calibri"/>
          <w:b/>
          <w:i w:val="0"/>
          <w:color w:val="0D6652"/>
          <w:sz w:val="25"/>
        </w:rPr>
        <w:t>The survival test</w:t>
      </w:r>
    </w:p>
    <w:p>
      <w:pPr>
        <w:spacing w:before="0" w:after="60"/>
      </w:pPr>
      <w:r>
        <w:rPr>
          <w:rFonts w:ascii="Calibri" w:hAnsi="Calibri"/>
          <w:b w:val="0"/>
          <w:i/>
          <w:sz w:val="22"/>
        </w:rPr>
        <w:t>“If the three of us in this room left tomorrow, would this still be happening in a year?”  If no, which rung of the ladder does it need to move up?</w:t>
      </w:r>
    </w:p>
    <w:p>
      <w:pPr>
        <w:spacing w:before="0" w:after="60"/>
        <w:ind w:left="605" w:hanging="288"/>
      </w:pPr>
      <w:r>
        <w:rPr>
          <w:rFonts w:ascii="Calibri" w:hAnsi="Calibri"/>
          <w:b/>
          <w:color w:val="E72F1F"/>
          <w:sz w:val="16"/>
        </w:rPr>
        <w:t xml:space="preserve">●  </w:t>
      </w:r>
      <w:r>
        <w:rPr>
          <w:rFonts w:ascii="Calibri" w:hAnsi="Calibri"/>
          <w:sz w:val="21"/>
        </w:rPr>
        <w:t>Secretariat practice — survives until the staff change</w:t>
      </w:r>
    </w:p>
    <w:p>
      <w:pPr>
        <w:spacing w:before="0" w:after="60"/>
        <w:ind w:left="605" w:hanging="288"/>
      </w:pPr>
      <w:r>
        <w:rPr>
          <w:rFonts w:ascii="Calibri" w:hAnsi="Calibri"/>
          <w:b/>
          <w:color w:val="E72F1F"/>
          <w:sz w:val="16"/>
        </w:rPr>
        <w:t xml:space="preserve">●  </w:t>
      </w:r>
      <w:r>
        <w:rPr>
          <w:rFonts w:ascii="Calibri" w:hAnsi="Calibri"/>
          <w:sz w:val="21"/>
        </w:rPr>
        <w:t>Written procedure note — survives a staff change if the note is found</w:t>
      </w:r>
    </w:p>
    <w:p>
      <w:pPr>
        <w:spacing w:before="0" w:after="60"/>
        <w:ind w:left="605" w:hanging="288"/>
      </w:pPr>
      <w:r>
        <w:rPr>
          <w:rFonts w:ascii="Calibri" w:hAnsi="Calibri"/>
          <w:b/>
          <w:color w:val="E72F1F"/>
          <w:sz w:val="16"/>
        </w:rPr>
        <w:t xml:space="preserve">●  </w:t>
      </w:r>
      <w:r>
        <w:rPr>
          <w:rFonts w:ascii="Calibri" w:hAnsi="Calibri"/>
          <w:sz w:val="21"/>
        </w:rPr>
        <w:t>Decision of the body, minuted — survives because it can be cited</w:t>
      </w:r>
    </w:p>
    <w:p>
      <w:pPr>
        <w:spacing w:before="0" w:after="60"/>
        <w:ind w:left="605" w:hanging="288"/>
      </w:pPr>
      <w:r>
        <w:rPr>
          <w:rFonts w:ascii="Calibri" w:hAnsi="Calibri"/>
          <w:b/>
          <w:color w:val="E72F1F"/>
          <w:sz w:val="16"/>
        </w:rPr>
        <w:t xml:space="preserve">●  </w:t>
      </w:r>
      <w:r>
        <w:rPr>
          <w:rFonts w:ascii="Calibri" w:hAnsi="Calibri"/>
          <w:sz w:val="21"/>
        </w:rPr>
        <w:t>Written into the rules of procedure — survives because changing it needs a decision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5959"/>
        <w:sz w:val="16"/>
      </w:rPr>
      <w:t>A3519987  ·  Handout 11.1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595959"/>
        <w:sz w:val="16"/>
      </w:rPr>
      <w:t>International Training Centre of the ILO   |   A3519987   |   Strengthening Tripartite Social Dialogue Institutions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